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AA" w:rsidRDefault="008E18AA" w:rsidP="008E18AA">
      <w:pPr>
        <w:spacing w:line="240" w:lineRule="auto"/>
        <w:rPr>
          <w:sz w:val="2"/>
        </w:rPr>
        <w:sectPr w:rsidR="008E18AA" w:rsidSect="008E18A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E18AA" w:rsidRDefault="008E18AA" w:rsidP="004F25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w:t>
      </w:r>
      <w:r w:rsidR="003E2092">
        <w:t>’</w:t>
      </w:r>
      <w:r>
        <w:t>Europe</w:t>
      </w:r>
    </w:p>
    <w:p w:rsidR="004F2593" w:rsidRPr="004F2593" w:rsidRDefault="004F2593" w:rsidP="004F2593">
      <w:pPr>
        <w:spacing w:line="120" w:lineRule="exact"/>
        <w:rPr>
          <w:sz w:val="10"/>
        </w:rPr>
      </w:pPr>
    </w:p>
    <w:p w:rsidR="008E18AA" w:rsidRDefault="008E18AA" w:rsidP="004F25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4F2593">
        <w:rPr>
          <w:b w:val="0"/>
        </w:rPr>
        <w:t>Comité des transports intérieurs</w:t>
      </w:r>
    </w:p>
    <w:p w:rsidR="004F2593" w:rsidRPr="004F2593" w:rsidRDefault="004F2593" w:rsidP="004F2593">
      <w:pPr>
        <w:spacing w:line="120" w:lineRule="exact"/>
        <w:rPr>
          <w:sz w:val="10"/>
        </w:rPr>
      </w:pPr>
    </w:p>
    <w:p w:rsidR="004F2593" w:rsidRDefault="004F2593" w:rsidP="004F25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Forum mondial de l</w:t>
      </w:r>
      <w:r w:rsidR="003E2092">
        <w:t>’</w:t>
      </w:r>
      <w:r>
        <w:t>harmonisation</w:t>
      </w:r>
      <w:r w:rsidR="003E2092">
        <w:t xml:space="preserve"> </w:t>
      </w:r>
      <w:r>
        <w:rPr>
          <w:rFonts w:eastAsia="Times New Roman"/>
          <w:szCs w:val="24"/>
        </w:rPr>
        <w:br/>
      </w:r>
      <w:r>
        <w:t>des Règlements concernant les véhicules</w:t>
      </w:r>
    </w:p>
    <w:p w:rsidR="004F2593" w:rsidRPr="004F2593" w:rsidRDefault="004F2593" w:rsidP="004F2593">
      <w:pPr>
        <w:spacing w:line="120" w:lineRule="exact"/>
        <w:rPr>
          <w:sz w:val="10"/>
        </w:rPr>
      </w:pPr>
    </w:p>
    <w:p w:rsidR="004F2593" w:rsidRDefault="004F2593" w:rsidP="004F25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szCs w:val="20"/>
        </w:rPr>
      </w:pPr>
      <w:r>
        <w:t>167</w:t>
      </w:r>
      <w:r>
        <w:rPr>
          <w:vertAlign w:val="superscript"/>
        </w:rPr>
        <w:t>e</w:t>
      </w:r>
      <w:r>
        <w:t xml:space="preserve"> session</w:t>
      </w:r>
    </w:p>
    <w:p w:rsidR="004F2593" w:rsidRDefault="004F2593" w:rsidP="004F2593">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t>Genève, 10-13 novembre 2015</w:t>
      </w:r>
    </w:p>
    <w:p w:rsidR="004F2593" w:rsidRDefault="004F2593" w:rsidP="004F2593">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t>Point 4.6.2 de l</w:t>
      </w:r>
      <w:r w:rsidR="003E2092">
        <w:t>’</w:t>
      </w:r>
      <w:r>
        <w:t>ordre du jour provisoire</w:t>
      </w:r>
    </w:p>
    <w:p w:rsidR="004F2593" w:rsidRDefault="004F2593" w:rsidP="004F25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t>Accord de 1958 : examen de projets d</w:t>
      </w:r>
      <w:r w:rsidR="003E2092">
        <w:t>’</w:t>
      </w:r>
      <w:r>
        <w:t>amendements</w:t>
      </w:r>
    </w:p>
    <w:p w:rsidR="004F2593" w:rsidRDefault="004F2593" w:rsidP="004F2593">
      <w:pPr>
        <w:rPr>
          <w:b/>
        </w:rPr>
      </w:pPr>
      <w:proofErr w:type="gramStart"/>
      <w:r>
        <w:rPr>
          <w:b/>
        </w:rPr>
        <w:t>à</w:t>
      </w:r>
      <w:proofErr w:type="gramEnd"/>
      <w:r>
        <w:rPr>
          <w:b/>
        </w:rPr>
        <w:t xml:space="preserve"> des Règlements existants, présentés par le GRE</w:t>
      </w:r>
    </w:p>
    <w:p w:rsidR="004F2593" w:rsidRPr="004F2593" w:rsidRDefault="004F2593" w:rsidP="004F2593">
      <w:pPr>
        <w:spacing w:line="120" w:lineRule="exact"/>
        <w:rPr>
          <w:b/>
          <w:sz w:val="10"/>
        </w:rPr>
      </w:pPr>
    </w:p>
    <w:p w:rsidR="004F2593" w:rsidRPr="004F2593" w:rsidRDefault="004F2593" w:rsidP="004F2593">
      <w:pPr>
        <w:spacing w:line="120" w:lineRule="exact"/>
        <w:rPr>
          <w:rFonts w:eastAsia="Times New Roman"/>
          <w:b/>
          <w:sz w:val="10"/>
        </w:rPr>
      </w:pPr>
    </w:p>
    <w:p w:rsidR="004F2593" w:rsidRPr="004F2593" w:rsidRDefault="004F2593" w:rsidP="004F2593">
      <w:pPr>
        <w:spacing w:line="120" w:lineRule="exact"/>
        <w:rPr>
          <w:rFonts w:eastAsia="Times New Roman"/>
          <w:b/>
          <w:sz w:val="10"/>
        </w:rPr>
      </w:pPr>
    </w:p>
    <w:p w:rsidR="004F2593" w:rsidRDefault="004F2593" w:rsidP="004F25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Proposition de complément 7 à la série 01 </w:t>
      </w:r>
      <w:r w:rsidR="00140A40">
        <w:br/>
      </w:r>
      <w:r>
        <w:t>d</w:t>
      </w:r>
      <w:r w:rsidR="003E2092">
        <w:t>’</w:t>
      </w:r>
      <w:r>
        <w:t>amendements au</w:t>
      </w:r>
      <w:r w:rsidR="00E143E5">
        <w:t xml:space="preserve"> </w:t>
      </w:r>
      <w:r>
        <w:t>Règlement n</w:t>
      </w:r>
      <w:r w:rsidR="00E143E5" w:rsidRPr="00E143E5">
        <w:rPr>
          <w:vertAlign w:val="superscript"/>
        </w:rPr>
        <w:t>o</w:t>
      </w:r>
      <w:r w:rsidR="00E143E5">
        <w:t> </w:t>
      </w:r>
      <w:r>
        <w:t xml:space="preserve">98 </w:t>
      </w:r>
      <w:r w:rsidR="00140A40">
        <w:br/>
      </w:r>
      <w:r>
        <w:t xml:space="preserve">(Projecteurs de véhicules à sources </w:t>
      </w:r>
      <w:r w:rsidR="00140A40">
        <w:br/>
      </w:r>
      <w:r>
        <w:t>lumineuses à décharge)</w:t>
      </w:r>
    </w:p>
    <w:p w:rsidR="00E143E5" w:rsidRPr="00E143E5" w:rsidRDefault="00E143E5" w:rsidP="00E143E5">
      <w:pPr>
        <w:pStyle w:val="SingleTxt"/>
        <w:spacing w:after="0" w:line="120" w:lineRule="exact"/>
        <w:rPr>
          <w:sz w:val="10"/>
        </w:rPr>
      </w:pPr>
    </w:p>
    <w:p w:rsidR="00E143E5" w:rsidRPr="00E143E5" w:rsidRDefault="00E143E5" w:rsidP="00E143E5">
      <w:pPr>
        <w:pStyle w:val="SingleTxt"/>
        <w:spacing w:after="0" w:line="120" w:lineRule="exact"/>
        <w:rPr>
          <w:sz w:val="10"/>
        </w:rPr>
      </w:pPr>
    </w:p>
    <w:p w:rsidR="004F2593" w:rsidRDefault="00E143E5" w:rsidP="00E143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2593">
        <w:t>Communication du Groupe de travail de l</w:t>
      </w:r>
      <w:r w:rsidR="003E2092">
        <w:t>’</w:t>
      </w:r>
      <w:r w:rsidR="004F2593">
        <w:t xml:space="preserve">éclairage </w:t>
      </w:r>
      <w:r>
        <w:br/>
      </w:r>
      <w:r w:rsidR="004F2593">
        <w:t>et de la signalisation lumineuse</w:t>
      </w:r>
      <w:r w:rsidR="004F2593" w:rsidRPr="00E143E5">
        <w:rPr>
          <w:rStyle w:val="FootnoteReference"/>
          <w:b w:val="0"/>
          <w:sz w:val="20"/>
          <w:szCs w:val="20"/>
          <w:vertAlign w:val="baseline"/>
        </w:rPr>
        <w:footnoteReference w:customMarkFollows="1" w:id="1"/>
        <w:t>*</w:t>
      </w:r>
    </w:p>
    <w:p w:rsidR="00E143E5" w:rsidRPr="00E143E5" w:rsidRDefault="00E143E5" w:rsidP="00E143E5">
      <w:pPr>
        <w:pStyle w:val="SingleTxt"/>
        <w:spacing w:after="0" w:line="120" w:lineRule="exact"/>
        <w:rPr>
          <w:sz w:val="10"/>
        </w:rPr>
      </w:pPr>
    </w:p>
    <w:p w:rsidR="00E143E5" w:rsidRPr="00E143E5" w:rsidRDefault="00E143E5" w:rsidP="00E143E5">
      <w:pPr>
        <w:pStyle w:val="SingleTxt"/>
        <w:spacing w:after="0" w:line="120" w:lineRule="exact"/>
        <w:rPr>
          <w:sz w:val="10"/>
        </w:rPr>
      </w:pPr>
    </w:p>
    <w:p w:rsidR="004F2593" w:rsidRDefault="004F2593" w:rsidP="004F2593">
      <w:pPr>
        <w:spacing w:after="120"/>
        <w:ind w:left="1134" w:right="1134" w:firstLine="567"/>
        <w:jc w:val="both"/>
        <w:rPr>
          <w:rFonts w:eastAsia="Times New Roman"/>
          <w:b/>
        </w:rPr>
      </w:pPr>
      <w:r>
        <w:t>Le texte ci-après, adopté par le Groupe de travail de l</w:t>
      </w:r>
      <w:r w:rsidR="003E2092">
        <w:t>’</w:t>
      </w:r>
      <w:r>
        <w:t>éclairage et de la signalisation lumineuse (GRE) à sa soixante-treizième session (ECE/TRANS/</w:t>
      </w:r>
      <w:r w:rsidR="00B72464">
        <w:br/>
      </w:r>
      <w:r>
        <w:t>WP.29/GRE/73, par. 13), est fondé sur le document ECE/TRANS/WP.29/GRE/2015/15. Il est soumis au Forum mondial de l</w:t>
      </w:r>
      <w:r w:rsidR="003E2092">
        <w:t>’</w:t>
      </w:r>
      <w:r>
        <w:t>harmonisation des Règlements concernant les véhicules (WP.29) et au Comité d</w:t>
      </w:r>
      <w:r w:rsidR="003E2092">
        <w:t>’</w:t>
      </w:r>
      <w:r>
        <w:t>administration (AC.1) pour exam</w:t>
      </w:r>
      <w:r w:rsidR="00E143E5">
        <w:t xml:space="preserve">en à leurs sessions de novembre </w:t>
      </w:r>
      <w:r>
        <w:t>2015.</w:t>
      </w:r>
    </w:p>
    <w:p w:rsidR="004F2593" w:rsidRDefault="004F2593" w:rsidP="004F2593">
      <w:pPr>
        <w:spacing w:after="120" w:line="240" w:lineRule="auto"/>
        <w:ind w:left="1134" w:right="1134"/>
        <w:jc w:val="both"/>
        <w:rPr>
          <w:rFonts w:eastAsia="Times New Roman"/>
        </w:rPr>
      </w:pPr>
      <w:r>
        <w:br w:type="page"/>
      </w:r>
    </w:p>
    <w:p w:rsidR="004F2593" w:rsidRDefault="004F2593" w:rsidP="009C2459">
      <w:pPr>
        <w:pStyle w:val="SingleTxt"/>
        <w:rPr>
          <w:rFonts w:eastAsia="Times New Roman"/>
        </w:rPr>
      </w:pPr>
      <w:r w:rsidRPr="009C2459">
        <w:rPr>
          <w:i/>
        </w:rPr>
        <w:lastRenderedPageBreak/>
        <w:t>Paragraphe 2.1.5</w:t>
      </w:r>
      <w:r>
        <w:t>, lire</w:t>
      </w:r>
      <w:r w:rsidR="009C2459">
        <w:t> </w:t>
      </w:r>
      <w:r>
        <w:t>:</w:t>
      </w:r>
    </w:p>
    <w:p w:rsidR="004F2593" w:rsidRDefault="004F2593" w:rsidP="00C700AF">
      <w:pPr>
        <w:pStyle w:val="SingleTxt"/>
        <w:ind w:left="2693" w:hanging="1426"/>
        <w:rPr>
          <w:rFonts w:eastAsia="MS Mincho"/>
        </w:rPr>
      </w:pPr>
      <w:r>
        <w:t>«</w:t>
      </w:r>
      <w:r w:rsidR="00F96EE6">
        <w:t> </w:t>
      </w:r>
      <w:r>
        <w:t>2.1.5</w:t>
      </w:r>
      <w:r>
        <w:tab/>
      </w:r>
      <w:r w:rsidR="00C700AF">
        <w:tab/>
      </w:r>
      <w:r>
        <w:t>Les sources lumineuses qui sont alimentées lorsque les diverses combinaisons de feux sont utilisées et, pour les catégories de sources lumineuses produisant plusieurs valeurs de flux lumineux normal, la valeur de flux lum</w:t>
      </w:r>
      <w:r w:rsidR="003F3A85">
        <w:t>ineux normal qui est utilisée;</w:t>
      </w:r>
      <w:r w:rsidR="00F96EE6">
        <w:t> </w:t>
      </w:r>
      <w:r w:rsidR="003F3A85">
        <w:t>»</w:t>
      </w:r>
      <w:r w:rsidR="00F96EE6">
        <w:t>.</w:t>
      </w:r>
    </w:p>
    <w:p w:rsidR="004F2593" w:rsidRDefault="004F2593" w:rsidP="009C2459">
      <w:pPr>
        <w:pStyle w:val="SingleTxt"/>
        <w:rPr>
          <w:rFonts w:eastAsia="Times New Roman"/>
        </w:rPr>
      </w:pPr>
      <w:r>
        <w:rPr>
          <w:i/>
        </w:rPr>
        <w:t>Paragraphe 2.1.6</w:t>
      </w:r>
      <w:r>
        <w:t>,</w:t>
      </w:r>
      <w:r>
        <w:rPr>
          <w:i/>
        </w:rPr>
        <w:t xml:space="preserve"> </w:t>
      </w:r>
      <w:r>
        <w:t>lire</w:t>
      </w:r>
      <w:r w:rsidR="009C2459">
        <w:t> </w:t>
      </w:r>
      <w:r>
        <w:t>:</w:t>
      </w:r>
    </w:p>
    <w:p w:rsidR="004F2593" w:rsidRDefault="004F2593" w:rsidP="00C700AF">
      <w:pPr>
        <w:pStyle w:val="SingleTxt"/>
        <w:ind w:left="2693" w:hanging="1426"/>
        <w:rPr>
          <w:rFonts w:eastAsia="MS Mincho"/>
        </w:rPr>
      </w:pPr>
      <w:r>
        <w:t>«</w:t>
      </w:r>
      <w:r w:rsidR="00F96EE6">
        <w:t> </w:t>
      </w:r>
      <w:r>
        <w:t>2.1.6</w:t>
      </w:r>
      <w:r>
        <w:tab/>
      </w:r>
      <w:r w:rsidR="00C700AF">
        <w:tab/>
      </w:r>
      <w:r>
        <w:t>La catégorie de source lumineuse définie dans les Règlements n</w:t>
      </w:r>
      <w:r w:rsidR="009C2459" w:rsidRPr="009C2459">
        <w:rPr>
          <w:vertAlign w:val="superscript"/>
        </w:rPr>
        <w:t>o</w:t>
      </w:r>
      <w:r w:rsidR="009C2459">
        <w:rPr>
          <w:vertAlign w:val="superscript"/>
        </w:rPr>
        <w:t>s</w:t>
      </w:r>
      <w:r w:rsidR="009C2459" w:rsidRPr="009C2459">
        <w:rPr>
          <w:vertAlign w:val="superscript"/>
        </w:rPr>
        <w:t> </w:t>
      </w:r>
      <w:r>
        <w:t>37 ou 99 et leurs séries d</w:t>
      </w:r>
      <w:r w:rsidR="003E2092">
        <w:t>’</w:t>
      </w:r>
      <w:r>
        <w:t>amendements en vigueur au moment de la demande d</w:t>
      </w:r>
      <w:r w:rsidR="003E2092">
        <w:t>’</w:t>
      </w:r>
      <w:r>
        <w:t>homologation de type et, pour les catégories de sources lumineuses comportant plusieurs valeurs de flux lumineux normal, la valeur de flux lumineux normal utilisée pour le feu de crois</w:t>
      </w:r>
      <w:r w:rsidR="003F3A85">
        <w:t>ement et pour le feu de route;</w:t>
      </w:r>
      <w:r w:rsidR="00F96EE6">
        <w:t> </w:t>
      </w:r>
      <w:r w:rsidR="003F3A85">
        <w:t>»</w:t>
      </w:r>
      <w:r w:rsidR="00F96EE6">
        <w:t>.</w:t>
      </w:r>
    </w:p>
    <w:p w:rsidR="004F2593" w:rsidRDefault="004F2593" w:rsidP="009C2459">
      <w:pPr>
        <w:pStyle w:val="SingleTxt"/>
        <w:rPr>
          <w:rFonts w:eastAsia="Times New Roman"/>
        </w:rPr>
      </w:pPr>
      <w:r>
        <w:rPr>
          <w:i/>
        </w:rPr>
        <w:t>Paragraphe 6.1.3</w:t>
      </w:r>
      <w:r>
        <w:t>,</w:t>
      </w:r>
      <w:r>
        <w:rPr>
          <w:i/>
        </w:rPr>
        <w:t xml:space="preserve"> </w:t>
      </w:r>
      <w:r>
        <w:t>lire</w:t>
      </w:r>
      <w:r w:rsidR="009C2459">
        <w:t> </w:t>
      </w:r>
      <w:r>
        <w:t>:</w:t>
      </w:r>
    </w:p>
    <w:p w:rsidR="004F2593" w:rsidRDefault="004F2593" w:rsidP="00C700AF">
      <w:pPr>
        <w:pStyle w:val="SingleTxt"/>
        <w:ind w:left="2693" w:hanging="1426"/>
        <w:rPr>
          <w:rFonts w:eastAsia="MS Mincho"/>
        </w:rPr>
      </w:pPr>
      <w:r>
        <w:t>«</w:t>
      </w:r>
      <w:r w:rsidR="00F96EE6">
        <w:t> </w:t>
      </w:r>
      <w:r>
        <w:t>6.1.3</w:t>
      </w:r>
      <w:r>
        <w:tab/>
      </w:r>
      <w:r w:rsidR="00C700AF">
        <w:tab/>
      </w:r>
      <w:r>
        <w:t>Le projecteur est considéré satisfaisant si les prescriptions relatives aux valeurs photométriques énoncées dans le présent paragraphe 6 sont respectées avec une source lumineuse qui a subi un vieillissement d</w:t>
      </w:r>
      <w:r w:rsidR="003E2092">
        <w:t>’</w:t>
      </w:r>
      <w:r>
        <w:t>au moins 15 cycles, conformément au paragraphe 4 de l</w:t>
      </w:r>
      <w:r w:rsidR="003E2092">
        <w:t>’</w:t>
      </w:r>
      <w:r>
        <w:t xml:space="preserve">annexe 4 du Règlement </w:t>
      </w:r>
      <w:r w:rsidR="0096132D">
        <w:t>n</w:t>
      </w:r>
      <w:r w:rsidR="0096132D" w:rsidRPr="0096132D">
        <w:rPr>
          <w:vertAlign w:val="superscript"/>
        </w:rPr>
        <w:t>o</w:t>
      </w:r>
      <w:r w:rsidR="0096132D">
        <w:t> </w:t>
      </w:r>
      <w:r>
        <w:t>99.</w:t>
      </w:r>
    </w:p>
    <w:p w:rsidR="004F2593" w:rsidRDefault="00C700AF" w:rsidP="00C700AF">
      <w:pPr>
        <w:pStyle w:val="SingleTxt"/>
        <w:ind w:left="2693" w:hanging="1426"/>
        <w:rPr>
          <w:rFonts w:eastAsia="Times New Roman"/>
        </w:rPr>
      </w:pPr>
      <w:r>
        <w:tab/>
      </w:r>
      <w:r>
        <w:tab/>
      </w:r>
      <w:r>
        <w:tab/>
      </w:r>
      <w:r w:rsidR="004F2593">
        <w:t xml:space="preserve">Cette source doit être une source lumineuse étalon homologuée selon le Règlement </w:t>
      </w:r>
      <w:r w:rsidR="0096132D">
        <w:t>n</w:t>
      </w:r>
      <w:r w:rsidR="0096132D" w:rsidRPr="0096132D">
        <w:rPr>
          <w:vertAlign w:val="superscript"/>
        </w:rPr>
        <w:t>o</w:t>
      </w:r>
      <w:r w:rsidR="0096132D">
        <w:t> </w:t>
      </w:r>
      <w:r w:rsidR="004F2593">
        <w:t xml:space="preserve">99; son flux peut différer du flux lumineux normal prescrit dans le Règlement </w:t>
      </w:r>
      <w:r w:rsidR="0096132D">
        <w:t>n</w:t>
      </w:r>
      <w:r w:rsidR="0096132D" w:rsidRPr="0096132D">
        <w:rPr>
          <w:vertAlign w:val="superscript"/>
        </w:rPr>
        <w:t>o</w:t>
      </w:r>
      <w:r w:rsidR="0096132D">
        <w:t> </w:t>
      </w:r>
      <w:r w:rsidR="004F2593">
        <w:t>99. Dans ce cas, les intensités lumineuses doivent</w:t>
      </w:r>
      <w:r w:rsidR="0096132D">
        <w:t xml:space="preserve"> être corrigées en conséquence.</w:t>
      </w:r>
    </w:p>
    <w:p w:rsidR="004F2593" w:rsidRDefault="00C700AF" w:rsidP="00C700AF">
      <w:pPr>
        <w:pStyle w:val="SingleTxt"/>
        <w:ind w:left="2693" w:hanging="1426"/>
        <w:rPr>
          <w:rFonts w:eastAsia="MS Mincho"/>
        </w:rPr>
      </w:pPr>
      <w:r>
        <w:tab/>
      </w:r>
      <w:r>
        <w:tab/>
      </w:r>
      <w:r>
        <w:tab/>
      </w:r>
      <w:r w:rsidR="004F2593">
        <w:t>Si la catégorie de source lumineuse à décharge est utilisée avec plusieurs valeurs de flux lumineux normal, le demandeur doit choisir l</w:t>
      </w:r>
      <w:r w:rsidR="003E2092">
        <w:t>’</w:t>
      </w:r>
      <w:r w:rsidR="004F2593">
        <w:t xml:space="preserve">une des valeurs de flux lumineux normal indiquées sur la feuille de caractéristiques correspondante du Règlement </w:t>
      </w:r>
      <w:r w:rsidR="0096132D">
        <w:t>n</w:t>
      </w:r>
      <w:r w:rsidR="0096132D" w:rsidRPr="0096132D">
        <w:rPr>
          <w:vertAlign w:val="superscript"/>
        </w:rPr>
        <w:t>o</w:t>
      </w:r>
      <w:r w:rsidR="0096132D">
        <w:t> </w:t>
      </w:r>
      <w:r w:rsidR="004F2593">
        <w:t>99 et la valeur de flux lumineux normal choisie aux fins de l</w:t>
      </w:r>
      <w:r w:rsidR="003E2092">
        <w:t>’</w:t>
      </w:r>
      <w:r w:rsidR="004F2593">
        <w:t>homologation de type doit être spécifiée aux points</w:t>
      </w:r>
      <w:r w:rsidR="0096132D">
        <w:t xml:space="preserve"> </w:t>
      </w:r>
      <w:r w:rsidR="004F2593">
        <w:t>9.4.1 et 9.4.2 de la fiche de communication de l</w:t>
      </w:r>
      <w:r w:rsidR="003E2092">
        <w:t>’</w:t>
      </w:r>
      <w:r w:rsidR="004F2593">
        <w:t>annexe 1.</w:t>
      </w:r>
      <w:r w:rsidR="00F96EE6">
        <w:t> </w:t>
      </w:r>
      <w:r w:rsidR="004F2593">
        <w:t>».</w:t>
      </w:r>
    </w:p>
    <w:p w:rsidR="004F2593" w:rsidRDefault="004F2593" w:rsidP="009C2459">
      <w:pPr>
        <w:pStyle w:val="SingleTxt"/>
        <w:rPr>
          <w:rFonts w:eastAsia="Times New Roman"/>
        </w:rPr>
      </w:pPr>
      <w:r>
        <w:rPr>
          <w:i/>
        </w:rPr>
        <w:t>Annexe 1</w:t>
      </w:r>
      <w:r>
        <w:t>, ajouter de nouveaux paragraphes, ainsi conçus</w:t>
      </w:r>
      <w:r w:rsidR="00FC46E6">
        <w:t> </w:t>
      </w:r>
      <w:r>
        <w:t>:</w:t>
      </w:r>
    </w:p>
    <w:p w:rsidR="004F2593" w:rsidRDefault="004F2593" w:rsidP="00B00A40">
      <w:pPr>
        <w:pStyle w:val="SingleTxt"/>
        <w:tabs>
          <w:tab w:val="clear" w:pos="3658"/>
          <w:tab w:val="clear" w:pos="4133"/>
          <w:tab w:val="clear" w:pos="4622"/>
          <w:tab w:val="clear" w:pos="5098"/>
          <w:tab w:val="clear" w:pos="5573"/>
          <w:tab w:val="clear" w:pos="6048"/>
          <w:tab w:val="right" w:leader="dot" w:pos="8755"/>
        </w:tabs>
        <w:ind w:left="2693" w:hanging="1426"/>
        <w:rPr>
          <w:rFonts w:eastAsia="Times New Roman"/>
        </w:rPr>
      </w:pPr>
      <w:r>
        <w:t>«</w:t>
      </w:r>
      <w:r w:rsidR="00F96EE6">
        <w:t> </w:t>
      </w:r>
      <w:r>
        <w:t>9.4.1</w:t>
      </w:r>
      <w:r>
        <w:tab/>
      </w:r>
      <w:r w:rsidR="00B00A40">
        <w:tab/>
      </w:r>
      <w:r>
        <w:t>Si plusieurs valeurs de flux lumineux normal ont été spécifiées, valeur du flux lumineux normal utilisée pour le feu de croisement principal</w:t>
      </w:r>
      <w:r w:rsidR="00FC46E6">
        <w:t> </w:t>
      </w:r>
      <w:r>
        <w:t>:</w:t>
      </w:r>
      <w:r>
        <w:tab/>
        <w:t>[lm]</w:t>
      </w:r>
    </w:p>
    <w:p w:rsidR="004F2593" w:rsidRDefault="004F2593" w:rsidP="00B00A40">
      <w:pPr>
        <w:pStyle w:val="SingleTxt"/>
        <w:tabs>
          <w:tab w:val="right" w:leader="dot" w:pos="8755"/>
        </w:tabs>
        <w:ind w:left="2693" w:hanging="1426"/>
      </w:pPr>
      <w:r>
        <w:t>9.4.2</w:t>
      </w:r>
      <w:r>
        <w:tab/>
      </w:r>
      <w:r w:rsidR="009C2459">
        <w:tab/>
      </w:r>
      <w:r w:rsidR="00B00A40">
        <w:tab/>
      </w:r>
      <w:r w:rsidRPr="00F96EE6">
        <w:rPr>
          <w:spacing w:val="0"/>
        </w:rPr>
        <w:t xml:space="preserve">Si plusieurs valeurs de flux lumineux normal ont été spécifiées, valeur du </w:t>
      </w:r>
      <w:proofErr w:type="gramStart"/>
      <w:r w:rsidRPr="00F96EE6">
        <w:rPr>
          <w:spacing w:val="0"/>
        </w:rPr>
        <w:t>flux</w:t>
      </w:r>
      <w:proofErr w:type="gramEnd"/>
      <w:r w:rsidRPr="00F96EE6">
        <w:rPr>
          <w:spacing w:val="0"/>
        </w:rPr>
        <w:t xml:space="preserve"> lumineux normal utilisée pour le feu de route</w:t>
      </w:r>
      <w:r w:rsidR="00FC46E6" w:rsidRPr="00F96EE6">
        <w:rPr>
          <w:spacing w:val="0"/>
        </w:rPr>
        <w:t> </w:t>
      </w:r>
      <w:r w:rsidRPr="00F96EE6">
        <w:rPr>
          <w:spacing w:val="0"/>
        </w:rPr>
        <w:t>:</w:t>
      </w:r>
      <w:r w:rsidRPr="00F96EE6">
        <w:rPr>
          <w:spacing w:val="0"/>
        </w:rPr>
        <w:tab/>
        <w:t>[lm</w:t>
      </w:r>
      <w:r>
        <w:t>]</w:t>
      </w:r>
      <w:r w:rsidR="009933C4">
        <w:t>.</w:t>
      </w:r>
      <w:r w:rsidR="00F96EE6">
        <w:t> </w:t>
      </w:r>
      <w:r>
        <w:t>».</w:t>
      </w:r>
    </w:p>
    <w:p w:rsidR="00FC46E6" w:rsidRPr="00FC46E6" w:rsidRDefault="00FC46E6" w:rsidP="00FC46E6">
      <w:pPr>
        <w:pStyle w:val="SingleTxt"/>
        <w:spacing w:after="0" w:line="240" w:lineRule="auto"/>
        <w:ind w:left="2218" w:hanging="951"/>
        <w:rPr>
          <w:rFonts w:eastAsia="Calibri"/>
        </w:rPr>
      </w:pPr>
      <w:r>
        <w:rPr>
          <w:rFonts w:eastAsia="Calibri"/>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C46E6" w:rsidRPr="00FC46E6" w:rsidSect="008E18AA">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2A" w:rsidRDefault="00F82E2A" w:rsidP="00F3330B">
      <w:pPr>
        <w:spacing w:line="240" w:lineRule="auto"/>
      </w:pPr>
      <w:r>
        <w:separator/>
      </w:r>
    </w:p>
  </w:endnote>
  <w:endnote w:type="continuationSeparator" w:id="0">
    <w:p w:rsidR="00F82E2A" w:rsidRDefault="00F82E2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E18AA" w:rsidTr="008E18AA">
      <w:trPr>
        <w:jc w:val="center"/>
      </w:trPr>
      <w:tc>
        <w:tcPr>
          <w:tcW w:w="5126" w:type="dxa"/>
          <w:shd w:val="clear" w:color="auto" w:fill="auto"/>
        </w:tcPr>
        <w:p w:rsidR="008E18AA" w:rsidRPr="008E18AA" w:rsidRDefault="008E18AA" w:rsidP="008E18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4274">
            <w:rPr>
              <w:b w:val="0"/>
              <w:w w:val="103"/>
              <w:sz w:val="14"/>
            </w:rPr>
            <w:t>GE.15-14273</w:t>
          </w:r>
          <w:r>
            <w:rPr>
              <w:b w:val="0"/>
              <w:w w:val="103"/>
              <w:sz w:val="14"/>
            </w:rPr>
            <w:fldChar w:fldCharType="end"/>
          </w:r>
        </w:p>
      </w:tc>
      <w:tc>
        <w:tcPr>
          <w:tcW w:w="5127" w:type="dxa"/>
          <w:shd w:val="clear" w:color="auto" w:fill="auto"/>
        </w:tcPr>
        <w:p w:rsidR="008E18AA" w:rsidRPr="008E18AA" w:rsidRDefault="008E18AA" w:rsidP="008E18AA">
          <w:pPr>
            <w:pStyle w:val="Footer"/>
            <w:rPr>
              <w:w w:val="103"/>
            </w:rPr>
          </w:pPr>
          <w:r>
            <w:rPr>
              <w:w w:val="103"/>
            </w:rPr>
            <w:fldChar w:fldCharType="begin"/>
          </w:r>
          <w:r>
            <w:rPr>
              <w:w w:val="103"/>
            </w:rPr>
            <w:instrText xml:space="preserve"> PAGE  \* Arabic  \* MERGEFORMAT </w:instrText>
          </w:r>
          <w:r>
            <w:rPr>
              <w:w w:val="103"/>
            </w:rPr>
            <w:fldChar w:fldCharType="separate"/>
          </w:r>
          <w:r w:rsidR="0093427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4274">
            <w:rPr>
              <w:noProof/>
              <w:w w:val="103"/>
            </w:rPr>
            <w:t>2</w:t>
          </w:r>
          <w:r>
            <w:rPr>
              <w:w w:val="103"/>
            </w:rPr>
            <w:fldChar w:fldCharType="end"/>
          </w:r>
        </w:p>
      </w:tc>
    </w:tr>
  </w:tbl>
  <w:p w:rsidR="008E18AA" w:rsidRPr="008E18AA" w:rsidRDefault="008E18AA" w:rsidP="008E1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E18AA" w:rsidTr="008E18AA">
      <w:trPr>
        <w:jc w:val="center"/>
      </w:trPr>
      <w:tc>
        <w:tcPr>
          <w:tcW w:w="5126" w:type="dxa"/>
          <w:shd w:val="clear" w:color="auto" w:fill="auto"/>
        </w:tcPr>
        <w:p w:rsidR="008E18AA" w:rsidRPr="008E18AA" w:rsidRDefault="008E18AA" w:rsidP="008E18A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A609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4274">
            <w:rPr>
              <w:noProof/>
              <w:w w:val="103"/>
            </w:rPr>
            <w:t>2</w:t>
          </w:r>
          <w:r>
            <w:rPr>
              <w:w w:val="103"/>
            </w:rPr>
            <w:fldChar w:fldCharType="end"/>
          </w:r>
        </w:p>
      </w:tc>
      <w:tc>
        <w:tcPr>
          <w:tcW w:w="5127" w:type="dxa"/>
          <w:shd w:val="clear" w:color="auto" w:fill="auto"/>
        </w:tcPr>
        <w:p w:rsidR="008E18AA" w:rsidRPr="008E18AA" w:rsidRDefault="008E18AA" w:rsidP="008E18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4274">
            <w:rPr>
              <w:b w:val="0"/>
              <w:w w:val="103"/>
              <w:sz w:val="14"/>
            </w:rPr>
            <w:t>GE.15-14273</w:t>
          </w:r>
          <w:r>
            <w:rPr>
              <w:b w:val="0"/>
              <w:w w:val="103"/>
              <w:sz w:val="14"/>
            </w:rPr>
            <w:fldChar w:fldCharType="end"/>
          </w:r>
        </w:p>
      </w:tc>
    </w:tr>
  </w:tbl>
  <w:p w:rsidR="008E18AA" w:rsidRPr="008E18AA" w:rsidRDefault="008E18AA" w:rsidP="008E1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AA" w:rsidRDefault="008E18AA">
    <w:pPr>
      <w:pStyle w:val="Footer"/>
    </w:pPr>
    <w:r>
      <w:rPr>
        <w:noProof/>
        <w:lang w:val="en-GB" w:eastAsia="en-GB"/>
      </w:rPr>
      <w:drawing>
        <wp:anchor distT="0" distB="0" distL="114300" distR="114300" simplePos="0" relativeHeight="251658240" behindDoc="0" locked="0" layoutInCell="1" allowOverlap="1" wp14:anchorId="013D2798" wp14:editId="2224A87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8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8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E18AA" w:rsidTr="008E18AA">
      <w:tc>
        <w:tcPr>
          <w:tcW w:w="3859" w:type="dxa"/>
        </w:tcPr>
        <w:p w:rsidR="008E18AA" w:rsidRDefault="008E18AA" w:rsidP="008E18A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34274">
            <w:rPr>
              <w:b w:val="0"/>
              <w:sz w:val="20"/>
            </w:rPr>
            <w:t>GE.15-14273 (F)</w:t>
          </w:r>
          <w:r>
            <w:rPr>
              <w:b w:val="0"/>
              <w:sz w:val="20"/>
            </w:rPr>
            <w:fldChar w:fldCharType="end"/>
          </w:r>
          <w:r>
            <w:rPr>
              <w:b w:val="0"/>
              <w:sz w:val="20"/>
            </w:rPr>
            <w:t xml:space="preserve">    2</w:t>
          </w:r>
          <w:r w:rsidR="00F71DBA">
            <w:rPr>
              <w:b w:val="0"/>
              <w:sz w:val="20"/>
            </w:rPr>
            <w:t>1</w:t>
          </w:r>
          <w:r>
            <w:rPr>
              <w:b w:val="0"/>
              <w:sz w:val="20"/>
            </w:rPr>
            <w:t xml:space="preserve">0915    </w:t>
          </w:r>
          <w:r w:rsidR="00F96EE6">
            <w:rPr>
              <w:b w:val="0"/>
              <w:sz w:val="20"/>
            </w:rPr>
            <w:t>29</w:t>
          </w:r>
          <w:r>
            <w:rPr>
              <w:b w:val="0"/>
              <w:sz w:val="20"/>
            </w:rPr>
            <w:t>0915</w:t>
          </w:r>
        </w:p>
        <w:p w:rsidR="008E18AA" w:rsidRPr="008E18AA" w:rsidRDefault="008E18AA" w:rsidP="008E18A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34274">
            <w:rPr>
              <w:rFonts w:ascii="Barcode 3 of 9 by request" w:hAnsi="Barcode 3 of 9 by request"/>
              <w:b w:val="0"/>
              <w:spacing w:val="0"/>
              <w:w w:val="100"/>
              <w:sz w:val="24"/>
            </w:rPr>
            <w:t>*1514273*</w:t>
          </w:r>
          <w:r>
            <w:rPr>
              <w:rFonts w:ascii="Barcode 3 of 9 by request" w:hAnsi="Barcode 3 of 9 by request"/>
              <w:b w:val="0"/>
              <w:spacing w:val="0"/>
              <w:w w:val="100"/>
              <w:sz w:val="24"/>
            </w:rPr>
            <w:fldChar w:fldCharType="end"/>
          </w:r>
        </w:p>
      </w:tc>
      <w:tc>
        <w:tcPr>
          <w:tcW w:w="5127" w:type="dxa"/>
        </w:tcPr>
        <w:p w:rsidR="008E18AA" w:rsidRDefault="008E18AA" w:rsidP="008E18AA">
          <w:pPr>
            <w:pStyle w:val="Footer"/>
            <w:spacing w:line="240" w:lineRule="atLeast"/>
            <w:jc w:val="right"/>
            <w:rPr>
              <w:b w:val="0"/>
              <w:sz w:val="20"/>
            </w:rPr>
          </w:pPr>
          <w:r>
            <w:rPr>
              <w:b w:val="0"/>
              <w:noProof/>
              <w:sz w:val="20"/>
              <w:lang w:val="en-GB" w:eastAsia="en-GB"/>
            </w:rPr>
            <w:drawing>
              <wp:inline distT="0" distB="0" distL="0" distR="0" wp14:anchorId="735FCA8D" wp14:editId="3CEA691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E18AA" w:rsidRPr="008E18AA" w:rsidRDefault="008E18AA" w:rsidP="008E18A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2A" w:rsidRPr="00E143E5" w:rsidRDefault="00E143E5" w:rsidP="00E143E5">
      <w:pPr>
        <w:pStyle w:val="Footer"/>
        <w:spacing w:after="80"/>
        <w:ind w:left="792"/>
        <w:rPr>
          <w:sz w:val="16"/>
        </w:rPr>
      </w:pPr>
      <w:r w:rsidRPr="00E143E5">
        <w:rPr>
          <w:sz w:val="16"/>
        </w:rPr>
        <w:t>__________________</w:t>
      </w:r>
    </w:p>
  </w:footnote>
  <w:footnote w:type="continuationSeparator" w:id="0">
    <w:p w:rsidR="00F82E2A" w:rsidRPr="00E143E5" w:rsidRDefault="00E143E5" w:rsidP="00E143E5">
      <w:pPr>
        <w:pStyle w:val="Footer"/>
        <w:spacing w:after="80"/>
        <w:ind w:left="792"/>
        <w:rPr>
          <w:sz w:val="16"/>
        </w:rPr>
      </w:pPr>
      <w:r w:rsidRPr="00E143E5">
        <w:rPr>
          <w:sz w:val="16"/>
        </w:rPr>
        <w:t>__________________</w:t>
      </w:r>
    </w:p>
  </w:footnote>
  <w:footnote w:id="1">
    <w:p w:rsidR="004F2593" w:rsidRDefault="004F2593" w:rsidP="00E143E5">
      <w:pPr>
        <w:pStyle w:val="FootnoteText"/>
        <w:tabs>
          <w:tab w:val="right" w:pos="1195"/>
          <w:tab w:val="left" w:pos="1267"/>
          <w:tab w:val="left" w:pos="1742"/>
          <w:tab w:val="left" w:pos="2218"/>
          <w:tab w:val="left" w:pos="2693"/>
        </w:tabs>
        <w:ind w:left="1267" w:right="1260" w:hanging="432"/>
        <w:rPr>
          <w:lang w:val="fr-CH" w:eastAsia="fr-CH" w:bidi="fr-CH"/>
        </w:rPr>
      </w:pPr>
      <w:r>
        <w:tab/>
      </w:r>
      <w:r w:rsidRPr="00E143E5">
        <w:rPr>
          <w:rStyle w:val="FootnoteReference"/>
          <w:vertAlign w:val="baseline"/>
        </w:rPr>
        <w:t>*</w:t>
      </w:r>
      <w:r>
        <w:tab/>
        <w:t>Conformément au programme de travail du Comité des transports intérieurs pour la période 2012-2016 (ECE/TRANS/224, par.</w:t>
      </w:r>
      <w:r w:rsidR="009B170F">
        <w:t> </w:t>
      </w:r>
      <w:r>
        <w:t>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E18AA" w:rsidTr="008E18AA">
      <w:trPr>
        <w:trHeight w:hRule="exact" w:val="864"/>
        <w:jc w:val="center"/>
      </w:trPr>
      <w:tc>
        <w:tcPr>
          <w:tcW w:w="4882" w:type="dxa"/>
          <w:shd w:val="clear" w:color="auto" w:fill="auto"/>
          <w:vAlign w:val="bottom"/>
        </w:tcPr>
        <w:p w:rsidR="008E18AA" w:rsidRPr="008E18AA" w:rsidRDefault="008E18AA" w:rsidP="008E18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4274">
            <w:rPr>
              <w:b/>
              <w:color w:val="000000"/>
            </w:rPr>
            <w:t>ECE/TRANS/WP.29/2015/80</w:t>
          </w:r>
          <w:r>
            <w:rPr>
              <w:b/>
              <w:color w:val="000000"/>
            </w:rPr>
            <w:fldChar w:fldCharType="end"/>
          </w:r>
        </w:p>
      </w:tc>
      <w:tc>
        <w:tcPr>
          <w:tcW w:w="5127" w:type="dxa"/>
          <w:shd w:val="clear" w:color="auto" w:fill="auto"/>
          <w:vAlign w:val="bottom"/>
        </w:tcPr>
        <w:p w:rsidR="008E18AA" w:rsidRDefault="008E18AA" w:rsidP="008E18AA">
          <w:pPr>
            <w:pStyle w:val="Header"/>
          </w:pPr>
        </w:p>
      </w:tc>
    </w:tr>
  </w:tbl>
  <w:p w:rsidR="008E18AA" w:rsidRPr="008E18AA" w:rsidRDefault="008E18AA" w:rsidP="008E18A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E18AA" w:rsidTr="008E18AA">
      <w:trPr>
        <w:trHeight w:hRule="exact" w:val="864"/>
        <w:jc w:val="center"/>
      </w:trPr>
      <w:tc>
        <w:tcPr>
          <w:tcW w:w="4882" w:type="dxa"/>
          <w:shd w:val="clear" w:color="auto" w:fill="auto"/>
          <w:vAlign w:val="bottom"/>
        </w:tcPr>
        <w:p w:rsidR="008E18AA" w:rsidRDefault="008E18AA" w:rsidP="008E18AA">
          <w:pPr>
            <w:pStyle w:val="Header"/>
          </w:pPr>
        </w:p>
      </w:tc>
      <w:tc>
        <w:tcPr>
          <w:tcW w:w="5127" w:type="dxa"/>
          <w:shd w:val="clear" w:color="auto" w:fill="auto"/>
          <w:vAlign w:val="bottom"/>
        </w:tcPr>
        <w:p w:rsidR="008E18AA" w:rsidRPr="008E18AA" w:rsidRDefault="008E18AA" w:rsidP="008E18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4274">
            <w:rPr>
              <w:b/>
              <w:color w:val="000000"/>
            </w:rPr>
            <w:t>ECE/TRANS/WP.29/2015/80</w:t>
          </w:r>
          <w:r>
            <w:rPr>
              <w:b/>
              <w:color w:val="000000"/>
            </w:rPr>
            <w:fldChar w:fldCharType="end"/>
          </w:r>
        </w:p>
      </w:tc>
    </w:tr>
  </w:tbl>
  <w:p w:rsidR="008E18AA" w:rsidRPr="008E18AA" w:rsidRDefault="008E18AA" w:rsidP="008E18A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E18AA" w:rsidTr="008E18AA">
      <w:trPr>
        <w:trHeight w:hRule="exact" w:val="864"/>
      </w:trPr>
      <w:tc>
        <w:tcPr>
          <w:tcW w:w="1267" w:type="dxa"/>
          <w:tcBorders>
            <w:bottom w:val="single" w:sz="4" w:space="0" w:color="auto"/>
          </w:tcBorders>
          <w:shd w:val="clear" w:color="auto" w:fill="auto"/>
          <w:vAlign w:val="bottom"/>
        </w:tcPr>
        <w:p w:rsidR="008E18AA" w:rsidRDefault="008E18AA" w:rsidP="008E18AA">
          <w:pPr>
            <w:pStyle w:val="Header"/>
            <w:spacing w:after="120"/>
          </w:pPr>
        </w:p>
      </w:tc>
      <w:tc>
        <w:tcPr>
          <w:tcW w:w="2059" w:type="dxa"/>
          <w:tcBorders>
            <w:bottom w:val="single" w:sz="4" w:space="0" w:color="auto"/>
          </w:tcBorders>
          <w:shd w:val="clear" w:color="auto" w:fill="auto"/>
          <w:vAlign w:val="bottom"/>
        </w:tcPr>
        <w:p w:rsidR="008E18AA" w:rsidRPr="008E18AA" w:rsidRDefault="008E18AA" w:rsidP="008E18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E18AA" w:rsidRDefault="008E18AA" w:rsidP="008E18AA">
          <w:pPr>
            <w:pStyle w:val="Header"/>
            <w:spacing w:after="120"/>
          </w:pPr>
        </w:p>
      </w:tc>
      <w:tc>
        <w:tcPr>
          <w:tcW w:w="6653" w:type="dxa"/>
          <w:gridSpan w:val="4"/>
          <w:tcBorders>
            <w:bottom w:val="single" w:sz="4" w:space="0" w:color="auto"/>
          </w:tcBorders>
          <w:shd w:val="clear" w:color="auto" w:fill="auto"/>
          <w:vAlign w:val="bottom"/>
        </w:tcPr>
        <w:p w:rsidR="008E18AA" w:rsidRPr="008E18AA" w:rsidRDefault="008E18AA" w:rsidP="008E18AA">
          <w:pPr>
            <w:spacing w:after="80" w:line="240" w:lineRule="auto"/>
            <w:jc w:val="right"/>
            <w:rPr>
              <w:position w:val="-4"/>
            </w:rPr>
          </w:pPr>
          <w:r>
            <w:rPr>
              <w:position w:val="-4"/>
              <w:sz w:val="40"/>
            </w:rPr>
            <w:t>ECE</w:t>
          </w:r>
          <w:r>
            <w:rPr>
              <w:position w:val="-4"/>
            </w:rPr>
            <w:t>/TRANS/WP.29/2015/80</w:t>
          </w:r>
        </w:p>
      </w:tc>
    </w:tr>
    <w:tr w:rsidR="008E18AA" w:rsidRPr="008E18AA" w:rsidTr="008E18AA">
      <w:trPr>
        <w:gridAfter w:val="1"/>
        <w:wAfter w:w="18" w:type="dxa"/>
        <w:trHeight w:hRule="exact" w:val="2880"/>
      </w:trPr>
      <w:tc>
        <w:tcPr>
          <w:tcW w:w="1267" w:type="dxa"/>
          <w:tcBorders>
            <w:top w:val="single" w:sz="4" w:space="0" w:color="auto"/>
            <w:bottom w:val="single" w:sz="12" w:space="0" w:color="auto"/>
          </w:tcBorders>
          <w:shd w:val="clear" w:color="auto" w:fill="auto"/>
        </w:tcPr>
        <w:p w:rsidR="008E18AA" w:rsidRPr="008E18AA" w:rsidRDefault="008E18AA" w:rsidP="008E18AA">
          <w:pPr>
            <w:pStyle w:val="Header"/>
            <w:spacing w:before="120" w:line="240" w:lineRule="auto"/>
            <w:ind w:left="-72"/>
            <w:jc w:val="center"/>
          </w:pPr>
          <w:r>
            <w:t xml:space="preserve">  </w:t>
          </w:r>
          <w:r>
            <w:rPr>
              <w:noProof/>
              <w:lang w:val="en-GB" w:eastAsia="en-GB"/>
            </w:rPr>
            <w:drawing>
              <wp:inline distT="0" distB="0" distL="0" distR="0" wp14:anchorId="3551ED2C" wp14:editId="2304910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E18AA" w:rsidRPr="008E18AA" w:rsidRDefault="008E18AA" w:rsidP="008E18A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E18AA" w:rsidRPr="008E18AA" w:rsidRDefault="008E18AA" w:rsidP="008E18AA">
          <w:pPr>
            <w:pStyle w:val="Header"/>
            <w:spacing w:before="109"/>
          </w:pPr>
        </w:p>
      </w:tc>
      <w:tc>
        <w:tcPr>
          <w:tcW w:w="3280" w:type="dxa"/>
          <w:tcBorders>
            <w:top w:val="single" w:sz="4" w:space="0" w:color="auto"/>
            <w:bottom w:val="single" w:sz="12" w:space="0" w:color="auto"/>
          </w:tcBorders>
          <w:shd w:val="clear" w:color="auto" w:fill="auto"/>
        </w:tcPr>
        <w:p w:rsidR="008E18AA" w:rsidRDefault="008E18AA" w:rsidP="008E18AA">
          <w:pPr>
            <w:pStyle w:val="Distribution"/>
            <w:rPr>
              <w:color w:val="000000"/>
            </w:rPr>
          </w:pPr>
          <w:r>
            <w:rPr>
              <w:color w:val="000000"/>
            </w:rPr>
            <w:t xml:space="preserve">Distr. </w:t>
          </w:r>
          <w:proofErr w:type="spellStart"/>
          <w:r>
            <w:rPr>
              <w:color w:val="000000"/>
            </w:rPr>
            <w:t>générale</w:t>
          </w:r>
          <w:proofErr w:type="spellEnd"/>
        </w:p>
        <w:p w:rsidR="008E18AA" w:rsidRDefault="008E18AA" w:rsidP="008E18AA">
          <w:pPr>
            <w:pStyle w:val="Publication"/>
            <w:rPr>
              <w:color w:val="000000"/>
            </w:rPr>
          </w:pPr>
          <w:r>
            <w:rPr>
              <w:color w:val="000000"/>
            </w:rPr>
            <w:t>2</w:t>
          </w:r>
          <w:r w:rsidR="004F2593">
            <w:rPr>
              <w:color w:val="000000"/>
            </w:rPr>
            <w:t xml:space="preserve">4 </w:t>
          </w:r>
          <w:proofErr w:type="spellStart"/>
          <w:r w:rsidR="004F2593">
            <w:rPr>
              <w:color w:val="000000"/>
            </w:rPr>
            <w:t>août</w:t>
          </w:r>
          <w:proofErr w:type="spellEnd"/>
          <w:r>
            <w:rPr>
              <w:color w:val="000000"/>
            </w:rPr>
            <w:t xml:space="preserve"> 2015</w:t>
          </w:r>
        </w:p>
        <w:p w:rsidR="008E18AA" w:rsidRDefault="008E18AA" w:rsidP="008E18AA">
          <w:pPr>
            <w:rPr>
              <w:lang w:val="en-US"/>
            </w:rPr>
          </w:pPr>
          <w:proofErr w:type="spellStart"/>
          <w:r>
            <w:rPr>
              <w:lang w:val="en-US"/>
            </w:rPr>
            <w:t>Français</w:t>
          </w:r>
          <w:proofErr w:type="spellEnd"/>
        </w:p>
        <w:p w:rsidR="008E18AA" w:rsidRPr="008E18AA" w:rsidRDefault="008E18AA" w:rsidP="008E18AA">
          <w:pPr>
            <w:pStyle w:val="Original"/>
            <w:rPr>
              <w:color w:val="000000"/>
            </w:rPr>
          </w:pPr>
          <w:r>
            <w:rPr>
              <w:color w:val="000000"/>
            </w:rPr>
            <w:t xml:space="preserve">Original : </w:t>
          </w:r>
          <w:proofErr w:type="spellStart"/>
          <w:r>
            <w:rPr>
              <w:color w:val="000000"/>
            </w:rPr>
            <w:t>anglais</w:t>
          </w:r>
          <w:proofErr w:type="spellEnd"/>
        </w:p>
      </w:tc>
    </w:tr>
  </w:tbl>
  <w:p w:rsidR="008E18AA" w:rsidRPr="008E18AA" w:rsidRDefault="008E18AA" w:rsidP="008E18A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73*"/>
    <w:docVar w:name="CreationDt" w:val="9/22/2015 9:09: AM"/>
    <w:docVar w:name="DocCategory" w:val="Doc"/>
    <w:docVar w:name="DocType" w:val="Final"/>
    <w:docVar w:name="DutyStation" w:val="Geneva"/>
    <w:docVar w:name="FooterJN" w:val="GE.15-14273"/>
    <w:docVar w:name="jobn" w:val="GE.15-14273 (F)"/>
    <w:docVar w:name="jobnDT" w:val="GE.15-14273 (F)   220915"/>
    <w:docVar w:name="jobnDTDT" w:val="GE.15-14273 (F)   220915   220915"/>
    <w:docVar w:name="JobNo" w:val="GE.1514273F"/>
    <w:docVar w:name="JobNo2" w:val="GE.1518898F"/>
    <w:docVar w:name="LocalDrive" w:val="0"/>
    <w:docVar w:name="OandT" w:val="C. ROBERT"/>
    <w:docVar w:name="PaperSize" w:val="A4"/>
    <w:docVar w:name="sss1" w:val="ECE/TRANS/WP.29/2015/80"/>
    <w:docVar w:name="sss2" w:val="-"/>
    <w:docVar w:name="Symbol1" w:val="ECE/TRANS/WP.29/2015/80"/>
    <w:docVar w:name="Symbol2" w:val="-"/>
  </w:docVars>
  <w:rsids>
    <w:rsidRoot w:val="00F82E2A"/>
    <w:rsid w:val="000015B8"/>
    <w:rsid w:val="000046A5"/>
    <w:rsid w:val="000055FB"/>
    <w:rsid w:val="0000604B"/>
    <w:rsid w:val="00010C97"/>
    <w:rsid w:val="00016483"/>
    <w:rsid w:val="00022173"/>
    <w:rsid w:val="0002226F"/>
    <w:rsid w:val="00022B4A"/>
    <w:rsid w:val="00023E37"/>
    <w:rsid w:val="000249FF"/>
    <w:rsid w:val="00025DE5"/>
    <w:rsid w:val="000274C2"/>
    <w:rsid w:val="000331F9"/>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6E1E"/>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0A40"/>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22F3"/>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2092"/>
    <w:rsid w:val="003E3E2D"/>
    <w:rsid w:val="003E3E48"/>
    <w:rsid w:val="003E47D8"/>
    <w:rsid w:val="003E4E03"/>
    <w:rsid w:val="003F108A"/>
    <w:rsid w:val="003F11A9"/>
    <w:rsid w:val="003F1243"/>
    <w:rsid w:val="003F27A0"/>
    <w:rsid w:val="003F34C6"/>
    <w:rsid w:val="003F3A85"/>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593"/>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46D0"/>
    <w:rsid w:val="005A6A6E"/>
    <w:rsid w:val="005A6BA0"/>
    <w:rsid w:val="005A6D92"/>
    <w:rsid w:val="005A6DD6"/>
    <w:rsid w:val="005A7976"/>
    <w:rsid w:val="005B33A4"/>
    <w:rsid w:val="005B3FF9"/>
    <w:rsid w:val="005B5D99"/>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8AA"/>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4274"/>
    <w:rsid w:val="00936529"/>
    <w:rsid w:val="00940B65"/>
    <w:rsid w:val="0094133A"/>
    <w:rsid w:val="0094148D"/>
    <w:rsid w:val="009419AD"/>
    <w:rsid w:val="0095064A"/>
    <w:rsid w:val="00951A0B"/>
    <w:rsid w:val="009535B3"/>
    <w:rsid w:val="00953A36"/>
    <w:rsid w:val="00955DBA"/>
    <w:rsid w:val="00957244"/>
    <w:rsid w:val="0096132D"/>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3C4"/>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170F"/>
    <w:rsid w:val="009B4398"/>
    <w:rsid w:val="009B4EEC"/>
    <w:rsid w:val="009C1815"/>
    <w:rsid w:val="009C2459"/>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65976"/>
    <w:rsid w:val="00A72C1F"/>
    <w:rsid w:val="00A72F5E"/>
    <w:rsid w:val="00A75482"/>
    <w:rsid w:val="00A761B5"/>
    <w:rsid w:val="00A83E5E"/>
    <w:rsid w:val="00A84C12"/>
    <w:rsid w:val="00A85CA4"/>
    <w:rsid w:val="00A85D04"/>
    <w:rsid w:val="00A85DB4"/>
    <w:rsid w:val="00A86044"/>
    <w:rsid w:val="00A877CD"/>
    <w:rsid w:val="00A96709"/>
    <w:rsid w:val="00A97EBD"/>
    <w:rsid w:val="00AA260F"/>
    <w:rsid w:val="00AA5F19"/>
    <w:rsid w:val="00AA70FF"/>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0A40"/>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2464"/>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A609F"/>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00AF"/>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143E5"/>
    <w:rsid w:val="00E22DB7"/>
    <w:rsid w:val="00E23C1B"/>
    <w:rsid w:val="00E24D2B"/>
    <w:rsid w:val="00E25DDC"/>
    <w:rsid w:val="00E345BF"/>
    <w:rsid w:val="00E34D59"/>
    <w:rsid w:val="00E35C78"/>
    <w:rsid w:val="00E37246"/>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0991"/>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1DBA"/>
    <w:rsid w:val="00F730A9"/>
    <w:rsid w:val="00F735FC"/>
    <w:rsid w:val="00F738D2"/>
    <w:rsid w:val="00F73A7C"/>
    <w:rsid w:val="00F75F3B"/>
    <w:rsid w:val="00F77CB4"/>
    <w:rsid w:val="00F82E2A"/>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6EE6"/>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6E6"/>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E18AA"/>
    <w:rPr>
      <w:sz w:val="16"/>
      <w:szCs w:val="16"/>
    </w:rPr>
  </w:style>
  <w:style w:type="paragraph" w:styleId="CommentText">
    <w:name w:val="annotation text"/>
    <w:basedOn w:val="Normal"/>
    <w:link w:val="CommentTextChar"/>
    <w:uiPriority w:val="99"/>
    <w:semiHidden/>
    <w:unhideWhenUsed/>
    <w:rsid w:val="008E18AA"/>
    <w:pPr>
      <w:spacing w:line="240" w:lineRule="auto"/>
    </w:pPr>
    <w:rPr>
      <w:szCs w:val="20"/>
    </w:rPr>
  </w:style>
  <w:style w:type="character" w:customStyle="1" w:styleId="CommentTextChar">
    <w:name w:val="Comment Text Char"/>
    <w:basedOn w:val="DefaultParagraphFont"/>
    <w:link w:val="CommentText"/>
    <w:uiPriority w:val="99"/>
    <w:semiHidden/>
    <w:rsid w:val="008E18A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E18AA"/>
    <w:rPr>
      <w:b/>
      <w:bCs/>
    </w:rPr>
  </w:style>
  <w:style w:type="character" w:customStyle="1" w:styleId="CommentSubjectChar">
    <w:name w:val="Comment Subject Char"/>
    <w:basedOn w:val="CommentTextChar"/>
    <w:link w:val="CommentSubject"/>
    <w:uiPriority w:val="99"/>
    <w:semiHidden/>
    <w:rsid w:val="008E18AA"/>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E18AA"/>
    <w:rPr>
      <w:sz w:val="16"/>
      <w:szCs w:val="16"/>
    </w:rPr>
  </w:style>
  <w:style w:type="paragraph" w:styleId="CommentText">
    <w:name w:val="annotation text"/>
    <w:basedOn w:val="Normal"/>
    <w:link w:val="CommentTextChar"/>
    <w:uiPriority w:val="99"/>
    <w:semiHidden/>
    <w:unhideWhenUsed/>
    <w:rsid w:val="008E18AA"/>
    <w:pPr>
      <w:spacing w:line="240" w:lineRule="auto"/>
    </w:pPr>
    <w:rPr>
      <w:szCs w:val="20"/>
    </w:rPr>
  </w:style>
  <w:style w:type="character" w:customStyle="1" w:styleId="CommentTextChar">
    <w:name w:val="Comment Text Char"/>
    <w:basedOn w:val="DefaultParagraphFont"/>
    <w:link w:val="CommentText"/>
    <w:uiPriority w:val="99"/>
    <w:semiHidden/>
    <w:rsid w:val="008E18A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E18AA"/>
    <w:rPr>
      <w:b/>
      <w:bCs/>
    </w:rPr>
  </w:style>
  <w:style w:type="character" w:customStyle="1" w:styleId="CommentSubjectChar">
    <w:name w:val="Comment Subject Char"/>
    <w:basedOn w:val="CommentTextChar"/>
    <w:link w:val="CommentSubject"/>
    <w:uiPriority w:val="99"/>
    <w:semiHidden/>
    <w:rsid w:val="008E18A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2392">
      <w:bodyDiv w:val="1"/>
      <w:marLeft w:val="0"/>
      <w:marRight w:val="0"/>
      <w:marTop w:val="0"/>
      <w:marBottom w:val="0"/>
      <w:divBdr>
        <w:top w:val="none" w:sz="0" w:space="0" w:color="auto"/>
        <w:left w:val="none" w:sz="0" w:space="0" w:color="auto"/>
        <w:bottom w:val="none" w:sz="0" w:space="0" w:color="auto"/>
        <w:right w:val="none" w:sz="0" w:space="0" w:color="auto"/>
      </w:divBdr>
    </w:div>
    <w:div w:id="564537199">
      <w:bodyDiv w:val="1"/>
      <w:marLeft w:val="0"/>
      <w:marRight w:val="0"/>
      <w:marTop w:val="0"/>
      <w:marBottom w:val="0"/>
      <w:divBdr>
        <w:top w:val="none" w:sz="0" w:space="0" w:color="auto"/>
        <w:left w:val="none" w:sz="0" w:space="0" w:color="auto"/>
        <w:bottom w:val="none" w:sz="0" w:space="0" w:color="auto"/>
        <w:right w:val="none" w:sz="0" w:space="0" w:color="auto"/>
      </w:divBdr>
    </w:div>
    <w:div w:id="1690789168">
      <w:bodyDiv w:val="1"/>
      <w:marLeft w:val="0"/>
      <w:marRight w:val="0"/>
      <w:marTop w:val="0"/>
      <w:marBottom w:val="0"/>
      <w:divBdr>
        <w:top w:val="none" w:sz="0" w:space="0" w:color="auto"/>
        <w:left w:val="none" w:sz="0" w:space="0" w:color="auto"/>
        <w:bottom w:val="none" w:sz="0" w:space="0" w:color="auto"/>
        <w:right w:val="none" w:sz="0" w:space="0" w:color="auto"/>
      </w:divBdr>
    </w:div>
    <w:div w:id="2000309034">
      <w:bodyDiv w:val="1"/>
      <w:marLeft w:val="0"/>
      <w:marRight w:val="0"/>
      <w:marTop w:val="0"/>
      <w:marBottom w:val="0"/>
      <w:divBdr>
        <w:top w:val="none" w:sz="0" w:space="0" w:color="auto"/>
        <w:left w:val="none" w:sz="0" w:space="0" w:color="auto"/>
        <w:bottom w:val="none" w:sz="0" w:space="0" w:color="auto"/>
        <w:right w:val="none" w:sz="0" w:space="0" w:color="auto"/>
      </w:divBdr>
    </w:div>
    <w:div w:id="20594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A76E-1215-4080-BF5B-8329950C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Caillot</cp:lastModifiedBy>
  <cp:revision>3</cp:revision>
  <cp:lastPrinted>2015-10-02T09:51:00Z</cp:lastPrinted>
  <dcterms:created xsi:type="dcterms:W3CDTF">2015-10-02T09:51:00Z</dcterms:created>
  <dcterms:modified xsi:type="dcterms:W3CDTF">2015-10-02T09:51:00Z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1514273F</vt:lpwstr>
  </property>
  <property fmtid="{D5CDD505-2E9C-101B-9397-08002B2CF9AE}" pid="3" name="ODSRefJobNo">
    <vt:lpwstr>1518898F</vt:lpwstr>
  </property>
  <property fmtid="{D5CDD505-2E9C-101B-9397-08002B2CF9AE}" pid="4" name="Symbol1">
    <vt:lpwstr>ECE/TRANS/WP.29/2015/80</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septembre 2015</vt:lpwstr>
  </property>
  <property fmtid="{D5CDD505-2E9C-101B-9397-08002B2CF9AE}" pid="12" name="Original">
    <vt:lpwstr>anglais</vt:lpwstr>
  </property>
  <property fmtid="{D5CDD505-2E9C-101B-9397-08002B2CF9AE}" pid="13" name="Release Date">
    <vt:lpwstr>220915</vt:lpwstr>
  </property>
</Properties>
</file>