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3100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3100B" w:rsidP="0063100B">
            <w:pPr>
              <w:jc w:val="right"/>
            </w:pPr>
            <w:r w:rsidRPr="0063100B">
              <w:rPr>
                <w:sz w:val="40"/>
              </w:rPr>
              <w:t>ECE</w:t>
            </w:r>
            <w:r>
              <w:t>/TRANS/WP.29/2015/54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3100B" w:rsidP="00892A2F">
            <w:pPr>
              <w:spacing w:before="240"/>
            </w:pPr>
            <w:r>
              <w:t>Distr. générale</w:t>
            </w:r>
          </w:p>
          <w:p w:rsidR="0063100B" w:rsidRDefault="0063100B" w:rsidP="0063100B">
            <w:pPr>
              <w:spacing w:line="240" w:lineRule="exact"/>
            </w:pPr>
            <w:r>
              <w:t>8 avril 2015</w:t>
            </w:r>
          </w:p>
          <w:p w:rsidR="0063100B" w:rsidRDefault="0063100B" w:rsidP="0063100B">
            <w:pPr>
              <w:spacing w:line="240" w:lineRule="exact"/>
            </w:pPr>
            <w:r>
              <w:t>Français</w:t>
            </w:r>
          </w:p>
          <w:p w:rsidR="0063100B" w:rsidRPr="00DB58B5" w:rsidRDefault="0063100B" w:rsidP="0063100B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9C6236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C623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3100B" w:rsidRDefault="0063100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C623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3100B" w:rsidRDefault="0063100B" w:rsidP="00AF0CB5">
      <w:pPr>
        <w:spacing w:before="120" w:line="240" w:lineRule="exact"/>
        <w:rPr>
          <w:b/>
        </w:rPr>
      </w:pPr>
      <w:r>
        <w:rPr>
          <w:b/>
        </w:rPr>
        <w:t>166</w:t>
      </w:r>
      <w:r w:rsidRPr="0063100B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3100B" w:rsidRDefault="0063100B" w:rsidP="00AF0CB5">
      <w:pPr>
        <w:spacing w:line="240" w:lineRule="exact"/>
      </w:pPr>
      <w:r>
        <w:t xml:space="preserve">Genève, </w:t>
      </w:r>
      <w:r w:rsidRPr="0021669B">
        <w:rPr>
          <w:szCs w:val="24"/>
        </w:rPr>
        <w:t>23-26 juin 2015</w:t>
      </w:r>
    </w:p>
    <w:p w:rsidR="0063100B" w:rsidRPr="0021669B" w:rsidRDefault="0063100B" w:rsidP="0063100B">
      <w:pPr>
        <w:kinsoku/>
        <w:overflowPunct/>
        <w:autoSpaceDE/>
        <w:autoSpaceDN/>
        <w:adjustRightInd/>
        <w:snapToGrid/>
        <w:rPr>
          <w:szCs w:val="24"/>
        </w:rPr>
      </w:pPr>
      <w:r w:rsidRPr="0021669B">
        <w:rPr>
          <w:szCs w:val="24"/>
        </w:rPr>
        <w:t>Point 4.6.9 de l</w:t>
      </w:r>
      <w:r w:rsidR="009C6236">
        <w:rPr>
          <w:szCs w:val="24"/>
        </w:rPr>
        <w:t>’</w:t>
      </w:r>
      <w:r w:rsidRPr="0021669B">
        <w:rPr>
          <w:szCs w:val="24"/>
        </w:rPr>
        <w:t>ordre du jour provisoire</w:t>
      </w:r>
    </w:p>
    <w:p w:rsidR="0063100B" w:rsidRPr="0021669B" w:rsidRDefault="0063100B" w:rsidP="0063100B">
      <w:pPr>
        <w:kinsoku/>
        <w:overflowPunct/>
        <w:autoSpaceDE/>
        <w:autoSpaceDN/>
        <w:adjustRightInd/>
        <w:snapToGrid/>
        <w:ind w:right="708"/>
        <w:rPr>
          <w:b/>
          <w:szCs w:val="24"/>
        </w:rPr>
      </w:pPr>
      <w:r w:rsidRPr="0021669B">
        <w:rPr>
          <w:b/>
          <w:szCs w:val="24"/>
        </w:rPr>
        <w:t xml:space="preserve">Accord de 1958 </w:t>
      </w:r>
      <w:r w:rsidR="003215B5">
        <w:rPr>
          <w:b/>
          <w:szCs w:val="24"/>
        </w:rPr>
        <w:t>−</w:t>
      </w:r>
      <w:r w:rsidRPr="0021669B">
        <w:rPr>
          <w:b/>
          <w:szCs w:val="24"/>
        </w:rPr>
        <w:t xml:space="preserve"> Examen de projets d</w:t>
      </w:r>
      <w:r w:rsidR="009C6236">
        <w:rPr>
          <w:b/>
          <w:szCs w:val="24"/>
        </w:rPr>
        <w:t>’</w:t>
      </w:r>
      <w:r w:rsidRPr="0021669B">
        <w:rPr>
          <w:b/>
          <w:szCs w:val="24"/>
        </w:rPr>
        <w:t>amendements</w:t>
      </w:r>
      <w:r>
        <w:rPr>
          <w:b/>
          <w:szCs w:val="24"/>
        </w:rPr>
        <w:br/>
      </w:r>
      <w:r w:rsidRPr="0021669B">
        <w:rPr>
          <w:b/>
          <w:szCs w:val="24"/>
        </w:rPr>
        <w:t>à des Règlements</w:t>
      </w:r>
      <w:r>
        <w:rPr>
          <w:b/>
          <w:szCs w:val="24"/>
        </w:rPr>
        <w:t xml:space="preserve"> </w:t>
      </w:r>
      <w:r w:rsidRPr="0021669B">
        <w:rPr>
          <w:b/>
          <w:szCs w:val="24"/>
        </w:rPr>
        <w:t>e</w:t>
      </w:r>
      <w:r>
        <w:rPr>
          <w:b/>
          <w:szCs w:val="24"/>
        </w:rPr>
        <w:t>xistants, proposés par le GRSP</w:t>
      </w:r>
    </w:p>
    <w:p w:rsidR="0063100B" w:rsidRPr="0021669B" w:rsidRDefault="0063100B" w:rsidP="0063100B">
      <w:pPr>
        <w:pStyle w:val="HChG"/>
      </w:pPr>
      <w:r w:rsidRPr="0021669B">
        <w:tab/>
      </w:r>
      <w:r w:rsidRPr="0021669B">
        <w:tab/>
        <w:t xml:space="preserve">Proposition de complément 1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21669B">
        <w:t>[135]</w:t>
      </w:r>
      <w:r>
        <w:br/>
      </w:r>
      <w:r w:rsidRPr="0021669B">
        <w:t>(</w:t>
      </w:r>
      <w:r w:rsidR="003215B5">
        <w:t>C</w:t>
      </w:r>
      <w:r w:rsidRPr="0021669B">
        <w:t>hoc latéral contre un poteau)</w:t>
      </w:r>
    </w:p>
    <w:p w:rsidR="0063100B" w:rsidRPr="0021669B" w:rsidRDefault="0063100B" w:rsidP="0063100B">
      <w:pPr>
        <w:pStyle w:val="H1G"/>
      </w:pPr>
      <w:r w:rsidRPr="0021669B">
        <w:tab/>
      </w:r>
      <w:r w:rsidRPr="0021669B">
        <w:tab/>
        <w:t>Communication du Groupe de travail de la sécurité passive</w:t>
      </w:r>
      <w:r w:rsidRPr="0063100B">
        <w:rPr>
          <w:b w:val="0"/>
          <w:sz w:val="20"/>
        </w:rPr>
        <w:footnoteReference w:customMarkFollows="1" w:id="2"/>
        <w:t>*</w:t>
      </w:r>
    </w:p>
    <w:p w:rsidR="00F9573C" w:rsidRDefault="0063100B" w:rsidP="0063100B">
      <w:pPr>
        <w:pStyle w:val="SingleTxtG"/>
        <w:ind w:firstLine="567"/>
      </w:pPr>
      <w:r w:rsidRPr="0021669B">
        <w:t xml:space="preserve">Le texte reproduit ci-après a été adopté par le Groupe de travail de la sécurité passive (GRSP) </w:t>
      </w:r>
      <w:r>
        <w:t>lors de sa</w:t>
      </w:r>
      <w:r w:rsidRPr="0021669B">
        <w:t xml:space="preserve"> cinquante-sixième session (ECE/TRANS/WP.29/GRSP/56, par.</w:t>
      </w:r>
      <w:r>
        <w:t> </w:t>
      </w:r>
      <w:r w:rsidRPr="0021669B">
        <w:t>48). Il est fondé sur le document GRSP-56-33, tel qu</w:t>
      </w:r>
      <w:r w:rsidR="009C6236">
        <w:t>’</w:t>
      </w:r>
      <w:r w:rsidRPr="0021669B">
        <w:t>il est reproduit à l</w:t>
      </w:r>
      <w:r w:rsidR="009C6236">
        <w:t>’</w:t>
      </w:r>
      <w:r w:rsidRPr="0021669B">
        <w:t>annexe</w:t>
      </w:r>
      <w:r>
        <w:t> </w:t>
      </w:r>
      <w:r w:rsidRPr="0021669B">
        <w:t>VII du rapport. Il est soumis au Forum mondial de l</w:t>
      </w:r>
      <w:r w:rsidR="009C6236">
        <w:t>’</w:t>
      </w:r>
      <w:r w:rsidRPr="0021669B">
        <w:t>harmonisation des Règlements concernant les véhicules (WP.29) et au Comité d</w:t>
      </w:r>
      <w:r w:rsidR="009C6236">
        <w:t>’</w:t>
      </w:r>
      <w:r w:rsidRPr="0021669B">
        <w:t>administration (AC.1) pour examen.</w:t>
      </w:r>
    </w:p>
    <w:p w:rsidR="007C4212" w:rsidRPr="007C4212" w:rsidRDefault="007C4212" w:rsidP="007C4212">
      <w:pPr>
        <w:pStyle w:val="SingleTxtG"/>
      </w:pPr>
      <w:r>
        <w:br w:type="page"/>
      </w:r>
      <w:r w:rsidRPr="0021669B">
        <w:rPr>
          <w:i/>
          <w:iCs/>
        </w:rPr>
        <w:lastRenderedPageBreak/>
        <w:t>Paragraphe 1.1</w:t>
      </w:r>
      <w:r w:rsidRPr="0021669B">
        <w:t>, modifier comme suit:</w:t>
      </w:r>
    </w:p>
    <w:p w:rsidR="007C4212" w:rsidRPr="0021669B" w:rsidRDefault="007C4212" w:rsidP="007C4212">
      <w:pPr>
        <w:pStyle w:val="SingleTxtG"/>
        <w:keepNext/>
        <w:ind w:left="2268" w:hanging="1134"/>
      </w:pPr>
      <w:r>
        <w:rPr>
          <w:lang w:eastAsia="de-DE"/>
        </w:rPr>
        <w:t>«</w:t>
      </w:r>
      <w:r w:rsidRPr="0021669B">
        <w:t>1.1</w:t>
      </w:r>
      <w:r w:rsidRPr="0021669B">
        <w:tab/>
        <w:t>Le présent Règlement s</w:t>
      </w:r>
      <w:r w:rsidR="009C6236">
        <w:t>’</w:t>
      </w:r>
      <w:r w:rsidRPr="0021669B">
        <w:t>applique:</w:t>
      </w:r>
    </w:p>
    <w:p w:rsidR="007C4212" w:rsidRPr="0021669B" w:rsidRDefault="007C4212" w:rsidP="007C4212">
      <w:pPr>
        <w:pStyle w:val="SingleTxtG"/>
        <w:ind w:left="2835" w:hanging="567"/>
      </w:pPr>
      <w:r w:rsidRPr="0021669B">
        <w:t>a)</w:t>
      </w:r>
      <w:r w:rsidRPr="0021669B">
        <w:tab/>
        <w:t>Aux véhicules de la catégorie M</w:t>
      </w:r>
      <w:r w:rsidRPr="0021669B">
        <w:rPr>
          <w:vertAlign w:val="subscript"/>
        </w:rPr>
        <w:t xml:space="preserve">1 </w:t>
      </w:r>
      <w:r w:rsidRPr="0021669B">
        <w:t>dont le poids total en ch</w:t>
      </w:r>
      <w:r>
        <w:t>arge ne dépasse pas 3</w:t>
      </w:r>
      <w:r w:rsidR="00893BCB">
        <w:t> </w:t>
      </w:r>
      <w:r>
        <w:t>500</w:t>
      </w:r>
      <w:r w:rsidR="00893BCB">
        <w:t> </w:t>
      </w:r>
      <w:r>
        <w:t>kg; et</w:t>
      </w:r>
    </w:p>
    <w:p w:rsidR="007C4212" w:rsidRPr="001D3CC2" w:rsidRDefault="007C4212" w:rsidP="007C4212">
      <w:pPr>
        <w:pStyle w:val="SingleTxtG"/>
        <w:ind w:left="2835" w:hanging="567"/>
        <w:rPr>
          <w:szCs w:val="24"/>
        </w:rPr>
      </w:pPr>
      <w:r w:rsidRPr="0021669B">
        <w:rPr>
          <w:szCs w:val="24"/>
        </w:rPr>
        <w:t>b)</w:t>
      </w:r>
      <w:r w:rsidRPr="0021669B">
        <w:rPr>
          <w:szCs w:val="24"/>
        </w:rPr>
        <w:tab/>
        <w:t>Aux véhicules de la catégorie N</w:t>
      </w:r>
      <w:r w:rsidRPr="0021669B">
        <w:rPr>
          <w:szCs w:val="24"/>
          <w:vertAlign w:val="subscript"/>
        </w:rPr>
        <w:t>1</w:t>
      </w:r>
      <w:r w:rsidRPr="0021669B">
        <w:rPr>
          <w:szCs w:val="24"/>
        </w:rPr>
        <w:t xml:space="preserve"> sur lesquels l</w:t>
      </w:r>
      <w:r w:rsidR="009C6236">
        <w:rPr>
          <w:szCs w:val="24"/>
        </w:rPr>
        <w:t>’</w:t>
      </w:r>
      <w:r w:rsidRPr="0021669B">
        <w:rPr>
          <w:szCs w:val="24"/>
        </w:rPr>
        <w:t>angle aigu alpha (α), mesuré entre un plan horizontal passant par le centre de l</w:t>
      </w:r>
      <w:r w:rsidR="009C6236">
        <w:rPr>
          <w:szCs w:val="24"/>
        </w:rPr>
        <w:t>’</w:t>
      </w:r>
      <w:r w:rsidRPr="0021669B">
        <w:rPr>
          <w:szCs w:val="24"/>
        </w:rPr>
        <w:t>essieu avant et un plan transversal angulaire passant par le centre de l</w:t>
      </w:r>
      <w:r w:rsidR="009C6236">
        <w:rPr>
          <w:szCs w:val="24"/>
        </w:rPr>
        <w:t>’</w:t>
      </w:r>
      <w:r w:rsidRPr="0021669B">
        <w:rPr>
          <w:szCs w:val="24"/>
        </w:rPr>
        <w:t>essieu avant et le point</w:t>
      </w:r>
      <w:r w:rsidR="000B1E36">
        <w:rPr>
          <w:szCs w:val="24"/>
        </w:rPr>
        <w:t> </w:t>
      </w:r>
      <w:r w:rsidRPr="0021669B">
        <w:rPr>
          <w:szCs w:val="24"/>
        </w:rPr>
        <w:t>R du siège du conducteur, comme indiqué ci-dessous, est inférieur à 22°, ou sur lesquels le rapport entre la distance séparant le point</w:t>
      </w:r>
      <w:r w:rsidR="00893BCB">
        <w:rPr>
          <w:szCs w:val="24"/>
        </w:rPr>
        <w:t> </w:t>
      </w:r>
      <w:r w:rsidRPr="0021669B">
        <w:rPr>
          <w:szCs w:val="24"/>
        </w:rPr>
        <w:t>R du conducteur du centre de l</w:t>
      </w:r>
      <w:r w:rsidR="009C6236">
        <w:rPr>
          <w:szCs w:val="24"/>
        </w:rPr>
        <w:t>’</w:t>
      </w:r>
      <w:r w:rsidRPr="0021669B">
        <w:rPr>
          <w:szCs w:val="24"/>
        </w:rPr>
        <w:t>essieu arrière (L101-L114) et le centre de l</w:t>
      </w:r>
      <w:r w:rsidR="009C6236">
        <w:rPr>
          <w:szCs w:val="24"/>
        </w:rPr>
        <w:t>’</w:t>
      </w:r>
      <w:r w:rsidRPr="0021669B">
        <w:rPr>
          <w:szCs w:val="24"/>
        </w:rPr>
        <w:t>essieu avant et le point</w:t>
      </w:r>
      <w:r w:rsidR="00893BCB">
        <w:rPr>
          <w:szCs w:val="24"/>
        </w:rPr>
        <w:t> </w:t>
      </w:r>
      <w:r w:rsidRPr="0021669B">
        <w:rPr>
          <w:szCs w:val="24"/>
        </w:rPr>
        <w:t>R du conducteur est inférieur à</w:t>
      </w:r>
      <w:r w:rsidR="001D3CC2">
        <w:rPr>
          <w:szCs w:val="24"/>
        </w:rPr>
        <w:t> </w:t>
      </w:r>
      <w:r w:rsidRPr="0021669B">
        <w:rPr>
          <w:szCs w:val="24"/>
        </w:rPr>
        <w:t>1,30</w:t>
      </w:r>
      <w:r>
        <w:rPr>
          <w:rStyle w:val="FootnoteReference"/>
          <w:szCs w:val="24"/>
        </w:rPr>
        <w:footnoteReference w:id="3"/>
      </w:r>
      <w:r w:rsidR="001D3CC2">
        <w:rPr>
          <w:szCs w:val="24"/>
        </w:rPr>
        <w:t>.</w:t>
      </w:r>
    </w:p>
    <w:p w:rsidR="001D3CC2" w:rsidRDefault="007C4212" w:rsidP="001D3CC2">
      <w:pPr>
        <w:pStyle w:val="SingleTxtG"/>
        <w:jc w:val="right"/>
        <w:rPr>
          <w:vertAlign w:val="superscript"/>
        </w:rPr>
      </w:pPr>
      <w:r>
        <w:rPr>
          <w:b/>
          <w:noProof/>
          <w:lang w:val="en-GB" w:eastAsia="en-GB"/>
        </w:rPr>
        <w:drawing>
          <wp:inline distT="0" distB="0" distL="0" distR="0" wp14:anchorId="5901E5EC" wp14:editId="38DE6EB8">
            <wp:extent cx="3924000" cy="212400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2623" r="4205" b="6290"/>
                    <a:stretch/>
                  </pic:blipFill>
                  <pic:spPr bwMode="auto">
                    <a:xfrm>
                      <a:off x="0" y="0"/>
                      <a:ext cx="3924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212" w:rsidRDefault="001D3CC2" w:rsidP="001D3CC2">
      <w:pPr>
        <w:pStyle w:val="SingleTxtG"/>
        <w:jc w:val="right"/>
        <w:rPr>
          <w:vertAlign w:val="superscript"/>
        </w:rPr>
      </w:pPr>
      <w:r>
        <w:rPr>
          <w:vertAlign w:val="superscript"/>
        </w:rPr>
        <w:t>».</w:t>
      </w:r>
    </w:p>
    <w:p w:rsidR="007C4212" w:rsidRPr="00FB65DA" w:rsidRDefault="00FB65DA" w:rsidP="00FB65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4212" w:rsidRPr="00FB65DA" w:rsidSect="0063100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Start w:val="2"/>
      </w:footnotePr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B7" w:rsidRDefault="00E347B7" w:rsidP="00F95C08">
      <w:pPr>
        <w:spacing w:line="240" w:lineRule="auto"/>
      </w:pPr>
    </w:p>
  </w:endnote>
  <w:endnote w:type="continuationSeparator" w:id="0">
    <w:p w:rsidR="00E347B7" w:rsidRPr="00AC3823" w:rsidRDefault="00E347B7" w:rsidP="00AC3823">
      <w:pPr>
        <w:pStyle w:val="Footer"/>
      </w:pPr>
    </w:p>
  </w:endnote>
  <w:endnote w:type="continuationNotice" w:id="1">
    <w:p w:rsidR="00E347B7" w:rsidRDefault="00E347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B" w:rsidRPr="0063100B" w:rsidRDefault="0063100B" w:rsidP="0063100B">
    <w:pPr>
      <w:pStyle w:val="Footer"/>
      <w:tabs>
        <w:tab w:val="right" w:pos="9638"/>
      </w:tabs>
    </w:pPr>
    <w:r w:rsidRPr="0063100B">
      <w:rPr>
        <w:b/>
        <w:sz w:val="18"/>
      </w:rPr>
      <w:fldChar w:fldCharType="begin"/>
    </w:r>
    <w:r w:rsidRPr="0063100B">
      <w:rPr>
        <w:b/>
        <w:sz w:val="18"/>
      </w:rPr>
      <w:instrText xml:space="preserve"> PAGE  \* MERGEFORMAT </w:instrText>
    </w:r>
    <w:r w:rsidRPr="0063100B">
      <w:rPr>
        <w:b/>
        <w:sz w:val="18"/>
      </w:rPr>
      <w:fldChar w:fldCharType="separate"/>
    </w:r>
    <w:r w:rsidR="00423108">
      <w:rPr>
        <w:b/>
        <w:noProof/>
        <w:sz w:val="18"/>
      </w:rPr>
      <w:t>2</w:t>
    </w:r>
    <w:r w:rsidRPr="0063100B">
      <w:rPr>
        <w:b/>
        <w:sz w:val="18"/>
      </w:rPr>
      <w:fldChar w:fldCharType="end"/>
    </w:r>
    <w:r>
      <w:rPr>
        <w:b/>
        <w:sz w:val="18"/>
      </w:rPr>
      <w:tab/>
    </w:r>
    <w:r>
      <w:t>GE.15-07357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B" w:rsidRPr="0063100B" w:rsidRDefault="0063100B" w:rsidP="0063100B">
    <w:pPr>
      <w:pStyle w:val="Footer"/>
      <w:tabs>
        <w:tab w:val="right" w:pos="9638"/>
      </w:tabs>
      <w:rPr>
        <w:b/>
        <w:sz w:val="18"/>
      </w:rPr>
    </w:pPr>
    <w:r>
      <w:t>GE.15-07357</w:t>
    </w:r>
    <w:r>
      <w:tab/>
    </w:r>
    <w:r w:rsidRPr="0063100B">
      <w:rPr>
        <w:b/>
        <w:sz w:val="18"/>
      </w:rPr>
      <w:fldChar w:fldCharType="begin"/>
    </w:r>
    <w:r w:rsidRPr="0063100B">
      <w:rPr>
        <w:b/>
        <w:sz w:val="18"/>
      </w:rPr>
      <w:instrText xml:space="preserve"> PAGE  \* MERGEFORMAT </w:instrText>
    </w:r>
    <w:r w:rsidRPr="0063100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310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3100B" w:rsidRDefault="0063100B" w:rsidP="0063100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191CE33" wp14:editId="51A01B6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15-07357  (F)    180515    180515</w:t>
    </w:r>
    <w:r>
      <w:rPr>
        <w:sz w:val="20"/>
      </w:rPr>
      <w:br/>
    </w:r>
    <w:r w:rsidRPr="0063100B">
      <w:rPr>
        <w:rFonts w:ascii="C39T30Lfz" w:hAnsi="C39T30Lfz"/>
        <w:sz w:val="56"/>
      </w:rPr>
      <w:t></w:t>
    </w:r>
    <w:r w:rsidRPr="0063100B">
      <w:rPr>
        <w:rFonts w:ascii="C39T30Lfz" w:hAnsi="C39T30Lfz"/>
        <w:sz w:val="56"/>
      </w:rPr>
      <w:t></w:t>
    </w:r>
    <w:r w:rsidRPr="0063100B">
      <w:rPr>
        <w:rFonts w:ascii="C39T30Lfz" w:hAnsi="C39T30Lfz"/>
        <w:sz w:val="56"/>
      </w:rPr>
      <w:t></w:t>
    </w:r>
    <w:r w:rsidRPr="0063100B">
      <w:rPr>
        <w:rFonts w:ascii="C39T30Lfz" w:hAnsi="C39T30Lfz"/>
        <w:sz w:val="56"/>
      </w:rPr>
      <w:t></w:t>
    </w:r>
    <w:r w:rsidRPr="0063100B">
      <w:rPr>
        <w:rFonts w:ascii="C39T30Lfz" w:hAnsi="C39T30Lfz"/>
        <w:sz w:val="56"/>
      </w:rPr>
      <w:t></w:t>
    </w:r>
    <w:r w:rsidRPr="0063100B">
      <w:rPr>
        <w:rFonts w:ascii="C39T30Lfz" w:hAnsi="C39T30Lfz"/>
        <w:sz w:val="56"/>
      </w:rPr>
      <w:t></w:t>
    </w:r>
    <w:r w:rsidRPr="0063100B">
      <w:rPr>
        <w:rFonts w:ascii="C39T30Lfz" w:hAnsi="C39T30Lfz"/>
        <w:sz w:val="56"/>
      </w:rPr>
      <w:t></w:t>
    </w:r>
    <w:r w:rsidRPr="0063100B">
      <w:rPr>
        <w:rFonts w:ascii="C39T30Lfz" w:hAnsi="C39T30Lfz"/>
        <w:sz w:val="56"/>
      </w:rPr>
      <w:t></w:t>
    </w:r>
    <w:r w:rsidRPr="0063100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648CE1D" wp14:editId="3217DF3D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5/5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5/5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B7" w:rsidRPr="00AC3823" w:rsidRDefault="00E347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47B7" w:rsidRPr="00AC3823" w:rsidRDefault="00E347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47B7" w:rsidRPr="00AC3823" w:rsidRDefault="00E347B7">
      <w:pPr>
        <w:spacing w:line="240" w:lineRule="auto"/>
        <w:rPr>
          <w:sz w:val="2"/>
          <w:szCs w:val="2"/>
        </w:rPr>
      </w:pPr>
    </w:p>
  </w:footnote>
  <w:footnote w:id="2">
    <w:p w:rsidR="0063100B" w:rsidRPr="007C4212" w:rsidRDefault="0063100B" w:rsidP="007C4212">
      <w:pPr>
        <w:pStyle w:val="FootnoteText"/>
        <w:rPr>
          <w:spacing w:val="-2"/>
        </w:rPr>
      </w:pPr>
      <w:r>
        <w:tab/>
      </w:r>
      <w:r w:rsidRPr="0063100B">
        <w:rPr>
          <w:rStyle w:val="FootnoteReference"/>
          <w:sz w:val="20"/>
          <w:vertAlign w:val="baseline"/>
        </w:rPr>
        <w:t>*</w:t>
      </w:r>
      <w:r w:rsidRPr="00037B48">
        <w:rPr>
          <w:sz w:val="20"/>
        </w:rPr>
        <w:tab/>
      </w:r>
      <w:r w:rsidRPr="007C4212">
        <w:rPr>
          <w:spacing w:val="-2"/>
        </w:rPr>
        <w:t>Conformément au programme de travail du Comité des transports intérieurs pour la période 2012-2016 (ECE/TRANS/224, par. 94, et ECE/TRANS/2012/12, activité 02.4), le Forum mondial a pour mission d</w:t>
      </w:r>
      <w:r w:rsidR="007C4212" w:rsidRPr="007C4212">
        <w:rPr>
          <w:spacing w:val="-2"/>
        </w:rPr>
        <w:t>’</w:t>
      </w:r>
      <w:r w:rsidRPr="007C4212">
        <w:rPr>
          <w:spacing w:val="-2"/>
        </w:rPr>
        <w:t>élaborer, d</w:t>
      </w:r>
      <w:r w:rsidR="007C4212" w:rsidRPr="007C4212">
        <w:rPr>
          <w:spacing w:val="-2"/>
        </w:rPr>
        <w:t>’</w:t>
      </w:r>
      <w:r w:rsidRPr="007C4212">
        <w:rPr>
          <w:spacing w:val="-2"/>
        </w:rPr>
        <w:t>harmoniser et de mettre à jour les Règlements en vue d</w:t>
      </w:r>
      <w:r w:rsidR="007C4212" w:rsidRPr="007C4212">
        <w:rPr>
          <w:spacing w:val="-2"/>
        </w:rPr>
        <w:t>’</w:t>
      </w:r>
      <w:r w:rsidRPr="007C4212">
        <w:rPr>
          <w:spacing w:val="-2"/>
        </w:rPr>
        <w:t>améliorer les caractéristiques fonctionnelles des véhicules.</w:t>
      </w:r>
      <w:r w:rsidR="003215B5">
        <w:rPr>
          <w:spacing w:val="-2"/>
        </w:rPr>
        <w:t xml:space="preserve"> </w:t>
      </w:r>
      <w:r w:rsidRPr="007C4212">
        <w:rPr>
          <w:spacing w:val="-2"/>
        </w:rPr>
        <w:t>Le présent document est soumis en vertu de ce mandat.</w:t>
      </w:r>
    </w:p>
  </w:footnote>
  <w:footnote w:id="3">
    <w:p w:rsidR="007C4212" w:rsidRPr="003E0896" w:rsidRDefault="00FB65DA" w:rsidP="007C4212">
      <w:pPr>
        <w:pStyle w:val="FootnoteText"/>
      </w:pPr>
      <w:r>
        <w:tab/>
      </w:r>
      <w:r w:rsidR="007C4212">
        <w:rPr>
          <w:rStyle w:val="FootnoteReference"/>
        </w:rPr>
        <w:footnoteRef/>
      </w:r>
      <w:r w:rsidR="007C4212" w:rsidRPr="00037B48">
        <w:tab/>
      </w:r>
      <w:r w:rsidR="007C4212" w:rsidRPr="003E0896">
        <w:t>Selon la définition de la Résolution d’ensemble sur la construction des véhicules (R.E.3), document</w:t>
      </w:r>
      <w:r w:rsidR="004148D8">
        <w:t> </w:t>
      </w:r>
      <w:r w:rsidR="007C4212" w:rsidRPr="003E0896">
        <w:t>ECE/TRANS/WP.29/78/Rev.3, par.</w:t>
      </w:r>
      <w:r w:rsidR="00385765">
        <w:t> </w:t>
      </w:r>
      <w:r w:rsidR="007C4212" w:rsidRPr="003E0896">
        <w:t xml:space="preserve">2 </w:t>
      </w:r>
      <w:r w:rsidR="00AE252F">
        <w:t xml:space="preserve">− </w:t>
      </w:r>
      <w:hyperlink r:id="rId1" w:history="1">
        <w:r w:rsidR="007C4212" w:rsidRPr="00AE252F">
          <w:rPr>
            <w:rStyle w:val="Hyperlink"/>
          </w:rPr>
          <w:t>www.unece.org/trans/main/wp29/wp29wgs/</w:t>
        </w:r>
        <w:r w:rsidR="004148D8">
          <w:rPr>
            <w:rStyle w:val="Hyperlink"/>
          </w:rPr>
          <w:t xml:space="preserve"> </w:t>
        </w:r>
        <w:r w:rsidR="007C4212" w:rsidRPr="00AE252F">
          <w:rPr>
            <w:rStyle w:val="Hyperlink"/>
          </w:rPr>
          <w:t>wp29gen/wp29</w:t>
        </w:r>
        <w:r w:rsidR="00AE252F" w:rsidRPr="00AE252F">
          <w:rPr>
            <w:rStyle w:val="Hyperlink"/>
          </w:rPr>
          <w:t>re</w:t>
        </w:r>
        <w:r w:rsidR="007C4212" w:rsidRPr="00AE252F">
          <w:rPr>
            <w:rStyle w:val="Hyperlink"/>
          </w:rPr>
          <w:t>solutions.html</w:t>
        </w:r>
      </w:hyperlink>
      <w:r w:rsidR="00AE252F" w:rsidRPr="003E08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B" w:rsidRPr="0063100B" w:rsidRDefault="0063100B">
    <w:pPr>
      <w:pStyle w:val="Header"/>
    </w:pPr>
    <w:r>
      <w:t>ECE/TRANS/WP.29/2015/54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B" w:rsidRPr="0063100B" w:rsidRDefault="0063100B" w:rsidP="0063100B">
    <w:pPr>
      <w:pStyle w:val="Header"/>
      <w:jc w:val="right"/>
    </w:pPr>
    <w:r>
      <w:t>ECE/TRANS/WP.29/2015/54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evenAndOddHeaders/>
  <w:characterSpacingControl w:val="doNotCompress"/>
  <w:hdrShapeDefaults>
    <o:shapedefaults v:ext="edit" spidmax="409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B7"/>
    <w:rsid w:val="00017F94"/>
    <w:rsid w:val="00023842"/>
    <w:rsid w:val="000334F9"/>
    <w:rsid w:val="0007796D"/>
    <w:rsid w:val="000B1E36"/>
    <w:rsid w:val="000B7790"/>
    <w:rsid w:val="00111F2F"/>
    <w:rsid w:val="0014365E"/>
    <w:rsid w:val="00143C66"/>
    <w:rsid w:val="00176178"/>
    <w:rsid w:val="001D3CC2"/>
    <w:rsid w:val="001F525A"/>
    <w:rsid w:val="00223272"/>
    <w:rsid w:val="0024779E"/>
    <w:rsid w:val="00257168"/>
    <w:rsid w:val="002744B8"/>
    <w:rsid w:val="002832AC"/>
    <w:rsid w:val="00290ECA"/>
    <w:rsid w:val="002D7C93"/>
    <w:rsid w:val="00305801"/>
    <w:rsid w:val="003215B5"/>
    <w:rsid w:val="00385765"/>
    <w:rsid w:val="003916DE"/>
    <w:rsid w:val="004148D8"/>
    <w:rsid w:val="00423108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3100B"/>
    <w:rsid w:val="006331B4"/>
    <w:rsid w:val="0071601D"/>
    <w:rsid w:val="007A62E6"/>
    <w:rsid w:val="007C4212"/>
    <w:rsid w:val="007F20FA"/>
    <w:rsid w:val="0080684C"/>
    <w:rsid w:val="00871C75"/>
    <w:rsid w:val="008776DC"/>
    <w:rsid w:val="00893BCB"/>
    <w:rsid w:val="00916312"/>
    <w:rsid w:val="0092719C"/>
    <w:rsid w:val="009705C8"/>
    <w:rsid w:val="009C1CF4"/>
    <w:rsid w:val="009C6236"/>
    <w:rsid w:val="009F6B74"/>
    <w:rsid w:val="00A30353"/>
    <w:rsid w:val="00AC3823"/>
    <w:rsid w:val="00AE252F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347B7"/>
    <w:rsid w:val="00E45062"/>
    <w:rsid w:val="00E85C74"/>
    <w:rsid w:val="00EA6547"/>
    <w:rsid w:val="00EF2E22"/>
    <w:rsid w:val="00F35BAF"/>
    <w:rsid w:val="00F660DF"/>
    <w:rsid w:val="00F94664"/>
    <w:rsid w:val="00F9573C"/>
    <w:rsid w:val="00F95C08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CONF-TPS\FRA\DATA\COMMON\F15F0\www.unece.org\trans\main\wp29\wp29wgs\wp29gen\%20wp29resol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ECE/TRANS/WP.29/2015/54</vt:lpstr>
      <vt:lpstr>ECE/TRANS/WP.29/2015/54</vt:lpstr>
    </vt:vector>
  </TitlesOfParts>
  <Company>DCM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ECE/TRANS/WP.29/2015/54</dc:title>
  <dc:subject>FINAL</dc:subject>
  <dc:creator>Granet C.</dc:creator>
  <cp:lastModifiedBy>Benedicte Boudol</cp:lastModifiedBy>
  <cp:revision>2</cp:revision>
  <cp:lastPrinted>2015-05-18T10:06:00Z</cp:lastPrinted>
  <dcterms:created xsi:type="dcterms:W3CDTF">2015-05-18T15:07:00Z</dcterms:created>
  <dcterms:modified xsi:type="dcterms:W3CDTF">2015-05-18T15:07:00Z</dcterms:modified>
</cp:coreProperties>
</file>