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14" w:rsidRPr="00EC5273" w:rsidRDefault="00F44D14" w:rsidP="00F44D14">
      <w:pPr>
        <w:spacing w:line="240" w:lineRule="auto"/>
        <w:rPr>
          <w:sz w:val="2"/>
        </w:rPr>
        <w:sectPr w:rsidR="00F44D14" w:rsidRPr="00EC5273" w:rsidSect="00F44D1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F44D14" w:rsidRPr="00EC5273" w:rsidRDefault="00F44D14" w:rsidP="00F44D14">
      <w:pPr>
        <w:pStyle w:val="H1"/>
        <w:spacing w:before="120"/>
        <w:rPr>
          <w:sz w:val="28"/>
        </w:rPr>
      </w:pPr>
      <w:r w:rsidRPr="00EC5273">
        <w:rPr>
          <w:sz w:val="28"/>
        </w:rPr>
        <w:lastRenderedPageBreak/>
        <w:t>Economic Commission for Europe</w:t>
      </w:r>
    </w:p>
    <w:p w:rsidR="00F44D14" w:rsidRPr="00EC5273" w:rsidRDefault="00F44D14" w:rsidP="00F44D14">
      <w:pPr>
        <w:pStyle w:val="H1"/>
        <w:spacing w:line="120" w:lineRule="exact"/>
        <w:rPr>
          <w:sz w:val="10"/>
        </w:rPr>
      </w:pPr>
    </w:p>
    <w:p w:rsidR="00F44D14" w:rsidRPr="00EC5273" w:rsidRDefault="00F44D14" w:rsidP="00F44D14">
      <w:pPr>
        <w:pStyle w:val="H1"/>
        <w:rPr>
          <w:b w:val="0"/>
          <w:sz w:val="28"/>
        </w:rPr>
      </w:pPr>
      <w:r w:rsidRPr="00EC5273">
        <w:rPr>
          <w:b w:val="0"/>
          <w:sz w:val="28"/>
        </w:rPr>
        <w:t>Inland Transport Committee</w:t>
      </w:r>
    </w:p>
    <w:p w:rsidR="00F44D14" w:rsidRPr="00EC5273" w:rsidRDefault="00F44D14" w:rsidP="00F44D14">
      <w:pPr>
        <w:pStyle w:val="H1"/>
        <w:spacing w:line="120" w:lineRule="exact"/>
        <w:rPr>
          <w:b w:val="0"/>
          <w:sz w:val="10"/>
        </w:rPr>
      </w:pPr>
    </w:p>
    <w:p w:rsidR="00F44D14" w:rsidRDefault="00F44D14" w:rsidP="00F44D14">
      <w:pPr>
        <w:pStyle w:val="H23"/>
        <w:rPr>
          <w:sz w:val="24"/>
        </w:rPr>
      </w:pPr>
      <w:r w:rsidRPr="00EC5273">
        <w:rPr>
          <w:sz w:val="24"/>
        </w:rPr>
        <w:t xml:space="preserve">Working Party on the Transport of </w:t>
      </w:r>
      <w:r w:rsidR="00873C09" w:rsidRPr="00873C09">
        <w:rPr>
          <w:sz w:val="24"/>
        </w:rPr>
        <w:t>Perishable Foodstuffs</w:t>
      </w:r>
    </w:p>
    <w:p w:rsidR="00873C09" w:rsidRPr="00873C09" w:rsidRDefault="00873C09" w:rsidP="00873C09">
      <w:pPr>
        <w:spacing w:line="120" w:lineRule="exact"/>
        <w:rPr>
          <w:b/>
          <w:bCs/>
          <w:sz w:val="10"/>
        </w:rPr>
      </w:pPr>
    </w:p>
    <w:p w:rsidR="00873C09" w:rsidRPr="00873C09" w:rsidRDefault="00873C09" w:rsidP="00873C09">
      <w:pPr>
        <w:rPr>
          <w:b/>
          <w:bCs/>
        </w:rPr>
      </w:pPr>
      <w:r w:rsidRPr="00873C09">
        <w:rPr>
          <w:b/>
          <w:bCs/>
        </w:rPr>
        <w:t xml:space="preserve">Seventy-first </w:t>
      </w:r>
      <w:proofErr w:type="gramStart"/>
      <w:r w:rsidRPr="00873C09">
        <w:rPr>
          <w:b/>
          <w:bCs/>
        </w:rPr>
        <w:t>session</w:t>
      </w:r>
      <w:proofErr w:type="gramEnd"/>
    </w:p>
    <w:p w:rsidR="00873C09" w:rsidRDefault="00873C09" w:rsidP="00873C09">
      <w:r>
        <w:t>Geneva, 6-9 October 2015</w:t>
      </w:r>
    </w:p>
    <w:p w:rsidR="00873C09" w:rsidRDefault="00873C09" w:rsidP="00873C09">
      <w:r>
        <w:t>Item 5 (b) of the provisional agenda</w:t>
      </w:r>
    </w:p>
    <w:p w:rsidR="00873C09" w:rsidRPr="00873C09" w:rsidRDefault="00873C09" w:rsidP="00873C09">
      <w:pPr>
        <w:rPr>
          <w:b/>
          <w:bCs/>
        </w:rPr>
      </w:pPr>
      <w:r w:rsidRPr="00873C09">
        <w:rPr>
          <w:b/>
          <w:bCs/>
        </w:rPr>
        <w:t>Proposals of amendments to ATP: New proposals</w:t>
      </w:r>
    </w:p>
    <w:p w:rsidR="00873C09" w:rsidRPr="00873C09" w:rsidRDefault="00873C09" w:rsidP="00873C09">
      <w:pPr>
        <w:pStyle w:val="HCh"/>
        <w:spacing w:line="120" w:lineRule="exact"/>
        <w:ind w:left="1267" w:right="1260" w:hanging="1267"/>
        <w:rPr>
          <w:sz w:val="10"/>
        </w:rPr>
      </w:pPr>
    </w:p>
    <w:p w:rsidR="00873C09" w:rsidRPr="00873C09" w:rsidRDefault="00873C09" w:rsidP="00873C09">
      <w:pPr>
        <w:pStyle w:val="HCh"/>
        <w:spacing w:line="120" w:lineRule="exact"/>
        <w:ind w:left="1267" w:right="1260" w:hanging="1267"/>
        <w:rPr>
          <w:sz w:val="10"/>
        </w:rPr>
      </w:pPr>
    </w:p>
    <w:p w:rsidR="00873C09" w:rsidRDefault="00873C09" w:rsidP="00873C09">
      <w:pPr>
        <w:pStyle w:val="HCh"/>
        <w:ind w:left="1267" w:right="1260" w:hanging="1267"/>
      </w:pPr>
      <w:r>
        <w:tab/>
      </w:r>
      <w:r>
        <w:tab/>
        <w:t>Provisions applicable to authorities competent to issue technical compliance certificates</w:t>
      </w:r>
    </w:p>
    <w:p w:rsidR="00873C09" w:rsidRPr="00873C09" w:rsidRDefault="00873C09" w:rsidP="00873C09">
      <w:pPr>
        <w:pStyle w:val="H1"/>
        <w:spacing w:line="120" w:lineRule="exact"/>
        <w:ind w:right="1260"/>
        <w:rPr>
          <w:sz w:val="10"/>
        </w:rPr>
      </w:pPr>
    </w:p>
    <w:p w:rsidR="00873C09" w:rsidRPr="00873C09" w:rsidRDefault="00873C09" w:rsidP="00873C09">
      <w:pPr>
        <w:pStyle w:val="H1"/>
        <w:spacing w:line="120" w:lineRule="exact"/>
        <w:ind w:right="1260"/>
        <w:rPr>
          <w:sz w:val="10"/>
        </w:rPr>
      </w:pPr>
    </w:p>
    <w:p w:rsidR="00873C09" w:rsidRDefault="00873C09" w:rsidP="00873C09">
      <w:pPr>
        <w:pStyle w:val="H1"/>
        <w:ind w:right="1260"/>
      </w:pPr>
      <w:r>
        <w:tab/>
      </w:r>
      <w:r>
        <w:tab/>
        <w:t>Transmitted by the Government of France</w:t>
      </w:r>
    </w:p>
    <w:p w:rsidR="00873C09" w:rsidRPr="00873C09" w:rsidRDefault="00873C09" w:rsidP="00873C09">
      <w:pPr>
        <w:pStyle w:val="HCh"/>
        <w:spacing w:line="120" w:lineRule="exact"/>
        <w:ind w:left="1267" w:right="1260" w:hanging="1267"/>
        <w:rPr>
          <w:sz w:val="10"/>
        </w:rPr>
      </w:pPr>
    </w:p>
    <w:p w:rsidR="00873C09" w:rsidRPr="00873C09" w:rsidRDefault="00873C09" w:rsidP="00873C09">
      <w:pPr>
        <w:pStyle w:val="HCh"/>
        <w:spacing w:line="120" w:lineRule="exact"/>
        <w:ind w:left="1267" w:right="1260" w:hanging="1267"/>
        <w:rPr>
          <w:sz w:val="10"/>
        </w:rPr>
      </w:pPr>
    </w:p>
    <w:p w:rsidR="00873C09" w:rsidRDefault="00873C09" w:rsidP="00873C09">
      <w:pPr>
        <w:pStyle w:val="HCh"/>
        <w:ind w:left="1267" w:right="1260" w:hanging="1267"/>
      </w:pPr>
      <w:r>
        <w:tab/>
      </w:r>
      <w:r>
        <w:tab/>
        <w:t>Background</w:t>
      </w:r>
    </w:p>
    <w:p w:rsidR="00873C09" w:rsidRPr="00873C09" w:rsidRDefault="00873C09" w:rsidP="00873C09">
      <w:pPr>
        <w:pStyle w:val="SingleTxt"/>
        <w:spacing w:after="0" w:line="120" w:lineRule="exact"/>
        <w:rPr>
          <w:sz w:val="10"/>
        </w:rPr>
      </w:pPr>
    </w:p>
    <w:p w:rsidR="00873C09" w:rsidRPr="00873C09" w:rsidRDefault="00873C09" w:rsidP="00873C09">
      <w:pPr>
        <w:pStyle w:val="SingleTxt"/>
        <w:spacing w:after="0" w:line="120" w:lineRule="exact"/>
        <w:rPr>
          <w:sz w:val="10"/>
        </w:rPr>
      </w:pPr>
    </w:p>
    <w:p w:rsidR="00873C09" w:rsidRDefault="00873C09" w:rsidP="00873C09">
      <w:pPr>
        <w:pStyle w:val="SingleTxt"/>
      </w:pPr>
      <w:r>
        <w:t>1.</w:t>
      </w:r>
      <w:r>
        <w:tab/>
        <w:t xml:space="preserve">The Agreement on the International Carriage of Perishable Foodstuffs and on the Special Equipment to be </w:t>
      </w:r>
      <w:proofErr w:type="gramStart"/>
      <w:r>
        <w:t>Used</w:t>
      </w:r>
      <w:proofErr w:type="gramEnd"/>
      <w:r>
        <w:t xml:space="preserve"> for such Carriage (ATP), signed in 1970, relies on competent authorities designated by the Contracting Parties to issue technical compliance certificates.</w:t>
      </w:r>
    </w:p>
    <w:p w:rsidR="00873C09" w:rsidRDefault="00873C09" w:rsidP="00873C09">
      <w:pPr>
        <w:pStyle w:val="SingleTxt"/>
      </w:pPr>
      <w:r>
        <w:t>2.</w:t>
      </w:r>
      <w:r>
        <w:tab/>
        <w:t>ATP does not specify any requirement as to the competences of these competent authorities responsible for issuing equipment compliance reports for reference equipment that has undergone type testing, although the Agreement requires perfect mastery of the technical criteria needed for inspections.</w:t>
      </w:r>
    </w:p>
    <w:p w:rsidR="00873C09" w:rsidRDefault="00873C09" w:rsidP="00873C09">
      <w:pPr>
        <w:pStyle w:val="SingleTxt"/>
      </w:pPr>
      <w:r>
        <w:t>3.</w:t>
      </w:r>
      <w:r>
        <w:tab/>
        <w:t xml:space="preserve">Issuing a certificate of compliance on the basis of a technical assessment of </w:t>
      </w:r>
      <w:proofErr w:type="gramStart"/>
      <w:r>
        <w:t>equipment</w:t>
      </w:r>
      <w:proofErr w:type="gramEnd"/>
      <w:r>
        <w:t xml:space="preserve"> is similar to certifying an industrial product as defined in accreditation standard ISO 17065.</w:t>
      </w:r>
    </w:p>
    <w:p w:rsidR="00873C09" w:rsidRDefault="00873C09" w:rsidP="00873C09">
      <w:pPr>
        <w:pStyle w:val="SingleTxt"/>
      </w:pPr>
      <w:r>
        <w:t>4.</w:t>
      </w:r>
      <w:r>
        <w:tab/>
        <w:t>France is therefore submitting a proposal to allow for recognition of accreditation under standard ISO 17065 in the criteria applicable to competent authorities or bodies responsible for this task.</w:t>
      </w:r>
    </w:p>
    <w:p w:rsidR="00873C09" w:rsidRPr="00873C09" w:rsidRDefault="00873C09" w:rsidP="00873C09">
      <w:pPr>
        <w:pStyle w:val="HCh"/>
        <w:spacing w:line="120" w:lineRule="exact"/>
        <w:ind w:left="1267" w:right="1260" w:hanging="1267"/>
        <w:rPr>
          <w:sz w:val="10"/>
        </w:rPr>
      </w:pPr>
    </w:p>
    <w:p w:rsidR="00873C09" w:rsidRPr="00873C09" w:rsidRDefault="00873C09" w:rsidP="00873C09">
      <w:pPr>
        <w:pStyle w:val="HCh"/>
        <w:spacing w:line="120" w:lineRule="exact"/>
        <w:ind w:left="1267" w:right="1260" w:hanging="1267"/>
        <w:rPr>
          <w:sz w:val="10"/>
        </w:rPr>
      </w:pPr>
    </w:p>
    <w:p w:rsidR="00873C09" w:rsidRDefault="00873C09" w:rsidP="00873C09">
      <w:pPr>
        <w:pStyle w:val="HCh"/>
        <w:ind w:left="1267" w:right="1260" w:hanging="1267"/>
      </w:pPr>
      <w:r>
        <w:tab/>
      </w:r>
      <w:r>
        <w:tab/>
        <w:t>Proposal</w:t>
      </w:r>
    </w:p>
    <w:p w:rsidR="00873C09" w:rsidRPr="00873C09" w:rsidRDefault="00873C09" w:rsidP="00873C09">
      <w:pPr>
        <w:pStyle w:val="SingleTxt"/>
        <w:spacing w:after="0" w:line="120" w:lineRule="exact"/>
        <w:rPr>
          <w:sz w:val="10"/>
        </w:rPr>
      </w:pPr>
    </w:p>
    <w:p w:rsidR="00873C09" w:rsidRPr="00873C09" w:rsidRDefault="00873C09" w:rsidP="00873C09">
      <w:pPr>
        <w:pStyle w:val="SingleTxt"/>
        <w:spacing w:after="0" w:line="120" w:lineRule="exact"/>
        <w:rPr>
          <w:sz w:val="10"/>
        </w:rPr>
      </w:pPr>
    </w:p>
    <w:p w:rsidR="00873C09" w:rsidRDefault="00873C09" w:rsidP="00873C09">
      <w:pPr>
        <w:pStyle w:val="SingleTxt"/>
      </w:pPr>
      <w:r>
        <w:t>5.</w:t>
      </w:r>
      <w:r>
        <w:tab/>
        <w:t xml:space="preserve">Accreditation ensures third-party evaluation of bodies responsible for monitoring compliance. Such accreditation ensures a degree of harmonization in the practices of these bodies, allowing for formal recognition of certificates of compliance at international level. Accreditation of the competent authorities under standard ISO 17065 allows the pre-existing provisions of ATP, which requires recognition of </w:t>
      </w:r>
      <w:r>
        <w:lastRenderedPageBreak/>
        <w:t>certificates issued by other competent authorities, to be applied on an objective basis. It would also enable practices to be harmonized.</w:t>
      </w:r>
    </w:p>
    <w:p w:rsidR="00873C09" w:rsidRPr="00873C09" w:rsidRDefault="00873C09" w:rsidP="00873C09">
      <w:pPr>
        <w:pStyle w:val="HCh"/>
        <w:spacing w:line="120" w:lineRule="exact"/>
        <w:ind w:left="1267" w:right="1260" w:hanging="1267"/>
        <w:rPr>
          <w:sz w:val="10"/>
        </w:rPr>
      </w:pPr>
    </w:p>
    <w:p w:rsidR="00873C09" w:rsidRPr="00873C09" w:rsidRDefault="00873C09" w:rsidP="00873C09">
      <w:pPr>
        <w:pStyle w:val="HCh"/>
        <w:spacing w:line="120" w:lineRule="exact"/>
        <w:ind w:left="1267" w:right="1260" w:hanging="1267"/>
        <w:rPr>
          <w:sz w:val="10"/>
        </w:rPr>
      </w:pPr>
    </w:p>
    <w:p w:rsidR="00873C09" w:rsidRDefault="00873C09" w:rsidP="00873C09">
      <w:pPr>
        <w:pStyle w:val="HCh"/>
        <w:ind w:left="1267" w:right="1260" w:hanging="1267"/>
      </w:pPr>
      <w:r>
        <w:tab/>
      </w:r>
      <w:r>
        <w:tab/>
        <w:t>Impact</w:t>
      </w:r>
    </w:p>
    <w:p w:rsidR="00873C09" w:rsidRPr="00873C09" w:rsidRDefault="00873C09" w:rsidP="00873C09">
      <w:pPr>
        <w:pStyle w:val="SingleTxt"/>
        <w:spacing w:after="0" w:line="120" w:lineRule="exact"/>
        <w:rPr>
          <w:sz w:val="10"/>
        </w:rPr>
      </w:pPr>
    </w:p>
    <w:p w:rsidR="00873C09" w:rsidRPr="00873C09" w:rsidRDefault="00873C09" w:rsidP="00873C09">
      <w:pPr>
        <w:pStyle w:val="SingleTxt"/>
        <w:spacing w:after="0" w:line="120" w:lineRule="exact"/>
        <w:rPr>
          <w:sz w:val="10"/>
        </w:rPr>
      </w:pPr>
    </w:p>
    <w:p w:rsidR="00873C09" w:rsidRDefault="00873C09" w:rsidP="00873C09">
      <w:pPr>
        <w:pStyle w:val="SingleTxt"/>
        <w:rPr>
          <w:rFonts w:eastAsia="Calibri"/>
        </w:rPr>
      </w:pPr>
      <w:r>
        <w:t>6.</w:t>
      </w:r>
      <w:r>
        <w:tab/>
        <w:t>Accreditation of the competent authorities within each State involves the introduction of a quality management system that ensures impartial certification decisions, compliance with technical procedures and standards, and the competence of assessors. Third-party audits are carried out by the accreditation bodies of the different countries, which have the specific status of not-for-profit organizations. The International Laboratory Accreditation Cooperation (ILAC)</w:t>
      </w:r>
      <w:r w:rsidR="00A04870">
        <w:t xml:space="preserve"> </w:t>
      </w:r>
      <w:r>
        <w:t>network of accreditation bodies ensures that the accreditation rules are consistent so as to ensure widespread recognition of the competence of certifying bodies and, consequently, of the quality of certificates issued.</w:t>
      </w:r>
    </w:p>
    <w:p w:rsidR="00873C09" w:rsidRPr="00873C09" w:rsidRDefault="00873C09" w:rsidP="00873C09">
      <w:pPr>
        <w:pStyle w:val="HCh"/>
        <w:spacing w:line="120" w:lineRule="exact"/>
        <w:ind w:left="1267" w:right="1260" w:hanging="1267"/>
        <w:rPr>
          <w:sz w:val="10"/>
        </w:rPr>
      </w:pPr>
    </w:p>
    <w:p w:rsidR="00873C09" w:rsidRPr="00873C09" w:rsidRDefault="00873C09" w:rsidP="00873C09">
      <w:pPr>
        <w:pStyle w:val="HCh"/>
        <w:spacing w:line="120" w:lineRule="exact"/>
        <w:ind w:left="1267" w:right="1260" w:hanging="1267"/>
        <w:rPr>
          <w:sz w:val="10"/>
        </w:rPr>
      </w:pPr>
    </w:p>
    <w:p w:rsidR="00873C09" w:rsidRDefault="00873C09" w:rsidP="00873C09">
      <w:pPr>
        <w:pStyle w:val="HCh"/>
        <w:ind w:left="1267" w:right="1260" w:hanging="1267"/>
        <w:rPr>
          <w:rFonts w:eastAsia="Times New Roman"/>
        </w:rPr>
      </w:pPr>
      <w:r>
        <w:tab/>
      </w:r>
      <w:r>
        <w:tab/>
        <w:t>Economic impact of the procedure</w:t>
      </w:r>
    </w:p>
    <w:p w:rsidR="00873C09" w:rsidRPr="00873C09" w:rsidRDefault="00873C09" w:rsidP="00873C09">
      <w:pPr>
        <w:pStyle w:val="SingleTxt"/>
        <w:spacing w:after="0" w:line="120" w:lineRule="exact"/>
        <w:rPr>
          <w:sz w:val="10"/>
        </w:rPr>
      </w:pPr>
    </w:p>
    <w:p w:rsidR="00873C09" w:rsidRPr="00873C09" w:rsidRDefault="00873C09" w:rsidP="00873C09">
      <w:pPr>
        <w:pStyle w:val="SingleTxt"/>
        <w:spacing w:after="0" w:line="120" w:lineRule="exact"/>
        <w:rPr>
          <w:sz w:val="10"/>
        </w:rPr>
      </w:pPr>
    </w:p>
    <w:p w:rsidR="00873C09" w:rsidRDefault="00873C09" w:rsidP="00873C09">
      <w:pPr>
        <w:pStyle w:val="SingleTxt"/>
      </w:pPr>
      <w:r>
        <w:t>7.</w:t>
      </w:r>
      <w:r>
        <w:tab/>
        <w:t>The cost of accreditation to these bodies may be estimated at €4,000 per year, but it has no impact on the cost of certificates.</w:t>
      </w:r>
    </w:p>
    <w:p w:rsidR="00873C09" w:rsidRPr="00873C09" w:rsidRDefault="00873C09" w:rsidP="00873C09">
      <w:pPr>
        <w:pStyle w:val="HCh"/>
        <w:spacing w:line="120" w:lineRule="exact"/>
        <w:ind w:left="1267" w:right="1260" w:hanging="1267"/>
        <w:rPr>
          <w:sz w:val="10"/>
        </w:rPr>
      </w:pPr>
    </w:p>
    <w:p w:rsidR="00873C09" w:rsidRPr="00873C09" w:rsidRDefault="00873C09" w:rsidP="00873C09">
      <w:pPr>
        <w:pStyle w:val="HCh"/>
        <w:spacing w:line="120" w:lineRule="exact"/>
        <w:ind w:left="1267" w:right="1260" w:hanging="1267"/>
        <w:rPr>
          <w:sz w:val="10"/>
        </w:rPr>
      </w:pPr>
    </w:p>
    <w:p w:rsidR="00873C09" w:rsidRDefault="00873C09" w:rsidP="00873C09">
      <w:pPr>
        <w:pStyle w:val="HCh"/>
        <w:ind w:left="1267" w:right="1260" w:hanging="1267"/>
      </w:pPr>
      <w:r>
        <w:tab/>
      </w:r>
      <w:r>
        <w:tab/>
        <w:t>Proposal for amendment</w:t>
      </w:r>
    </w:p>
    <w:p w:rsidR="00873C09" w:rsidRPr="00873C09" w:rsidRDefault="00873C09" w:rsidP="00873C09">
      <w:pPr>
        <w:pStyle w:val="SingleTxt"/>
        <w:spacing w:after="0" w:line="120" w:lineRule="exact"/>
        <w:rPr>
          <w:sz w:val="10"/>
        </w:rPr>
      </w:pPr>
    </w:p>
    <w:p w:rsidR="00873C09" w:rsidRPr="00873C09" w:rsidRDefault="00873C09" w:rsidP="00873C09">
      <w:pPr>
        <w:pStyle w:val="SingleTxt"/>
        <w:spacing w:after="0" w:line="120" w:lineRule="exact"/>
        <w:rPr>
          <w:sz w:val="10"/>
        </w:rPr>
      </w:pPr>
    </w:p>
    <w:p w:rsidR="00873C09" w:rsidRDefault="00873C09" w:rsidP="00873C09">
      <w:pPr>
        <w:pStyle w:val="SingleTxt"/>
        <w:rPr>
          <w:rFonts w:eastAsia="Calibri"/>
        </w:rPr>
      </w:pPr>
      <w:r>
        <w:t>8.</w:t>
      </w:r>
      <w:r>
        <w:tab/>
        <w:t>It is proposed to add the text in bold in the following paragraph to article 2:</w:t>
      </w:r>
    </w:p>
    <w:p w:rsidR="00873C09" w:rsidRDefault="00A04870" w:rsidP="00873C09">
      <w:pPr>
        <w:pStyle w:val="SingleTxt"/>
        <w:rPr>
          <w:rFonts w:eastAsia="Calibri"/>
        </w:rPr>
      </w:pPr>
      <w:r>
        <w:t>“</w:t>
      </w:r>
      <w:r w:rsidR="00873C09">
        <w:t>Article 2</w:t>
      </w:r>
    </w:p>
    <w:p w:rsidR="00873C09" w:rsidRDefault="00873C09" w:rsidP="00873C09">
      <w:pPr>
        <w:pStyle w:val="SingleTxt"/>
        <w:rPr>
          <w:rFonts w:eastAsia="Calibri"/>
        </w:rPr>
      </w:pPr>
      <w:r>
        <w:t xml:space="preserve">The Contracting Parties shall take the measures necessary to ensure that the equipment referred to in article 1 of this Agreement is inspected and tested for compliance with the said standards in conformity with the provisions of annex 1, appendices 1, 2, 3 and 4, to this Agreement. Each Contracting Party shall recognize the validity of certificates of compliance issued in conformity with annex 1, appendix 1, </w:t>
      </w:r>
      <w:proofErr w:type="gramStart"/>
      <w:r>
        <w:t>paragraph</w:t>
      </w:r>
      <w:proofErr w:type="gramEnd"/>
      <w:r>
        <w:t xml:space="preserve"> 3 to this Agreement by the competent authority of another Contracting Party. Each Contracting Party may recognize the validity of certificates of compliance issued in conformity with the requirements of annex 1, appendices 1 and 2, to this Agreement by the competent authority of a State not a Contracting Party.</w:t>
      </w:r>
    </w:p>
    <w:p w:rsidR="00873C09" w:rsidRDefault="00873C09" w:rsidP="00873C09">
      <w:pPr>
        <w:pStyle w:val="SingleTxt"/>
        <w:rPr>
          <w:rFonts w:eastAsia="Calibri"/>
        </w:rPr>
      </w:pPr>
      <w:r w:rsidRPr="00873C09">
        <w:rPr>
          <w:b/>
          <w:bCs/>
        </w:rPr>
        <w:t>The competent authorities of the Contracting Parties shall gain accreditation under standard ISO 17065 for the assessments covered by the present Agreement from an accreditation body belonging to the International Laboratory Accreditation Cooperation (ILAC) within the two years following the entry into force of the present amendment.</w:t>
      </w:r>
      <w:r w:rsidR="00A04870">
        <w:t>”</w:t>
      </w:r>
    </w:p>
    <w:p w:rsidR="00873C09" w:rsidRPr="00873C09" w:rsidRDefault="00873C09" w:rsidP="00873C09">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73C09" w:rsidRPr="00873C09" w:rsidSect="00F44D14">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71" w:rsidRDefault="00EA1171">
      <w:r>
        <w:separator/>
      </w:r>
    </w:p>
  </w:endnote>
  <w:endnote w:type="continuationSeparator" w:id="0">
    <w:p w:rsidR="00EA1171" w:rsidRDefault="00EA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44D14" w:rsidTr="00F44D14">
      <w:trPr>
        <w:jc w:val="center"/>
      </w:trPr>
      <w:tc>
        <w:tcPr>
          <w:tcW w:w="5126" w:type="dxa"/>
          <w:shd w:val="clear" w:color="auto" w:fill="auto"/>
        </w:tcPr>
        <w:p w:rsidR="00F44D14" w:rsidRPr="00F44D14" w:rsidRDefault="00F44D14" w:rsidP="00F44D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78BD">
            <w:rPr>
              <w:b w:val="0"/>
              <w:w w:val="103"/>
              <w:sz w:val="14"/>
            </w:rPr>
            <w:t>GE.15-11634</w:t>
          </w:r>
          <w:r>
            <w:rPr>
              <w:b w:val="0"/>
              <w:w w:val="103"/>
              <w:sz w:val="14"/>
            </w:rPr>
            <w:fldChar w:fldCharType="end"/>
          </w:r>
        </w:p>
      </w:tc>
      <w:tc>
        <w:tcPr>
          <w:tcW w:w="5127" w:type="dxa"/>
          <w:shd w:val="clear" w:color="auto" w:fill="auto"/>
        </w:tcPr>
        <w:p w:rsidR="00F44D14" w:rsidRPr="00F44D14" w:rsidRDefault="00F44D14" w:rsidP="00F44D14">
          <w:pPr>
            <w:pStyle w:val="Footer"/>
            <w:rPr>
              <w:w w:val="103"/>
            </w:rPr>
          </w:pPr>
          <w:r>
            <w:rPr>
              <w:w w:val="103"/>
            </w:rPr>
            <w:fldChar w:fldCharType="begin"/>
          </w:r>
          <w:r>
            <w:rPr>
              <w:w w:val="103"/>
            </w:rPr>
            <w:instrText xml:space="preserve"> PAGE  \* Arabic  \* MERGEFORMAT </w:instrText>
          </w:r>
          <w:r>
            <w:rPr>
              <w:w w:val="103"/>
            </w:rPr>
            <w:fldChar w:fldCharType="separate"/>
          </w:r>
          <w:r w:rsidR="001236E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36E4">
            <w:rPr>
              <w:w w:val="103"/>
            </w:rPr>
            <w:t>2</w:t>
          </w:r>
          <w:r>
            <w:rPr>
              <w:w w:val="103"/>
            </w:rPr>
            <w:fldChar w:fldCharType="end"/>
          </w:r>
        </w:p>
      </w:tc>
    </w:tr>
  </w:tbl>
  <w:p w:rsidR="00F44D14" w:rsidRPr="00F44D14" w:rsidRDefault="00F44D14" w:rsidP="00F44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44D14" w:rsidTr="00F44D14">
      <w:trPr>
        <w:jc w:val="center"/>
      </w:trPr>
      <w:tc>
        <w:tcPr>
          <w:tcW w:w="5126" w:type="dxa"/>
          <w:shd w:val="clear" w:color="auto" w:fill="auto"/>
        </w:tcPr>
        <w:p w:rsidR="00F44D14" w:rsidRPr="00F44D14" w:rsidRDefault="00F44D14" w:rsidP="00F44D1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178B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178BD">
            <w:rPr>
              <w:w w:val="103"/>
            </w:rPr>
            <w:t>2</w:t>
          </w:r>
          <w:r>
            <w:rPr>
              <w:w w:val="103"/>
            </w:rPr>
            <w:fldChar w:fldCharType="end"/>
          </w:r>
        </w:p>
      </w:tc>
      <w:tc>
        <w:tcPr>
          <w:tcW w:w="5127" w:type="dxa"/>
          <w:shd w:val="clear" w:color="auto" w:fill="auto"/>
        </w:tcPr>
        <w:p w:rsidR="00F44D14" w:rsidRPr="00F44D14" w:rsidRDefault="00F44D14" w:rsidP="00F44D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78BD">
            <w:rPr>
              <w:b w:val="0"/>
              <w:w w:val="103"/>
              <w:sz w:val="14"/>
            </w:rPr>
            <w:t>GE.15-11634</w:t>
          </w:r>
          <w:r>
            <w:rPr>
              <w:b w:val="0"/>
              <w:w w:val="103"/>
              <w:sz w:val="14"/>
            </w:rPr>
            <w:fldChar w:fldCharType="end"/>
          </w:r>
        </w:p>
      </w:tc>
    </w:tr>
  </w:tbl>
  <w:p w:rsidR="00F44D14" w:rsidRPr="00F44D14" w:rsidRDefault="00F44D14" w:rsidP="00F44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F44D14" w:rsidTr="00F44D14">
      <w:tc>
        <w:tcPr>
          <w:tcW w:w="3859" w:type="dxa"/>
        </w:tcPr>
        <w:p w:rsidR="00F44D14" w:rsidRDefault="00F44D14" w:rsidP="00F44D14">
          <w:pPr>
            <w:pStyle w:val="ReleaseDate"/>
          </w:pPr>
          <w:r>
            <w:rPr>
              <w:noProof/>
              <w:lang w:eastAsia="en-GB"/>
            </w:rPr>
            <w:drawing>
              <wp:anchor distT="0" distB="0" distL="114300" distR="114300" simplePos="0" relativeHeight="251658240" behindDoc="0" locked="0" layoutInCell="1" allowOverlap="1" wp14:anchorId="23D544F2" wp14:editId="47C2B67B">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1/2015/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GE.15-11634 (E)    170815    170815</w:t>
          </w:r>
        </w:p>
        <w:p w:rsidR="00F44D14" w:rsidRPr="00F44D14" w:rsidRDefault="00F44D14" w:rsidP="00F44D1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*1511634*</w:t>
          </w:r>
        </w:p>
      </w:tc>
      <w:tc>
        <w:tcPr>
          <w:tcW w:w="5127" w:type="dxa"/>
        </w:tcPr>
        <w:p w:rsidR="00F44D14" w:rsidRDefault="00F44D14" w:rsidP="00F44D14">
          <w:pPr>
            <w:pStyle w:val="Footer"/>
            <w:jc w:val="right"/>
            <w:rPr>
              <w:b w:val="0"/>
              <w:sz w:val="20"/>
            </w:rPr>
          </w:pPr>
          <w:r>
            <w:rPr>
              <w:b w:val="0"/>
              <w:sz w:val="20"/>
              <w:lang w:val="en-GB" w:eastAsia="en-GB"/>
            </w:rPr>
            <w:drawing>
              <wp:inline distT="0" distB="0" distL="0" distR="0" wp14:anchorId="13DF59DD" wp14:editId="7A872A3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44D14" w:rsidRPr="00F44D14" w:rsidRDefault="00F44D14" w:rsidP="00F44D1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71" w:rsidRDefault="00EA1171">
      <w:r>
        <w:separator/>
      </w:r>
    </w:p>
  </w:footnote>
  <w:footnote w:type="continuationSeparator" w:id="0">
    <w:p w:rsidR="00EA1171" w:rsidRDefault="00EA1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44D14" w:rsidTr="00F44D14">
      <w:trPr>
        <w:trHeight w:hRule="exact" w:val="864"/>
        <w:jc w:val="center"/>
      </w:trPr>
      <w:tc>
        <w:tcPr>
          <w:tcW w:w="4882" w:type="dxa"/>
          <w:shd w:val="clear" w:color="auto" w:fill="auto"/>
          <w:vAlign w:val="bottom"/>
        </w:tcPr>
        <w:p w:rsidR="00F44D14" w:rsidRPr="00F44D14" w:rsidRDefault="00F44D14" w:rsidP="00F44D14">
          <w:pPr>
            <w:pStyle w:val="Header"/>
            <w:spacing w:after="80"/>
            <w:rPr>
              <w:b/>
            </w:rPr>
          </w:pPr>
          <w:r>
            <w:rPr>
              <w:b/>
            </w:rPr>
            <w:fldChar w:fldCharType="begin"/>
          </w:r>
          <w:r>
            <w:rPr>
              <w:b/>
            </w:rPr>
            <w:instrText xml:space="preserve"> DOCVARIABLE "sss1" \* MERGEFORMAT </w:instrText>
          </w:r>
          <w:r>
            <w:rPr>
              <w:b/>
            </w:rPr>
            <w:fldChar w:fldCharType="separate"/>
          </w:r>
          <w:r w:rsidR="007178BD">
            <w:rPr>
              <w:b/>
            </w:rPr>
            <w:t>ECE/TRANS/WP.11/2015/12</w:t>
          </w:r>
          <w:r>
            <w:rPr>
              <w:b/>
            </w:rPr>
            <w:fldChar w:fldCharType="end"/>
          </w:r>
        </w:p>
      </w:tc>
      <w:tc>
        <w:tcPr>
          <w:tcW w:w="5127" w:type="dxa"/>
          <w:shd w:val="clear" w:color="auto" w:fill="auto"/>
          <w:vAlign w:val="bottom"/>
        </w:tcPr>
        <w:p w:rsidR="00F44D14" w:rsidRDefault="00F44D14" w:rsidP="00F44D14">
          <w:pPr>
            <w:pStyle w:val="Header"/>
          </w:pPr>
        </w:p>
      </w:tc>
    </w:tr>
  </w:tbl>
  <w:p w:rsidR="00F44D14" w:rsidRPr="00F44D14" w:rsidRDefault="00F44D14" w:rsidP="00F44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44D14" w:rsidTr="00F44D14">
      <w:trPr>
        <w:trHeight w:hRule="exact" w:val="864"/>
        <w:jc w:val="center"/>
      </w:trPr>
      <w:tc>
        <w:tcPr>
          <w:tcW w:w="4882" w:type="dxa"/>
          <w:shd w:val="clear" w:color="auto" w:fill="auto"/>
          <w:vAlign w:val="bottom"/>
        </w:tcPr>
        <w:p w:rsidR="00F44D14" w:rsidRDefault="00F44D14" w:rsidP="00F44D14">
          <w:pPr>
            <w:pStyle w:val="Header"/>
          </w:pPr>
        </w:p>
      </w:tc>
      <w:tc>
        <w:tcPr>
          <w:tcW w:w="5127" w:type="dxa"/>
          <w:shd w:val="clear" w:color="auto" w:fill="auto"/>
          <w:vAlign w:val="bottom"/>
        </w:tcPr>
        <w:p w:rsidR="00F44D14" w:rsidRPr="00F44D14" w:rsidRDefault="00F44D14" w:rsidP="00F44D14">
          <w:pPr>
            <w:pStyle w:val="Header"/>
            <w:spacing w:after="80"/>
            <w:jc w:val="right"/>
            <w:rPr>
              <w:b/>
            </w:rPr>
          </w:pPr>
          <w:r>
            <w:rPr>
              <w:b/>
            </w:rPr>
            <w:fldChar w:fldCharType="begin"/>
          </w:r>
          <w:r>
            <w:rPr>
              <w:b/>
            </w:rPr>
            <w:instrText xml:space="preserve"> DOCVARIABLE "sss1" \* MERGEFORMAT </w:instrText>
          </w:r>
          <w:r>
            <w:rPr>
              <w:b/>
            </w:rPr>
            <w:fldChar w:fldCharType="separate"/>
          </w:r>
          <w:r w:rsidR="007178BD">
            <w:rPr>
              <w:b/>
            </w:rPr>
            <w:t>ECE/TRANS/WP.11/2015/12</w:t>
          </w:r>
          <w:r>
            <w:rPr>
              <w:b/>
            </w:rPr>
            <w:fldChar w:fldCharType="end"/>
          </w:r>
        </w:p>
      </w:tc>
    </w:tr>
  </w:tbl>
  <w:p w:rsidR="00F44D14" w:rsidRPr="00F44D14" w:rsidRDefault="00F44D14" w:rsidP="00F44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F44D14" w:rsidTr="00F44D14">
      <w:trPr>
        <w:trHeight w:hRule="exact" w:val="864"/>
      </w:trPr>
      <w:tc>
        <w:tcPr>
          <w:tcW w:w="1267" w:type="dxa"/>
          <w:tcBorders>
            <w:bottom w:val="single" w:sz="4" w:space="0" w:color="auto"/>
          </w:tcBorders>
          <w:shd w:val="clear" w:color="auto" w:fill="auto"/>
          <w:vAlign w:val="bottom"/>
        </w:tcPr>
        <w:p w:rsidR="00F44D14" w:rsidRDefault="00F44D14" w:rsidP="00F44D14">
          <w:pPr>
            <w:pStyle w:val="Header"/>
            <w:spacing w:after="120"/>
          </w:pPr>
        </w:p>
      </w:tc>
      <w:tc>
        <w:tcPr>
          <w:tcW w:w="1872" w:type="dxa"/>
          <w:tcBorders>
            <w:bottom w:val="single" w:sz="4" w:space="0" w:color="auto"/>
          </w:tcBorders>
          <w:shd w:val="clear" w:color="auto" w:fill="auto"/>
          <w:vAlign w:val="bottom"/>
        </w:tcPr>
        <w:p w:rsidR="00F44D14" w:rsidRPr="00F44D14" w:rsidRDefault="00F44D14" w:rsidP="00F44D1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44D14" w:rsidRDefault="00F44D14" w:rsidP="00F44D14">
          <w:pPr>
            <w:pStyle w:val="Header"/>
            <w:spacing w:after="120"/>
          </w:pPr>
        </w:p>
      </w:tc>
      <w:tc>
        <w:tcPr>
          <w:tcW w:w="6653" w:type="dxa"/>
          <w:gridSpan w:val="4"/>
          <w:tcBorders>
            <w:bottom w:val="single" w:sz="4" w:space="0" w:color="auto"/>
          </w:tcBorders>
          <w:shd w:val="clear" w:color="auto" w:fill="auto"/>
          <w:vAlign w:val="bottom"/>
        </w:tcPr>
        <w:p w:rsidR="00F44D14" w:rsidRPr="00F44D14" w:rsidRDefault="00F44D14" w:rsidP="00F44D14">
          <w:pPr>
            <w:spacing w:after="80" w:line="240" w:lineRule="auto"/>
            <w:jc w:val="right"/>
            <w:rPr>
              <w:position w:val="-4"/>
            </w:rPr>
          </w:pPr>
          <w:r>
            <w:rPr>
              <w:position w:val="-4"/>
              <w:sz w:val="40"/>
            </w:rPr>
            <w:t>ECE</w:t>
          </w:r>
          <w:r>
            <w:rPr>
              <w:position w:val="-4"/>
            </w:rPr>
            <w:t>/TRANS/WP.11/2015/12</w:t>
          </w:r>
        </w:p>
      </w:tc>
    </w:tr>
    <w:tr w:rsidR="00F44D14" w:rsidRPr="00F44D14" w:rsidTr="00F44D14">
      <w:trPr>
        <w:gridAfter w:val="1"/>
        <w:wAfter w:w="18" w:type="dxa"/>
        <w:trHeight w:hRule="exact" w:val="2880"/>
      </w:trPr>
      <w:tc>
        <w:tcPr>
          <w:tcW w:w="1267" w:type="dxa"/>
          <w:tcBorders>
            <w:top w:val="single" w:sz="4" w:space="0" w:color="auto"/>
            <w:bottom w:val="single" w:sz="12" w:space="0" w:color="auto"/>
          </w:tcBorders>
          <w:shd w:val="clear" w:color="auto" w:fill="auto"/>
        </w:tcPr>
        <w:p w:rsidR="00F44D14" w:rsidRPr="00F44D14" w:rsidRDefault="00F44D14" w:rsidP="00F44D14">
          <w:pPr>
            <w:pStyle w:val="Header"/>
            <w:spacing w:before="120"/>
            <w:jc w:val="center"/>
          </w:pPr>
          <w:r>
            <w:t xml:space="preserve"> </w:t>
          </w:r>
          <w:r>
            <w:rPr>
              <w:lang w:val="en-GB" w:eastAsia="en-GB"/>
            </w:rPr>
            <w:drawing>
              <wp:inline distT="0" distB="0" distL="0" distR="0" wp14:anchorId="23492C65" wp14:editId="4938D1C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44D14" w:rsidRPr="00F44D14" w:rsidRDefault="00F44D14" w:rsidP="00F44D14">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F44D14" w:rsidRPr="00F44D14" w:rsidRDefault="00F44D14" w:rsidP="00F44D14">
          <w:pPr>
            <w:pStyle w:val="Header"/>
            <w:spacing w:before="109"/>
          </w:pPr>
        </w:p>
      </w:tc>
      <w:tc>
        <w:tcPr>
          <w:tcW w:w="3280" w:type="dxa"/>
          <w:tcBorders>
            <w:top w:val="single" w:sz="4" w:space="0" w:color="auto"/>
            <w:bottom w:val="single" w:sz="12" w:space="0" w:color="auto"/>
          </w:tcBorders>
          <w:shd w:val="clear" w:color="auto" w:fill="auto"/>
        </w:tcPr>
        <w:p w:rsidR="00F44D14" w:rsidRDefault="00F44D14" w:rsidP="00F44D14">
          <w:pPr>
            <w:pStyle w:val="Distribution"/>
            <w:rPr>
              <w:color w:val="010000"/>
            </w:rPr>
          </w:pPr>
          <w:r>
            <w:rPr>
              <w:color w:val="010000"/>
            </w:rPr>
            <w:t>Distr.: General</w:t>
          </w:r>
        </w:p>
        <w:p w:rsidR="00F44D14" w:rsidRDefault="00F44D14" w:rsidP="00C43595">
          <w:pPr>
            <w:pStyle w:val="Publication"/>
            <w:rPr>
              <w:color w:val="010000"/>
            </w:rPr>
          </w:pPr>
          <w:r>
            <w:rPr>
              <w:color w:val="010000"/>
            </w:rPr>
            <w:t>9 July 2015</w:t>
          </w:r>
        </w:p>
        <w:p w:rsidR="00F44D14" w:rsidRDefault="00F44D14" w:rsidP="00F44D14">
          <w:pPr>
            <w:rPr>
              <w:color w:val="010000"/>
            </w:rPr>
          </w:pPr>
          <w:r>
            <w:rPr>
              <w:color w:val="010000"/>
            </w:rPr>
            <w:t>English</w:t>
          </w:r>
        </w:p>
        <w:p w:rsidR="00F44D14" w:rsidRDefault="00F44D14" w:rsidP="00F44D14">
          <w:pPr>
            <w:pStyle w:val="Original"/>
            <w:rPr>
              <w:color w:val="010000"/>
            </w:rPr>
          </w:pPr>
          <w:r>
            <w:rPr>
              <w:color w:val="010000"/>
            </w:rPr>
            <w:t>Original: French</w:t>
          </w:r>
        </w:p>
        <w:p w:rsidR="00F44D14" w:rsidRPr="00F44D14" w:rsidRDefault="00F44D14" w:rsidP="00F44D14"/>
      </w:tc>
    </w:tr>
  </w:tbl>
  <w:p w:rsidR="00F44D14" w:rsidRPr="00F44D14" w:rsidRDefault="00F44D14" w:rsidP="00F44D1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34*"/>
    <w:docVar w:name="CreationDt" w:val="17/08/2015 11:23:13"/>
    <w:docVar w:name="DocCategory" w:val="Doc"/>
    <w:docVar w:name="DocType" w:val="Final"/>
    <w:docVar w:name="DutyStation" w:val="Geneva"/>
    <w:docVar w:name="FooterJN" w:val="GE.15-11634"/>
    <w:docVar w:name="jobn" w:val="GE.15-11634 (E)"/>
    <w:docVar w:name="jobnDT" w:val="GE.15-11634 (E)   170815"/>
    <w:docVar w:name="jobnDTDT" w:val="GE. 15-11634 (E)   170815   170815"/>
    <w:docVar w:name="JobNo" w:val="GE.1511634E"/>
    <w:docVar w:name="JobNo2" w:val="1515291E"/>
    <w:docVar w:name="LocalDrive" w:val="0"/>
    <w:docVar w:name="OandT" w:val="AVT"/>
    <w:docVar w:name="PaperSize" w:val="A4"/>
    <w:docVar w:name="sss1" w:val="ECE/TRANS/WP.11/2015/12"/>
    <w:docVar w:name="sss2" w:val="-"/>
    <w:docVar w:name="Symbol1" w:val="ECE/TRANS/WP.11/2015/12"/>
    <w:docVar w:name="Symbol2" w:val="-"/>
  </w:docVars>
  <w:rsids>
    <w:rsidRoot w:val="00EA1171"/>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E1A"/>
    <w:rsid w:val="00100B22"/>
    <w:rsid w:val="00104C2F"/>
    <w:rsid w:val="00105C9B"/>
    <w:rsid w:val="00107D5F"/>
    <w:rsid w:val="00111F5A"/>
    <w:rsid w:val="0011241F"/>
    <w:rsid w:val="00112598"/>
    <w:rsid w:val="00113764"/>
    <w:rsid w:val="00114F9E"/>
    <w:rsid w:val="0011565A"/>
    <w:rsid w:val="0012032E"/>
    <w:rsid w:val="001208CF"/>
    <w:rsid w:val="001223CB"/>
    <w:rsid w:val="001236E4"/>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03A1A"/>
    <w:rsid w:val="00210D7F"/>
    <w:rsid w:val="00211F3F"/>
    <w:rsid w:val="00213104"/>
    <w:rsid w:val="002141E3"/>
    <w:rsid w:val="00215D15"/>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599F"/>
    <w:rsid w:val="004C72E0"/>
    <w:rsid w:val="004C7A38"/>
    <w:rsid w:val="004C7E05"/>
    <w:rsid w:val="004D0839"/>
    <w:rsid w:val="004D0C85"/>
    <w:rsid w:val="004D2970"/>
    <w:rsid w:val="004D3027"/>
    <w:rsid w:val="004D580C"/>
    <w:rsid w:val="004D5846"/>
    <w:rsid w:val="004D7A08"/>
    <w:rsid w:val="004E669B"/>
    <w:rsid w:val="004F09C3"/>
    <w:rsid w:val="004F1019"/>
    <w:rsid w:val="004F269C"/>
    <w:rsid w:val="004F2B25"/>
    <w:rsid w:val="004F4085"/>
    <w:rsid w:val="004F4AA8"/>
    <w:rsid w:val="004F71A8"/>
    <w:rsid w:val="00502499"/>
    <w:rsid w:val="00511E5A"/>
    <w:rsid w:val="00514854"/>
    <w:rsid w:val="00516D15"/>
    <w:rsid w:val="005200EA"/>
    <w:rsid w:val="005300F6"/>
    <w:rsid w:val="00533CFD"/>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10880"/>
    <w:rsid w:val="007108C3"/>
    <w:rsid w:val="00716FBE"/>
    <w:rsid w:val="00717723"/>
    <w:rsid w:val="007178BD"/>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1E0B"/>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3C09"/>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0A8C"/>
    <w:rsid w:val="008E2435"/>
    <w:rsid w:val="008E2700"/>
    <w:rsid w:val="008E4C20"/>
    <w:rsid w:val="008F1972"/>
    <w:rsid w:val="008F3AD2"/>
    <w:rsid w:val="008F78FD"/>
    <w:rsid w:val="00902473"/>
    <w:rsid w:val="00902D37"/>
    <w:rsid w:val="00902F4F"/>
    <w:rsid w:val="00902F7B"/>
    <w:rsid w:val="00905226"/>
    <w:rsid w:val="009117E9"/>
    <w:rsid w:val="00913843"/>
    <w:rsid w:val="00914CC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6EFD"/>
    <w:rsid w:val="009C7D16"/>
    <w:rsid w:val="009D23EF"/>
    <w:rsid w:val="009D6159"/>
    <w:rsid w:val="009D7F7A"/>
    <w:rsid w:val="009E1D8F"/>
    <w:rsid w:val="009E1EC0"/>
    <w:rsid w:val="009E2D53"/>
    <w:rsid w:val="009E6C4F"/>
    <w:rsid w:val="009E70E6"/>
    <w:rsid w:val="009F0EFA"/>
    <w:rsid w:val="009F11CF"/>
    <w:rsid w:val="009F1279"/>
    <w:rsid w:val="009F68B5"/>
    <w:rsid w:val="009F75F1"/>
    <w:rsid w:val="009F79AF"/>
    <w:rsid w:val="00A0449E"/>
    <w:rsid w:val="00A04870"/>
    <w:rsid w:val="00A05B1C"/>
    <w:rsid w:val="00A07847"/>
    <w:rsid w:val="00A12857"/>
    <w:rsid w:val="00A16DCD"/>
    <w:rsid w:val="00A224BA"/>
    <w:rsid w:val="00A24811"/>
    <w:rsid w:val="00A251C7"/>
    <w:rsid w:val="00A26996"/>
    <w:rsid w:val="00A274FC"/>
    <w:rsid w:val="00A309AC"/>
    <w:rsid w:val="00A33C7F"/>
    <w:rsid w:val="00A35945"/>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F90"/>
    <w:rsid w:val="00BA2239"/>
    <w:rsid w:val="00BA2886"/>
    <w:rsid w:val="00BA4E0D"/>
    <w:rsid w:val="00BB1AD4"/>
    <w:rsid w:val="00BB3145"/>
    <w:rsid w:val="00BC2DFF"/>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36980"/>
    <w:rsid w:val="00C42166"/>
    <w:rsid w:val="00C421CA"/>
    <w:rsid w:val="00C433B8"/>
    <w:rsid w:val="00C43595"/>
    <w:rsid w:val="00C4446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171"/>
    <w:rsid w:val="00EA19C9"/>
    <w:rsid w:val="00EA63A7"/>
    <w:rsid w:val="00EA659F"/>
    <w:rsid w:val="00EA739D"/>
    <w:rsid w:val="00EB1E10"/>
    <w:rsid w:val="00EB7547"/>
    <w:rsid w:val="00EB7684"/>
    <w:rsid w:val="00EC008D"/>
    <w:rsid w:val="00EC2B23"/>
    <w:rsid w:val="00EC4A17"/>
    <w:rsid w:val="00EC5273"/>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60C9"/>
    <w:rsid w:val="00F272B2"/>
    <w:rsid w:val="00F27CCD"/>
    <w:rsid w:val="00F30B11"/>
    <w:rsid w:val="00F31418"/>
    <w:rsid w:val="00F32DEE"/>
    <w:rsid w:val="00F34519"/>
    <w:rsid w:val="00F35998"/>
    <w:rsid w:val="00F44C19"/>
    <w:rsid w:val="00F44D14"/>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4657"/>
    <w:rsid w:val="00FD489F"/>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44D14"/>
    <w:pPr>
      <w:spacing w:line="240" w:lineRule="auto"/>
    </w:pPr>
  </w:style>
  <w:style w:type="character" w:customStyle="1" w:styleId="CommentTextChar">
    <w:name w:val="Comment Text Char"/>
    <w:basedOn w:val="DefaultParagraphFont"/>
    <w:link w:val="CommentText"/>
    <w:rsid w:val="00F44D14"/>
    <w:rPr>
      <w:spacing w:val="4"/>
      <w:w w:val="103"/>
      <w:kern w:val="14"/>
      <w:lang w:val="en-GB"/>
    </w:rPr>
  </w:style>
  <w:style w:type="paragraph" w:styleId="CommentSubject">
    <w:name w:val="annotation subject"/>
    <w:basedOn w:val="CommentText"/>
    <w:next w:val="CommentText"/>
    <w:link w:val="CommentSubjectChar"/>
    <w:rsid w:val="00F44D14"/>
    <w:rPr>
      <w:b/>
      <w:bCs/>
    </w:rPr>
  </w:style>
  <w:style w:type="character" w:customStyle="1" w:styleId="CommentSubjectChar">
    <w:name w:val="Comment Subject Char"/>
    <w:basedOn w:val="CommentTextChar"/>
    <w:link w:val="CommentSubject"/>
    <w:rsid w:val="00F44D14"/>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44D14"/>
    <w:pPr>
      <w:spacing w:line="240" w:lineRule="auto"/>
    </w:pPr>
  </w:style>
  <w:style w:type="character" w:customStyle="1" w:styleId="CommentTextChar">
    <w:name w:val="Comment Text Char"/>
    <w:basedOn w:val="DefaultParagraphFont"/>
    <w:link w:val="CommentText"/>
    <w:rsid w:val="00F44D14"/>
    <w:rPr>
      <w:spacing w:val="4"/>
      <w:w w:val="103"/>
      <w:kern w:val="14"/>
      <w:lang w:val="en-GB"/>
    </w:rPr>
  </w:style>
  <w:style w:type="paragraph" w:styleId="CommentSubject">
    <w:name w:val="annotation subject"/>
    <w:basedOn w:val="CommentText"/>
    <w:next w:val="CommentText"/>
    <w:link w:val="CommentSubjectChar"/>
    <w:rsid w:val="00F44D14"/>
    <w:rPr>
      <w:b/>
      <w:bCs/>
    </w:rPr>
  </w:style>
  <w:style w:type="character" w:customStyle="1" w:styleId="CommentSubjectChar">
    <w:name w:val="Comment Subject Char"/>
    <w:basedOn w:val="CommentTextChar"/>
    <w:link w:val="CommentSubject"/>
    <w:rsid w:val="00F44D14"/>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A053-D1CA-4931-9907-7B1BDC74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Caillot</cp:lastModifiedBy>
  <cp:revision>3</cp:revision>
  <cp:lastPrinted>2015-08-17T09:53:00Z</cp:lastPrinted>
  <dcterms:created xsi:type="dcterms:W3CDTF">2015-08-27T13:34:00Z</dcterms:created>
  <dcterms:modified xsi:type="dcterms:W3CDTF">2015-08-27T15:59:00Z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1511634</vt:lpwstr>
  </property>
  <property fmtid="{D5CDD505-2E9C-101B-9397-08002B2CF9AE}" pid="3" name="ODSRefJobNo">
    <vt:lpwstr>1515291E</vt:lpwstr>
  </property>
  <property fmtid="{D5CDD505-2E9C-101B-9397-08002B2CF9AE}" pid="4" name="Symbol1">
    <vt:lpwstr>ECE/TRANS/WP.11/2015/12</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July 2015</vt:lpwstr>
  </property>
  <property fmtid="{D5CDD505-2E9C-101B-9397-08002B2CF9AE}" pid="12" name="Original">
    <vt:lpwstr>French</vt:lpwstr>
  </property>
  <property fmtid="{D5CDD505-2E9C-101B-9397-08002B2CF9AE}" pid="13" name="Release Date">
    <vt:lpwstr>170815</vt:lpwstr>
  </property>
</Properties>
</file>