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6E" w:rsidRPr="007F511E" w:rsidRDefault="00451A6E" w:rsidP="00451A6E">
      <w:pPr>
        <w:spacing w:line="240" w:lineRule="auto"/>
        <w:rPr>
          <w:sz w:val="2"/>
          <w:lang w:val="fr-CH"/>
        </w:rPr>
        <w:sectPr w:rsidR="00451A6E" w:rsidRPr="007F511E" w:rsidSect="00451A6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765105" w:rsidRPr="007F511E" w:rsidRDefault="00765105" w:rsidP="00765105">
      <w:pPr>
        <w:pStyle w:val="H1"/>
        <w:spacing w:after="120"/>
        <w:rPr>
          <w:sz w:val="28"/>
          <w:lang w:val="fr-CH"/>
        </w:rPr>
      </w:pPr>
      <w:r w:rsidRPr="007F511E">
        <w:rPr>
          <w:sz w:val="28"/>
          <w:lang w:val="fr-CH"/>
        </w:rPr>
        <w:lastRenderedPageBreak/>
        <w:t>Commission économique pour l’Europe</w:t>
      </w:r>
    </w:p>
    <w:p w:rsidR="00765105" w:rsidRPr="007F511E" w:rsidRDefault="00765105" w:rsidP="00765105">
      <w:pPr>
        <w:pStyle w:val="H1"/>
        <w:spacing w:after="120" w:line="300" w:lineRule="exact"/>
        <w:rPr>
          <w:b w:val="0"/>
          <w:sz w:val="28"/>
          <w:lang w:val="fr-CH"/>
        </w:rPr>
      </w:pPr>
      <w:r w:rsidRPr="007F511E">
        <w:rPr>
          <w:b w:val="0"/>
          <w:sz w:val="28"/>
          <w:lang w:val="fr-CH"/>
        </w:rPr>
        <w:t>Comité des transports intérieurs</w:t>
      </w:r>
    </w:p>
    <w:p w:rsidR="00765105" w:rsidRPr="007F511E" w:rsidRDefault="00765105" w:rsidP="00765105">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511E">
        <w:rPr>
          <w:lang w:val="fr-CH"/>
        </w:rPr>
        <w:t>Groupe de travail des transpo</w:t>
      </w:r>
      <w:r w:rsidR="001F5CDF">
        <w:rPr>
          <w:lang w:val="fr-CH"/>
        </w:rPr>
        <w:t xml:space="preserve">rts </w:t>
      </w:r>
      <w:r w:rsidR="001F5CDF">
        <w:rPr>
          <w:lang w:val="fr-CH"/>
        </w:rPr>
        <w:br/>
        <w:t>de marchandises dangereuses</w:t>
      </w:r>
    </w:p>
    <w:p w:rsidR="00765105" w:rsidRPr="007F511E" w:rsidRDefault="00765105" w:rsidP="00765105">
      <w:pPr>
        <w:spacing w:line="120" w:lineRule="exact"/>
        <w:rPr>
          <w:sz w:val="10"/>
          <w:lang w:val="fr-CH"/>
        </w:rPr>
      </w:pPr>
    </w:p>
    <w:p w:rsidR="00765105" w:rsidRPr="007F511E" w:rsidRDefault="00765105" w:rsidP="00765105">
      <w:pPr>
        <w:spacing w:line="120" w:lineRule="exact"/>
        <w:rPr>
          <w:sz w:val="10"/>
          <w:lang w:val="fr-CH"/>
        </w:rPr>
      </w:pPr>
    </w:p>
    <w:p w:rsidR="00765105" w:rsidRPr="007F511E" w:rsidRDefault="00765105" w:rsidP="0076510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511E">
        <w:rPr>
          <w:lang w:val="fr-CH"/>
        </w:rPr>
        <w:t xml:space="preserve">Réunion commune d’experts sur le Règlement annexé à l’Accord </w:t>
      </w:r>
      <w:r w:rsidRPr="007F511E">
        <w:rPr>
          <w:lang w:val="fr-CH"/>
        </w:rPr>
        <w:br/>
        <w:t xml:space="preserve">européen relatif au transport international des marchandises </w:t>
      </w:r>
      <w:r w:rsidRPr="007F511E">
        <w:rPr>
          <w:lang w:val="fr-CH"/>
        </w:rPr>
        <w:br/>
        <w:t xml:space="preserve">dangereuses par voies de navigation intérieures (ADN) </w:t>
      </w:r>
      <w:r w:rsidRPr="007F511E">
        <w:rPr>
          <w:lang w:val="fr-CH"/>
        </w:rPr>
        <w:br/>
        <w:t>(Comité de sécurité de l’ADN)</w:t>
      </w:r>
    </w:p>
    <w:p w:rsidR="00765105" w:rsidRPr="007F511E" w:rsidRDefault="00765105" w:rsidP="00765105">
      <w:pPr>
        <w:spacing w:line="120" w:lineRule="exact"/>
        <w:rPr>
          <w:sz w:val="10"/>
          <w:lang w:val="fr-CH"/>
        </w:rPr>
      </w:pPr>
    </w:p>
    <w:p w:rsidR="00765105" w:rsidRPr="007F511E" w:rsidRDefault="00765105" w:rsidP="0076510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511E">
        <w:rPr>
          <w:lang w:val="fr-CH"/>
        </w:rPr>
        <w:t>Vingt-septième session</w:t>
      </w:r>
    </w:p>
    <w:p w:rsidR="00765105" w:rsidRPr="007F511E" w:rsidRDefault="00765105" w:rsidP="00765105">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511E">
        <w:rPr>
          <w:lang w:val="fr-CH"/>
        </w:rPr>
        <w:t>Genève, 24-28 août 2015</w:t>
      </w:r>
    </w:p>
    <w:p w:rsidR="00765105" w:rsidRPr="007F511E" w:rsidRDefault="00765105" w:rsidP="00765105">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7F511E">
        <w:rPr>
          <w:lang w:val="fr-CH"/>
        </w:rPr>
        <w:t xml:space="preserve">Point </w:t>
      </w:r>
      <w:r w:rsidR="005A2530">
        <w:rPr>
          <w:lang w:val="fr-CH"/>
        </w:rPr>
        <w:t>3 c</w:t>
      </w:r>
      <w:r w:rsidRPr="007F511E">
        <w:rPr>
          <w:lang w:val="fr-CH"/>
        </w:rPr>
        <w:t>) de l’ordre du jour provisoire</w:t>
      </w:r>
    </w:p>
    <w:p w:rsidR="00765105" w:rsidRPr="007F511E" w:rsidRDefault="00765105" w:rsidP="0076510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CH" w:bidi="fr-CH"/>
        </w:rPr>
      </w:pPr>
      <w:r w:rsidRPr="007F511E">
        <w:rPr>
          <w:lang w:val="fr-CH" w:bidi="fr-CH"/>
        </w:rPr>
        <w:t>Mise en œuvre de l’</w:t>
      </w:r>
      <w:r w:rsidR="004F0E4A">
        <w:rPr>
          <w:lang w:val="fr-CH" w:bidi="fr-CH"/>
        </w:rPr>
        <w:t xml:space="preserve">ADN : </w:t>
      </w:r>
      <w:r w:rsidRPr="007F511E">
        <w:rPr>
          <w:lang w:val="fr-CH" w:bidi="fr-CH"/>
        </w:rPr>
        <w:t xml:space="preserve">Interprétation </w:t>
      </w:r>
      <w:r w:rsidR="004F0E4A">
        <w:rPr>
          <w:lang w:val="fr-CH" w:bidi="fr-CH"/>
        </w:rPr>
        <w:br/>
      </w:r>
      <w:r w:rsidRPr="007F511E">
        <w:rPr>
          <w:lang w:val="fr-CH" w:bidi="fr-CH"/>
        </w:rPr>
        <w:t>du Règlement annexé à l’A</w:t>
      </w:r>
      <w:r w:rsidR="004F0E4A">
        <w:rPr>
          <w:lang w:val="fr-CH" w:bidi="fr-CH"/>
        </w:rPr>
        <w:t>DN</w:t>
      </w:r>
    </w:p>
    <w:p w:rsidR="00765105" w:rsidRPr="007F511E" w:rsidRDefault="00765105" w:rsidP="00765105">
      <w:pPr>
        <w:pStyle w:val="SingleTxt"/>
        <w:spacing w:after="0" w:line="120" w:lineRule="exact"/>
        <w:rPr>
          <w:sz w:val="10"/>
          <w:lang w:val="fr-CH" w:bidi="fr-CH"/>
        </w:rPr>
      </w:pPr>
    </w:p>
    <w:p w:rsidR="00765105" w:rsidRPr="007F511E" w:rsidRDefault="00765105" w:rsidP="00765105">
      <w:pPr>
        <w:pStyle w:val="SingleTxt"/>
        <w:spacing w:after="0" w:line="120" w:lineRule="exact"/>
        <w:rPr>
          <w:sz w:val="10"/>
          <w:lang w:val="fr-CH" w:bidi="fr-CH"/>
        </w:rPr>
      </w:pPr>
    </w:p>
    <w:p w:rsidR="00765105" w:rsidRPr="007F511E" w:rsidRDefault="00765105" w:rsidP="00765105">
      <w:pPr>
        <w:pStyle w:val="SingleTxt"/>
        <w:spacing w:after="0" w:line="120" w:lineRule="exact"/>
        <w:rPr>
          <w:sz w:val="10"/>
          <w:lang w:val="fr-CH" w:bidi="fr-CH"/>
        </w:rPr>
      </w:pPr>
    </w:p>
    <w:p w:rsidR="00765105" w:rsidRPr="007F511E" w:rsidRDefault="00765105" w:rsidP="0076510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7F511E">
        <w:rPr>
          <w:lang w:val="fr-CH" w:bidi="fr-CH"/>
        </w:rPr>
        <w:tab/>
      </w:r>
      <w:r w:rsidRPr="007F511E">
        <w:rPr>
          <w:lang w:val="fr-CH" w:bidi="fr-CH"/>
        </w:rPr>
        <w:tab/>
        <w:t>Demande d’interprétation du paragraphe 1.6.7.4.1</w:t>
      </w:r>
    </w:p>
    <w:p w:rsidR="00765105" w:rsidRPr="007F511E" w:rsidRDefault="00765105" w:rsidP="00765105">
      <w:pPr>
        <w:pStyle w:val="SingleTxt"/>
        <w:spacing w:after="0" w:line="120" w:lineRule="exact"/>
        <w:rPr>
          <w:sz w:val="10"/>
          <w:lang w:val="fr-CH" w:bidi="fr-CH"/>
        </w:rPr>
      </w:pPr>
    </w:p>
    <w:p w:rsidR="00765105" w:rsidRPr="007F511E" w:rsidRDefault="00765105" w:rsidP="00765105">
      <w:pPr>
        <w:pStyle w:val="SingleTxt"/>
        <w:spacing w:after="0" w:line="120" w:lineRule="exact"/>
        <w:rPr>
          <w:sz w:val="10"/>
          <w:lang w:val="fr-CH" w:bidi="fr-CH"/>
        </w:rPr>
      </w:pPr>
    </w:p>
    <w:p w:rsidR="00765105" w:rsidRPr="007F511E" w:rsidRDefault="00765105" w:rsidP="00765105">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7F511E">
        <w:rPr>
          <w:lang w:val="fr-CH" w:bidi="fr-CH"/>
        </w:rPr>
        <w:tab/>
      </w:r>
      <w:r w:rsidRPr="007F511E">
        <w:rPr>
          <w:lang w:val="fr-CH" w:bidi="fr-CH"/>
        </w:rPr>
        <w:tab/>
        <w:t>Communication du Gouvernement des Pays-Bas</w:t>
      </w:r>
      <w:r w:rsidRPr="003E4029">
        <w:rPr>
          <w:rStyle w:val="FootnoteReference"/>
          <w:b w:val="0"/>
          <w:sz w:val="20"/>
          <w:szCs w:val="20"/>
          <w:lang w:val="fr-CH"/>
        </w:rPr>
        <w:footnoteReference w:id="1"/>
      </w:r>
    </w:p>
    <w:p w:rsidR="00765105" w:rsidRPr="007F511E" w:rsidRDefault="00765105" w:rsidP="00765105">
      <w:pPr>
        <w:pStyle w:val="SingleTxt"/>
        <w:spacing w:after="0" w:line="120" w:lineRule="exact"/>
        <w:rPr>
          <w:sz w:val="10"/>
          <w:lang w:val="fr-CH" w:bidi="fr-CH"/>
        </w:rPr>
      </w:pPr>
    </w:p>
    <w:p w:rsidR="00765105" w:rsidRPr="007F511E" w:rsidRDefault="00765105" w:rsidP="00765105">
      <w:pPr>
        <w:pStyle w:val="SingleTxt"/>
        <w:spacing w:after="0" w:line="120" w:lineRule="exact"/>
        <w:rPr>
          <w:sz w:val="10"/>
          <w:lang w:val="fr-CH" w:bidi="fr-CH"/>
        </w:rPr>
      </w:pPr>
    </w:p>
    <w:p w:rsidR="00765105" w:rsidRPr="007F511E" w:rsidRDefault="00765105" w:rsidP="007F51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7F511E">
        <w:rPr>
          <w:lang w:val="fr-CH" w:bidi="fr-CH"/>
        </w:rPr>
        <w:tab/>
      </w:r>
      <w:r w:rsidRPr="007F511E">
        <w:rPr>
          <w:lang w:val="fr-CH" w:bidi="fr-CH"/>
        </w:rPr>
        <w:tab/>
        <w:t>Introduction</w:t>
      </w:r>
    </w:p>
    <w:p w:rsidR="007F511E" w:rsidRPr="007F511E" w:rsidRDefault="007F511E" w:rsidP="007F511E">
      <w:pPr>
        <w:pStyle w:val="SingleTxt"/>
        <w:spacing w:after="0" w:line="120" w:lineRule="exact"/>
        <w:rPr>
          <w:sz w:val="10"/>
          <w:lang w:val="fr-CH" w:bidi="fr-CH"/>
        </w:rPr>
      </w:pPr>
    </w:p>
    <w:p w:rsidR="007F511E" w:rsidRPr="007F511E" w:rsidRDefault="007F511E" w:rsidP="007F511E">
      <w:pPr>
        <w:pStyle w:val="SingleTxt"/>
        <w:spacing w:after="0" w:line="120" w:lineRule="exact"/>
        <w:rPr>
          <w:sz w:val="10"/>
          <w:lang w:val="fr-CH" w:bidi="fr-CH"/>
        </w:rPr>
      </w:pPr>
    </w:p>
    <w:p w:rsidR="007F511E" w:rsidRPr="007F511E" w:rsidRDefault="00765105" w:rsidP="00765105">
      <w:pPr>
        <w:pStyle w:val="SingleTxt"/>
        <w:numPr>
          <w:ilvl w:val="0"/>
          <w:numId w:val="5"/>
        </w:numPr>
        <w:tabs>
          <w:tab w:val="clear" w:pos="475"/>
          <w:tab w:val="num" w:pos="1742"/>
        </w:tabs>
        <w:ind w:left="1267"/>
        <w:rPr>
          <w:lang w:val="fr-CH" w:bidi="fr-CH"/>
        </w:rPr>
      </w:pPr>
      <w:r w:rsidRPr="007F511E">
        <w:rPr>
          <w:lang w:val="fr-CH" w:bidi="fr-CH"/>
        </w:rPr>
        <w:t xml:space="preserve">La délégation hollandaise a reçu des questions concernant l’interprétation du paragraphe 1.6.7.4.1. Il s’agit d’une disposition transitoire relative aux bateaux-citernes à coque simple et aux bateaux avitailleurs et déshuileurs de petite taille. Cette interprétation pouvant clairement porter à conséquence </w:t>
      </w:r>
      <w:r w:rsidR="00E10DED">
        <w:rPr>
          <w:lang w:val="fr-CH" w:bidi="fr-CH"/>
        </w:rPr>
        <w:t>sur les plans</w:t>
      </w:r>
      <w:r w:rsidRPr="007F511E">
        <w:rPr>
          <w:lang w:val="fr-CH" w:bidi="fr-CH"/>
        </w:rPr>
        <w:t xml:space="preserve"> écologique et économique, il a été décidé de traiter ce point dans le cadre du Comité de sécurité de l’ADN.</w:t>
      </w:r>
    </w:p>
    <w:p w:rsidR="00765105" w:rsidRPr="007F511E" w:rsidRDefault="00765105" w:rsidP="00765105">
      <w:pPr>
        <w:pStyle w:val="SingleTxt"/>
        <w:numPr>
          <w:ilvl w:val="0"/>
          <w:numId w:val="5"/>
        </w:numPr>
        <w:tabs>
          <w:tab w:val="clear" w:pos="475"/>
          <w:tab w:val="num" w:pos="1742"/>
        </w:tabs>
        <w:ind w:left="1267"/>
        <w:rPr>
          <w:lang w:val="fr-CH" w:bidi="fr-CH"/>
        </w:rPr>
      </w:pPr>
      <w:r w:rsidRPr="007F511E">
        <w:rPr>
          <w:lang w:val="fr-CH" w:bidi="fr-CH"/>
        </w:rPr>
        <w:t>Le paragraphe 1.6</w:t>
      </w:r>
      <w:r w:rsidR="007F511E" w:rsidRPr="007F511E">
        <w:rPr>
          <w:lang w:val="fr-CH" w:bidi="fr-CH"/>
        </w:rPr>
        <w:t>.7.4.1 est libellé comme suit</w:t>
      </w:r>
      <w:r w:rsidR="007F511E">
        <w:rPr>
          <w:lang w:val="fr-CH" w:bidi="fr-CH"/>
        </w:rPr>
        <w:t> :</w:t>
      </w:r>
    </w:p>
    <w:p w:rsidR="00765105" w:rsidRPr="007F511E" w:rsidRDefault="00903B08" w:rsidP="003A7CE4">
      <w:pPr>
        <w:pStyle w:val="SingleTxt"/>
        <w:ind w:left="2218" w:hanging="951"/>
        <w:jc w:val="left"/>
        <w:rPr>
          <w:lang w:val="fr-CH" w:bidi="fr-CH"/>
        </w:rPr>
      </w:pPr>
      <w:r>
        <w:rPr>
          <w:lang w:val="fr-CH" w:bidi="fr-CH"/>
        </w:rPr>
        <w:t>« </w:t>
      </w:r>
      <w:r w:rsidR="00765105" w:rsidRPr="007F511E">
        <w:rPr>
          <w:lang w:val="fr-CH" w:bidi="fr-CH"/>
        </w:rPr>
        <w:t>1.6.7.4</w:t>
      </w:r>
      <w:r w:rsidR="00765105" w:rsidRPr="007F511E">
        <w:rPr>
          <w:lang w:val="fr-CH" w:bidi="fr-CH"/>
        </w:rPr>
        <w:tab/>
      </w:r>
      <w:r w:rsidR="00765105" w:rsidRPr="007F511E">
        <w:rPr>
          <w:b/>
          <w:i/>
          <w:lang w:val="fr-CH" w:bidi="fr-CH"/>
        </w:rPr>
        <w:t xml:space="preserve">Prescriptions transitoires relatives au transport de matières dangereuses </w:t>
      </w:r>
      <w:r w:rsidR="003A7CE4">
        <w:rPr>
          <w:b/>
          <w:i/>
          <w:lang w:val="fr-CH" w:bidi="fr-CH"/>
        </w:rPr>
        <w:br/>
      </w:r>
      <w:r w:rsidR="00765105" w:rsidRPr="007F511E">
        <w:rPr>
          <w:b/>
          <w:i/>
          <w:lang w:val="fr-CH" w:bidi="fr-CH"/>
        </w:rPr>
        <w:t>pour l’environnement ou pour la santé</w:t>
      </w:r>
    </w:p>
    <w:p w:rsidR="00765105" w:rsidRPr="007F511E" w:rsidRDefault="00765105" w:rsidP="00765105">
      <w:pPr>
        <w:pStyle w:val="SingleTxt"/>
        <w:rPr>
          <w:lang w:val="fr-CH" w:bidi="fr-CH"/>
        </w:rPr>
      </w:pPr>
      <w:r w:rsidRPr="007F511E">
        <w:rPr>
          <w:lang w:val="fr-CH" w:bidi="fr-CH"/>
        </w:rPr>
        <w:t>1.6.7.4.1</w:t>
      </w:r>
      <w:r w:rsidRPr="007F511E">
        <w:rPr>
          <w:lang w:val="fr-CH" w:bidi="fr-CH"/>
        </w:rPr>
        <w:tab/>
      </w:r>
      <w:r w:rsidRPr="007F511E">
        <w:rPr>
          <w:i/>
          <w:lang w:val="fr-CH" w:bidi="fr-CH"/>
        </w:rPr>
        <w:t>Prescriptions transitoires</w:t>
      </w:r>
      <w:r w:rsidR="003A7CE4">
        <w:rPr>
          <w:i/>
          <w:lang w:val="fr-CH" w:bidi="fr-CH"/>
        </w:rPr>
        <w:t> :</w:t>
      </w:r>
      <w:r w:rsidRPr="007F511E">
        <w:rPr>
          <w:i/>
          <w:lang w:val="fr-CH" w:bidi="fr-CH"/>
        </w:rPr>
        <w:t xml:space="preserve"> bateaux</w:t>
      </w:r>
    </w:p>
    <w:p w:rsidR="00765105" w:rsidRPr="007F511E" w:rsidRDefault="003A7CE4" w:rsidP="003A7CE4">
      <w:pPr>
        <w:pStyle w:val="SingleTxt"/>
        <w:ind w:left="2218" w:hanging="951"/>
        <w:rPr>
          <w:lang w:val="fr-CH" w:bidi="fr-CH"/>
        </w:rPr>
      </w:pPr>
      <w:r>
        <w:rPr>
          <w:lang w:val="fr-CH" w:bidi="fr-CH"/>
        </w:rPr>
        <w:tab/>
      </w:r>
      <w:r>
        <w:rPr>
          <w:lang w:val="fr-CH" w:bidi="fr-CH"/>
        </w:rPr>
        <w:tab/>
      </w:r>
      <w:r w:rsidR="00765105" w:rsidRPr="007F511E">
        <w:rPr>
          <w:lang w:val="fr-CH" w:bidi="fr-CH"/>
        </w:rPr>
        <w:t>Les bateaux-citernes à coque simple en service au 1</w:t>
      </w:r>
      <w:r w:rsidR="00765105" w:rsidRPr="003A7CE4">
        <w:rPr>
          <w:vertAlign w:val="superscript"/>
          <w:lang w:val="fr-CH" w:bidi="fr-CH"/>
        </w:rPr>
        <w:t>er</w:t>
      </w:r>
      <w:r>
        <w:rPr>
          <w:lang w:val="fr-CH" w:bidi="fr-CH"/>
        </w:rPr>
        <w:t> </w:t>
      </w:r>
      <w:r w:rsidR="00765105" w:rsidRPr="007F511E">
        <w:rPr>
          <w:lang w:val="fr-CH" w:bidi="fr-CH"/>
        </w:rPr>
        <w:t>janvier 2009 d’un port en lourd au</w:t>
      </w:r>
      <w:r>
        <w:rPr>
          <w:lang w:val="fr-CH" w:bidi="fr-CH"/>
        </w:rPr>
        <w:t xml:space="preserve"> </w:t>
      </w:r>
      <w:r w:rsidR="00765105" w:rsidRPr="007F511E">
        <w:rPr>
          <w:lang w:val="fr-CH" w:bidi="fr-CH"/>
        </w:rPr>
        <w:t>1</w:t>
      </w:r>
      <w:r w:rsidR="00765105" w:rsidRPr="007F511E">
        <w:rPr>
          <w:vertAlign w:val="superscript"/>
          <w:lang w:val="fr-CH" w:bidi="fr-CH"/>
        </w:rPr>
        <w:t>er</w:t>
      </w:r>
      <w:r>
        <w:rPr>
          <w:lang w:val="fr-CH" w:bidi="fr-CH"/>
        </w:rPr>
        <w:t> </w:t>
      </w:r>
      <w:r w:rsidR="00903B08">
        <w:rPr>
          <w:lang w:val="fr-CH" w:bidi="fr-CH"/>
        </w:rPr>
        <w:t>janvier 2007 inférieur à 1 000 </w:t>
      </w:r>
      <w:r w:rsidR="00765105" w:rsidRPr="007F511E">
        <w:rPr>
          <w:lang w:val="fr-CH" w:bidi="fr-CH"/>
        </w:rPr>
        <w:t>t peuvent continuer à transporter les matières qu’ils étaient admis à transporter au 31 décembre 2008 jusqu’au 31 décembre 2018.</w:t>
      </w:r>
    </w:p>
    <w:p w:rsidR="00765105" w:rsidRPr="007F511E" w:rsidRDefault="00903B08" w:rsidP="00903B08">
      <w:pPr>
        <w:pStyle w:val="SingleTxt"/>
        <w:ind w:left="2218" w:hanging="951"/>
        <w:rPr>
          <w:lang w:val="fr-CH" w:bidi="fr-CH"/>
        </w:rPr>
      </w:pPr>
      <w:r>
        <w:rPr>
          <w:lang w:val="fr-CH" w:bidi="fr-CH"/>
        </w:rPr>
        <w:lastRenderedPageBreak/>
        <w:tab/>
      </w:r>
      <w:r>
        <w:rPr>
          <w:lang w:val="fr-CH" w:bidi="fr-CH"/>
        </w:rPr>
        <w:tab/>
      </w:r>
      <w:r w:rsidR="00765105" w:rsidRPr="007F511E">
        <w:rPr>
          <w:lang w:val="fr-CH" w:bidi="fr-CH"/>
        </w:rPr>
        <w:t>Les bateaux avitailleurs et les bateaux déshuileurs en service au 1</w:t>
      </w:r>
      <w:r w:rsidR="00765105" w:rsidRPr="007F511E">
        <w:rPr>
          <w:vertAlign w:val="superscript"/>
          <w:lang w:val="fr-CH" w:bidi="fr-CH"/>
        </w:rPr>
        <w:t>er</w:t>
      </w:r>
      <w:r>
        <w:rPr>
          <w:lang w:val="fr-CH" w:bidi="fr-CH"/>
        </w:rPr>
        <w:t> </w:t>
      </w:r>
      <w:r w:rsidR="00765105" w:rsidRPr="007F511E">
        <w:rPr>
          <w:lang w:val="fr-CH" w:bidi="fr-CH"/>
        </w:rPr>
        <w:t>janvier 2009 d’un port en lourd au 1</w:t>
      </w:r>
      <w:r w:rsidR="00765105" w:rsidRPr="007F511E">
        <w:rPr>
          <w:vertAlign w:val="superscript"/>
          <w:lang w:val="fr-CH" w:bidi="fr-CH"/>
        </w:rPr>
        <w:t>er</w:t>
      </w:r>
      <w:r>
        <w:rPr>
          <w:lang w:val="fr-CH" w:bidi="fr-CH"/>
        </w:rPr>
        <w:t> janvier 2007 inférieur à 300 </w:t>
      </w:r>
      <w:r w:rsidR="00765105" w:rsidRPr="007F511E">
        <w:rPr>
          <w:lang w:val="fr-CH" w:bidi="fr-CH"/>
        </w:rPr>
        <w:t>t peuvent continuer à transporter les matières qu’ils ét</w:t>
      </w:r>
      <w:r>
        <w:rPr>
          <w:lang w:val="fr-CH" w:bidi="fr-CH"/>
        </w:rPr>
        <w:t>aient admis à transporter au 31 </w:t>
      </w:r>
      <w:r w:rsidR="00765105" w:rsidRPr="007F511E">
        <w:rPr>
          <w:lang w:val="fr-CH" w:bidi="fr-CH"/>
        </w:rPr>
        <w:t>décembre 2008 jusqu’</w:t>
      </w:r>
      <w:r>
        <w:rPr>
          <w:lang w:val="fr-CH" w:bidi="fr-CH"/>
        </w:rPr>
        <w:t>au 31 décembre 2038. »</w:t>
      </w:r>
      <w:r w:rsidR="00765105" w:rsidRPr="007F511E">
        <w:rPr>
          <w:lang w:val="fr-CH" w:bidi="fr-CH"/>
        </w:rPr>
        <w:t>.</w:t>
      </w:r>
    </w:p>
    <w:p w:rsidR="00C45960" w:rsidRPr="00C45960" w:rsidRDefault="00C45960" w:rsidP="00C45960">
      <w:pPr>
        <w:pStyle w:val="SingleTxt"/>
        <w:spacing w:after="0" w:line="120" w:lineRule="exact"/>
        <w:rPr>
          <w:sz w:val="10"/>
          <w:lang w:val="fr-CH" w:bidi="fr-CH"/>
        </w:rPr>
      </w:pPr>
    </w:p>
    <w:p w:rsidR="00C45960" w:rsidRPr="00C45960" w:rsidRDefault="00C45960" w:rsidP="00C45960">
      <w:pPr>
        <w:pStyle w:val="SingleTxt"/>
        <w:spacing w:after="0" w:line="120" w:lineRule="exact"/>
        <w:rPr>
          <w:sz w:val="10"/>
          <w:lang w:val="fr-CH" w:bidi="fr-CH"/>
        </w:rPr>
      </w:pPr>
    </w:p>
    <w:p w:rsidR="00765105" w:rsidRDefault="00765105" w:rsidP="00C459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7F511E">
        <w:rPr>
          <w:lang w:val="fr-CH" w:bidi="fr-CH"/>
        </w:rPr>
        <w:tab/>
      </w:r>
      <w:r w:rsidRPr="007F511E">
        <w:rPr>
          <w:lang w:val="fr-CH" w:bidi="fr-CH"/>
        </w:rPr>
        <w:tab/>
        <w:t>Explication</w:t>
      </w:r>
    </w:p>
    <w:p w:rsidR="00C45960" w:rsidRPr="00C45960" w:rsidRDefault="00C45960" w:rsidP="00C45960">
      <w:pPr>
        <w:pStyle w:val="SingleTxt"/>
        <w:spacing w:after="0" w:line="120" w:lineRule="exact"/>
        <w:rPr>
          <w:b/>
          <w:sz w:val="10"/>
          <w:lang w:val="fr-CH" w:bidi="fr-CH"/>
        </w:rPr>
      </w:pPr>
    </w:p>
    <w:p w:rsidR="00C45960" w:rsidRPr="00C45960" w:rsidRDefault="00C45960" w:rsidP="00C45960">
      <w:pPr>
        <w:pStyle w:val="SingleTxt"/>
        <w:spacing w:after="0" w:line="120" w:lineRule="exact"/>
        <w:rPr>
          <w:b/>
          <w:sz w:val="10"/>
          <w:lang w:val="fr-CH" w:bidi="fr-CH"/>
        </w:rPr>
      </w:pPr>
    </w:p>
    <w:p w:rsidR="00765105" w:rsidRPr="007F511E" w:rsidRDefault="00765105" w:rsidP="00C45960">
      <w:pPr>
        <w:pStyle w:val="SingleTxt"/>
        <w:numPr>
          <w:ilvl w:val="0"/>
          <w:numId w:val="5"/>
        </w:numPr>
        <w:tabs>
          <w:tab w:val="clear" w:pos="475"/>
          <w:tab w:val="num" w:pos="1742"/>
        </w:tabs>
        <w:ind w:left="1267"/>
        <w:rPr>
          <w:lang w:val="fr-CH" w:bidi="fr-CH"/>
        </w:rPr>
      </w:pPr>
      <w:r w:rsidRPr="007F511E">
        <w:rPr>
          <w:lang w:val="fr-CH" w:bidi="fr-CH"/>
        </w:rPr>
        <w:t>Conformément au paragraphe 1.6.7.4.1, les bateaux-citernes à coque simple en service au 1</w:t>
      </w:r>
      <w:r w:rsidRPr="007F511E">
        <w:rPr>
          <w:vertAlign w:val="superscript"/>
          <w:lang w:val="fr-CH" w:bidi="fr-CH"/>
        </w:rPr>
        <w:t>er</w:t>
      </w:r>
      <w:r w:rsidR="00E10DED">
        <w:rPr>
          <w:lang w:val="fr-CH" w:bidi="fr-CH"/>
        </w:rPr>
        <w:t> </w:t>
      </w:r>
      <w:r w:rsidRPr="007F511E">
        <w:rPr>
          <w:lang w:val="fr-CH" w:bidi="fr-CH"/>
        </w:rPr>
        <w:t>janvier 2009 d’un port en lourd au 1</w:t>
      </w:r>
      <w:r w:rsidRPr="007F511E">
        <w:rPr>
          <w:vertAlign w:val="superscript"/>
          <w:lang w:val="fr-CH" w:bidi="fr-CH"/>
        </w:rPr>
        <w:t>er</w:t>
      </w:r>
      <w:r w:rsidR="00E10DED">
        <w:rPr>
          <w:lang w:val="fr-CH" w:bidi="fr-CH"/>
        </w:rPr>
        <w:t> </w:t>
      </w:r>
      <w:r w:rsidRPr="007F511E">
        <w:rPr>
          <w:lang w:val="fr-CH" w:bidi="fr-CH"/>
        </w:rPr>
        <w:t>janvier 2007 inférieur à 1 000 t, ainsi que les bateaux avitailleurs et les bateaux déshuileurs en service au 1</w:t>
      </w:r>
      <w:r w:rsidRPr="007F511E">
        <w:rPr>
          <w:vertAlign w:val="superscript"/>
          <w:lang w:val="fr-CH" w:bidi="fr-CH"/>
        </w:rPr>
        <w:t>er</w:t>
      </w:r>
      <w:r w:rsidRPr="007F511E">
        <w:rPr>
          <w:lang w:val="fr-CH" w:bidi="fr-CH"/>
        </w:rPr>
        <w:t xml:space="preserve"> janvier 2009 d’un port en lourd au 1</w:t>
      </w:r>
      <w:r w:rsidRPr="007F511E">
        <w:rPr>
          <w:vertAlign w:val="superscript"/>
          <w:lang w:val="fr-CH" w:bidi="fr-CH"/>
        </w:rPr>
        <w:t>er</w:t>
      </w:r>
      <w:r w:rsidR="00E10DED">
        <w:rPr>
          <w:lang w:val="fr-CH" w:bidi="fr-CH"/>
        </w:rPr>
        <w:t> janvier 2007 inférieur à 300 </w:t>
      </w:r>
      <w:r w:rsidRPr="007F511E">
        <w:rPr>
          <w:lang w:val="fr-CH" w:bidi="fr-CH"/>
        </w:rPr>
        <w:t>t</w:t>
      </w:r>
      <w:r w:rsidR="00E10DED">
        <w:rPr>
          <w:lang w:val="fr-CH" w:bidi="fr-CH"/>
        </w:rPr>
        <w:t>,</w:t>
      </w:r>
      <w:r w:rsidRPr="007F511E">
        <w:rPr>
          <w:lang w:val="fr-CH" w:bidi="fr-CH"/>
        </w:rPr>
        <w:t xml:space="preserve"> sont autorisés à transporter les matières qu’ils étaient admis à transporter au 31</w:t>
      </w:r>
      <w:r w:rsidR="00E10DED">
        <w:rPr>
          <w:lang w:val="fr-CH" w:bidi="fr-CH"/>
        </w:rPr>
        <w:t> </w:t>
      </w:r>
      <w:r w:rsidRPr="007F511E">
        <w:rPr>
          <w:lang w:val="fr-CH" w:bidi="fr-CH"/>
        </w:rPr>
        <w:t>décembre 2008 jusqu’</w:t>
      </w:r>
      <w:r w:rsidR="00E10DED">
        <w:rPr>
          <w:lang w:val="fr-CH" w:bidi="fr-CH"/>
        </w:rPr>
        <w:t>au 31 </w:t>
      </w:r>
      <w:r w:rsidRPr="007F511E">
        <w:rPr>
          <w:lang w:val="fr-CH" w:bidi="fr-CH"/>
        </w:rPr>
        <w:t>décembre 2018 et au 31</w:t>
      </w:r>
      <w:r w:rsidR="00E10DED">
        <w:rPr>
          <w:lang w:val="fr-CH" w:bidi="fr-CH"/>
        </w:rPr>
        <w:t> </w:t>
      </w:r>
      <w:r w:rsidRPr="007F511E">
        <w:rPr>
          <w:lang w:val="fr-CH" w:bidi="fr-CH"/>
        </w:rPr>
        <w:t>décembre 2038, respectivement.</w:t>
      </w:r>
    </w:p>
    <w:p w:rsidR="00765105" w:rsidRPr="007F511E" w:rsidRDefault="00765105" w:rsidP="00C45960">
      <w:pPr>
        <w:pStyle w:val="SingleTxt"/>
        <w:numPr>
          <w:ilvl w:val="0"/>
          <w:numId w:val="5"/>
        </w:numPr>
        <w:tabs>
          <w:tab w:val="clear" w:pos="475"/>
          <w:tab w:val="num" w:pos="1742"/>
        </w:tabs>
        <w:ind w:left="1267"/>
        <w:rPr>
          <w:lang w:val="fr-CH" w:bidi="fr-CH"/>
        </w:rPr>
      </w:pPr>
      <w:r w:rsidRPr="007F511E">
        <w:rPr>
          <w:lang w:val="fr-CH" w:bidi="fr-CH"/>
        </w:rPr>
        <w:t>Dans le cas des matières figurant déjà dans la liste des matières transportables par le bateau au 31 décembre 2008 et pour les marchandises non dangereuses, cette prescription est assez explicite. Elles restent inscrites dans la liste des matières transportables par le bateau jusqu’au 31 décembre 2018 et au 31 décembre 2038, respectivement.</w:t>
      </w:r>
    </w:p>
    <w:p w:rsidR="00765105" w:rsidRPr="007F511E" w:rsidRDefault="00765105" w:rsidP="00C45960">
      <w:pPr>
        <w:pStyle w:val="SingleTxt"/>
        <w:numPr>
          <w:ilvl w:val="0"/>
          <w:numId w:val="5"/>
        </w:numPr>
        <w:tabs>
          <w:tab w:val="clear" w:pos="475"/>
          <w:tab w:val="num" w:pos="1742"/>
        </w:tabs>
        <w:ind w:left="1267"/>
        <w:rPr>
          <w:lang w:val="fr-CH" w:bidi="fr-CH"/>
        </w:rPr>
      </w:pPr>
      <w:r w:rsidRPr="007F511E">
        <w:rPr>
          <w:lang w:val="fr-CH" w:bidi="fr-CH"/>
        </w:rPr>
        <w:t>Toutefois, l’huile de chauffe lourde n’est considérée comme marchandise dangereuse que depuis le 1</w:t>
      </w:r>
      <w:r w:rsidRPr="007F511E">
        <w:rPr>
          <w:vertAlign w:val="superscript"/>
          <w:lang w:val="fr-CH" w:bidi="fr-CH"/>
        </w:rPr>
        <w:t>er</w:t>
      </w:r>
      <w:r w:rsidR="00E10DED">
        <w:rPr>
          <w:lang w:val="fr-CH" w:bidi="fr-CH"/>
        </w:rPr>
        <w:t xml:space="preserve"> janvier </w:t>
      </w:r>
      <w:r w:rsidRPr="007F511E">
        <w:rPr>
          <w:lang w:val="fr-CH" w:bidi="fr-CH"/>
        </w:rPr>
        <w:t>2013. Dans l’ADN 2013, tablea</w:t>
      </w:r>
      <w:r w:rsidR="00E10DED">
        <w:rPr>
          <w:lang w:val="fr-CH" w:bidi="fr-CH"/>
        </w:rPr>
        <w:t>u C, paragraphe 3.2.3, elle fai</w:t>
      </w:r>
      <w:r w:rsidRPr="007F511E">
        <w:rPr>
          <w:lang w:val="fr-CH" w:bidi="fr-CH"/>
        </w:rPr>
        <w:t>t l’objet d’une entrée spécifique, sous le numéro ONU 3082 et la désignation MATIÈRES DANGEREUSES POUR L’ENVIRONNEMENT, LIQUIDES, N.S.A. (HUILE DE CHAUFFE LOURDE).</w:t>
      </w:r>
    </w:p>
    <w:p w:rsidR="00765105" w:rsidRDefault="00765105" w:rsidP="00C45960">
      <w:pPr>
        <w:pStyle w:val="SingleTxt"/>
        <w:numPr>
          <w:ilvl w:val="0"/>
          <w:numId w:val="5"/>
        </w:numPr>
        <w:tabs>
          <w:tab w:val="clear" w:pos="475"/>
          <w:tab w:val="num" w:pos="1742"/>
        </w:tabs>
        <w:ind w:left="1267"/>
        <w:rPr>
          <w:lang w:val="fr-CH" w:bidi="fr-CH"/>
        </w:rPr>
      </w:pPr>
      <w:r w:rsidRPr="007F511E">
        <w:rPr>
          <w:lang w:val="fr-CH" w:bidi="fr-CH"/>
        </w:rPr>
        <w:t xml:space="preserve">La délégation hollandaise souhaiterait </w:t>
      </w:r>
      <w:r w:rsidR="00E10DED">
        <w:rPr>
          <w:lang w:val="fr-CH" w:bidi="fr-CH"/>
        </w:rPr>
        <w:t>savoir</w:t>
      </w:r>
      <w:r w:rsidRPr="007F511E">
        <w:rPr>
          <w:lang w:val="fr-CH" w:bidi="fr-CH"/>
        </w:rPr>
        <w:t xml:space="preserve">, dans le cadre du Comité de sécurité, si les bateaux à coque simple, les bateaux avitailleurs et les bateaux déshuileurs concernés sont également admis à transporter cette matière et autorisés à inscrire sur la liste des matières transportables par le bateau la mention </w:t>
      </w:r>
      <w:r w:rsidR="00E10DED">
        <w:rPr>
          <w:lang w:val="fr-CH" w:bidi="fr-CH"/>
        </w:rPr>
        <w:t>No</w:t>
      </w:r>
      <w:r w:rsidRPr="007F511E">
        <w:rPr>
          <w:lang w:val="fr-CH" w:bidi="fr-CH"/>
        </w:rPr>
        <w:t> ONU 3082 MATIÈRES DANGEREUSES POUR L’ENVIRONNEMENT, LIQUIDES, N.S.A. (HUILE DE CHAUFFE LOURDE).</w:t>
      </w:r>
    </w:p>
    <w:p w:rsidR="00C45960" w:rsidRPr="00C45960" w:rsidRDefault="00C45960" w:rsidP="00C45960">
      <w:pPr>
        <w:pStyle w:val="SingleTxt"/>
        <w:spacing w:after="0" w:line="120" w:lineRule="exact"/>
        <w:rPr>
          <w:sz w:val="10"/>
          <w:lang w:val="fr-CH" w:bidi="fr-CH"/>
        </w:rPr>
      </w:pPr>
    </w:p>
    <w:p w:rsidR="00C45960" w:rsidRPr="00C45960" w:rsidRDefault="00C45960" w:rsidP="00C45960">
      <w:pPr>
        <w:pStyle w:val="SingleTxt"/>
        <w:spacing w:after="0" w:line="120" w:lineRule="exact"/>
        <w:rPr>
          <w:sz w:val="10"/>
          <w:lang w:val="fr-CH" w:bidi="fr-CH"/>
        </w:rPr>
      </w:pPr>
    </w:p>
    <w:p w:rsidR="00765105" w:rsidRPr="007F511E" w:rsidRDefault="00765105" w:rsidP="00C459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7F511E">
        <w:rPr>
          <w:lang w:val="fr-CH" w:bidi="fr-CH"/>
        </w:rPr>
        <w:tab/>
      </w:r>
      <w:r w:rsidRPr="007F511E">
        <w:rPr>
          <w:lang w:val="fr-CH" w:bidi="fr-CH"/>
        </w:rPr>
        <w:tab/>
        <w:t>Considérations</w:t>
      </w:r>
    </w:p>
    <w:p w:rsidR="00C45960" w:rsidRPr="00C45960" w:rsidRDefault="00C45960" w:rsidP="00C45960">
      <w:pPr>
        <w:pStyle w:val="SingleTxt"/>
        <w:spacing w:after="0" w:line="120" w:lineRule="exact"/>
        <w:rPr>
          <w:sz w:val="10"/>
          <w:lang w:val="fr-CH" w:bidi="fr-CH"/>
        </w:rPr>
      </w:pPr>
    </w:p>
    <w:p w:rsidR="00C45960" w:rsidRPr="00C45960" w:rsidRDefault="00C45960" w:rsidP="00C45960">
      <w:pPr>
        <w:pStyle w:val="SingleTxt"/>
        <w:spacing w:after="0" w:line="120" w:lineRule="exact"/>
        <w:rPr>
          <w:sz w:val="10"/>
          <w:lang w:val="fr-CH" w:bidi="fr-CH"/>
        </w:rPr>
      </w:pPr>
    </w:p>
    <w:p w:rsidR="00765105" w:rsidRPr="007F511E" w:rsidRDefault="00765105" w:rsidP="00C45960">
      <w:pPr>
        <w:pStyle w:val="SingleTxt"/>
        <w:numPr>
          <w:ilvl w:val="0"/>
          <w:numId w:val="5"/>
        </w:numPr>
        <w:tabs>
          <w:tab w:val="clear" w:pos="475"/>
          <w:tab w:val="num" w:pos="1742"/>
        </w:tabs>
        <w:ind w:left="1267"/>
        <w:rPr>
          <w:lang w:val="fr-CH" w:bidi="fr-CH"/>
        </w:rPr>
      </w:pPr>
      <w:r w:rsidRPr="007F511E">
        <w:rPr>
          <w:lang w:val="fr-CH" w:bidi="fr-CH"/>
        </w:rPr>
        <w:t>Une définition des bateaux avitailleurs est donnée au paragraphe </w:t>
      </w:r>
      <w:r w:rsidR="004F0E4A">
        <w:rPr>
          <w:lang w:val="fr-CH" w:bidi="fr-CH"/>
        </w:rPr>
        <w:t>1.2.1, dans les termes suivants :</w:t>
      </w:r>
      <w:r w:rsidRPr="007F511E">
        <w:rPr>
          <w:lang w:val="fr-CH" w:bidi="fr-CH"/>
        </w:rPr>
        <w:t xml:space="preserve"> </w:t>
      </w:r>
      <w:r w:rsidR="004F0E4A">
        <w:rPr>
          <w:lang w:val="fr-CH" w:bidi="fr-CH"/>
        </w:rPr>
        <w:t>« </w:t>
      </w:r>
      <w:r w:rsidRPr="007F511E">
        <w:rPr>
          <w:lang w:val="fr-CH" w:bidi="fr-CH"/>
        </w:rPr>
        <w:t>un bateau-citerne du type N ouvert d’un port en lourd jusqu’à 300</w:t>
      </w:r>
      <w:r w:rsidR="004F0E4A">
        <w:rPr>
          <w:lang w:val="fr-CH" w:bidi="fr-CH"/>
        </w:rPr>
        <w:t> </w:t>
      </w:r>
      <w:r w:rsidRPr="007F511E">
        <w:rPr>
          <w:lang w:val="fr-CH" w:bidi="fr-CH"/>
        </w:rPr>
        <w:t>tonnes, construit et aménagé pour le transport et la remise à d’autres bateaux de produits destinés à l’exploitation des bateaux;</w:t>
      </w:r>
      <w:r w:rsidR="004F0E4A">
        <w:rPr>
          <w:lang w:val="fr-CH" w:bidi="fr-CH"/>
        </w:rPr>
        <w:t> »</w:t>
      </w:r>
      <w:r w:rsidRPr="007F511E">
        <w:rPr>
          <w:lang w:val="fr-CH" w:bidi="fr-CH"/>
        </w:rPr>
        <w:t>. Cette définition justifie la conclusion</w:t>
      </w:r>
      <w:r w:rsidR="00E10DED">
        <w:rPr>
          <w:lang w:val="fr-CH" w:bidi="fr-CH"/>
        </w:rPr>
        <w:t xml:space="preserve"> selon laquelle, au 31 décembre </w:t>
      </w:r>
      <w:r w:rsidRPr="007F511E">
        <w:rPr>
          <w:lang w:val="fr-CH" w:bidi="fr-CH"/>
        </w:rPr>
        <w:t>2008, les bateaux avitailleurs étaient admis à transporter de l’huile de chauffe lourde.</w:t>
      </w:r>
    </w:p>
    <w:p w:rsidR="00765105" w:rsidRPr="007F511E" w:rsidRDefault="00765105" w:rsidP="00C45960">
      <w:pPr>
        <w:pStyle w:val="SingleTxt"/>
        <w:numPr>
          <w:ilvl w:val="0"/>
          <w:numId w:val="5"/>
        </w:numPr>
        <w:tabs>
          <w:tab w:val="clear" w:pos="475"/>
          <w:tab w:val="num" w:pos="1742"/>
        </w:tabs>
        <w:ind w:left="1267"/>
        <w:rPr>
          <w:lang w:val="fr-CH" w:bidi="fr-CH"/>
        </w:rPr>
      </w:pPr>
      <w:r w:rsidRPr="007F511E">
        <w:rPr>
          <w:lang w:val="fr-CH" w:bidi="fr-CH"/>
        </w:rPr>
        <w:t xml:space="preserve">Conformément au paragraphe 1.6.7.4.1, les bateaux avitailleurs sont admis à transporter de l’huile de chauffe lourde jusqu’au 31 décembre 2018. En conséquence, le </w:t>
      </w:r>
      <w:r w:rsidR="00E10DED">
        <w:rPr>
          <w:lang w:val="fr-CH" w:bidi="fr-CH"/>
        </w:rPr>
        <w:t xml:space="preserve">numéro </w:t>
      </w:r>
      <w:r w:rsidRPr="007F511E">
        <w:rPr>
          <w:lang w:val="fr-CH" w:bidi="fr-CH"/>
        </w:rPr>
        <w:t>ONU 3082 doit être ajouté sur la liste des matières transportables par le bateau.</w:t>
      </w:r>
    </w:p>
    <w:p w:rsidR="00765105" w:rsidRDefault="00765105" w:rsidP="00C45960">
      <w:pPr>
        <w:pStyle w:val="SingleTxt"/>
        <w:numPr>
          <w:ilvl w:val="0"/>
          <w:numId w:val="5"/>
        </w:numPr>
        <w:tabs>
          <w:tab w:val="clear" w:pos="475"/>
          <w:tab w:val="num" w:pos="1742"/>
        </w:tabs>
        <w:ind w:left="1267"/>
        <w:rPr>
          <w:lang w:val="fr-CH" w:bidi="fr-CH"/>
        </w:rPr>
      </w:pPr>
      <w:r w:rsidRPr="007F511E">
        <w:rPr>
          <w:lang w:val="fr-CH" w:bidi="fr-CH"/>
        </w:rPr>
        <w:t>Il semble donc logique d’appliquer le même raisonnement aux bateaux-citernes à coque simple et aux bateaux déshuileurs.</w:t>
      </w:r>
    </w:p>
    <w:p w:rsidR="00C45960" w:rsidRPr="00C45960" w:rsidRDefault="00C45960" w:rsidP="00C45960">
      <w:pPr>
        <w:pStyle w:val="SingleTxt"/>
        <w:spacing w:after="0" w:line="120" w:lineRule="exact"/>
        <w:rPr>
          <w:sz w:val="10"/>
          <w:lang w:val="fr-CH" w:bidi="fr-CH"/>
        </w:rPr>
      </w:pPr>
    </w:p>
    <w:p w:rsidR="00C45960" w:rsidRPr="00C45960" w:rsidRDefault="00C45960" w:rsidP="00C45960">
      <w:pPr>
        <w:pStyle w:val="SingleTxt"/>
        <w:spacing w:after="0" w:line="120" w:lineRule="exact"/>
        <w:rPr>
          <w:sz w:val="10"/>
          <w:lang w:val="fr-CH" w:bidi="fr-CH"/>
        </w:rPr>
      </w:pPr>
    </w:p>
    <w:p w:rsidR="00765105" w:rsidRPr="007F511E" w:rsidRDefault="00765105" w:rsidP="00453FC0">
      <w:pPr>
        <w:pStyle w:val="HCH"/>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bidi="fr-CH"/>
        </w:rPr>
      </w:pPr>
      <w:r w:rsidRPr="007F511E">
        <w:rPr>
          <w:lang w:val="fr-CH" w:bidi="fr-CH"/>
        </w:rPr>
        <w:lastRenderedPageBreak/>
        <w:tab/>
      </w:r>
      <w:r w:rsidRPr="007F511E">
        <w:rPr>
          <w:lang w:val="fr-CH" w:bidi="fr-CH"/>
        </w:rPr>
        <w:tab/>
        <w:t>Proposition</w:t>
      </w:r>
    </w:p>
    <w:p w:rsidR="00C45960" w:rsidRPr="00C45960" w:rsidRDefault="00C45960" w:rsidP="00453FC0">
      <w:pPr>
        <w:pStyle w:val="SingleTxt"/>
        <w:keepNext/>
        <w:spacing w:after="0" w:line="120" w:lineRule="exact"/>
        <w:rPr>
          <w:sz w:val="10"/>
          <w:lang w:val="fr-CH" w:bidi="fr-CH"/>
        </w:rPr>
      </w:pPr>
    </w:p>
    <w:p w:rsidR="00C45960" w:rsidRPr="00C45960" w:rsidRDefault="00C45960" w:rsidP="00453FC0">
      <w:pPr>
        <w:pStyle w:val="SingleTxt"/>
        <w:keepNext/>
        <w:spacing w:after="0" w:line="120" w:lineRule="exact"/>
        <w:rPr>
          <w:sz w:val="10"/>
          <w:lang w:val="fr-CH" w:bidi="fr-CH"/>
        </w:rPr>
      </w:pPr>
    </w:p>
    <w:p w:rsidR="00765105" w:rsidRPr="007F511E" w:rsidRDefault="00765105" w:rsidP="00453FC0">
      <w:pPr>
        <w:pStyle w:val="SingleTxt"/>
        <w:keepNext/>
        <w:numPr>
          <w:ilvl w:val="0"/>
          <w:numId w:val="5"/>
        </w:numPr>
        <w:tabs>
          <w:tab w:val="clear" w:pos="475"/>
          <w:tab w:val="num" w:pos="1742"/>
        </w:tabs>
        <w:ind w:left="1267"/>
        <w:rPr>
          <w:lang w:val="fr-CH" w:bidi="fr-CH"/>
        </w:rPr>
      </w:pPr>
      <w:r w:rsidRPr="007F511E">
        <w:rPr>
          <w:lang w:val="fr-CH" w:bidi="fr-CH"/>
        </w:rPr>
        <w:t>La délégation hollandaise propose donc l’interprétation suivante</w:t>
      </w:r>
      <w:r w:rsidR="00453FC0">
        <w:rPr>
          <w:lang w:val="fr-CH" w:bidi="fr-CH"/>
        </w:rPr>
        <w:t> :</w:t>
      </w:r>
    </w:p>
    <w:p w:rsidR="00765105" w:rsidRPr="007F511E" w:rsidRDefault="00453FC0" w:rsidP="00453FC0">
      <w:pPr>
        <w:pStyle w:val="SingleTxt"/>
        <w:keepNext/>
        <w:rPr>
          <w:lang w:val="fr-CH" w:bidi="fr-CH"/>
        </w:rPr>
      </w:pPr>
      <w:r>
        <w:rPr>
          <w:lang w:val="fr-CH" w:bidi="fr-CH"/>
        </w:rPr>
        <w:t>« </w:t>
      </w:r>
      <w:r w:rsidR="00765105" w:rsidRPr="007F511E">
        <w:rPr>
          <w:lang w:val="fr-CH" w:bidi="fr-CH"/>
        </w:rPr>
        <w:t>Interprétation du paragraphe 1.6.7.4.1</w:t>
      </w:r>
    </w:p>
    <w:p w:rsidR="00765105" w:rsidRPr="007F511E" w:rsidRDefault="008A5D36" w:rsidP="008A5D36">
      <w:pPr>
        <w:pStyle w:val="SingleTxt"/>
        <w:ind w:left="1742" w:hanging="475"/>
        <w:rPr>
          <w:lang w:val="fr-CH" w:bidi="fr-CH"/>
        </w:rPr>
      </w:pPr>
      <w:r>
        <w:rPr>
          <w:lang w:val="fr-CH" w:bidi="fr-CH"/>
        </w:rPr>
        <w:tab/>
      </w:r>
      <w:r w:rsidR="00765105" w:rsidRPr="007F511E">
        <w:rPr>
          <w:lang w:val="fr-CH" w:bidi="fr-CH"/>
        </w:rPr>
        <w:t>Les bateaux-citernes à coque simple en service au 1</w:t>
      </w:r>
      <w:r w:rsidR="00765105" w:rsidRPr="007F511E">
        <w:rPr>
          <w:vertAlign w:val="superscript"/>
          <w:lang w:val="fr-CH" w:bidi="fr-CH"/>
        </w:rPr>
        <w:t>er</w:t>
      </w:r>
      <w:r w:rsidR="00752F6E">
        <w:rPr>
          <w:lang w:val="fr-CH" w:bidi="fr-CH"/>
        </w:rPr>
        <w:t> </w:t>
      </w:r>
      <w:r w:rsidR="00765105" w:rsidRPr="007F511E">
        <w:rPr>
          <w:lang w:val="fr-CH" w:bidi="fr-CH"/>
        </w:rPr>
        <w:t>janvier 2009 d’un port en lourd au 1</w:t>
      </w:r>
      <w:r w:rsidR="00765105" w:rsidRPr="007F511E">
        <w:rPr>
          <w:vertAlign w:val="superscript"/>
          <w:lang w:val="fr-CH" w:bidi="fr-CH"/>
        </w:rPr>
        <w:t>er</w:t>
      </w:r>
      <w:r w:rsidR="00765105" w:rsidRPr="007F511E">
        <w:rPr>
          <w:lang w:val="fr-CH" w:bidi="fr-CH"/>
        </w:rPr>
        <w:t xml:space="preserve"> janvier 2007 inférieur à 1 000 t sont admis à transporter la marchandise portant le </w:t>
      </w:r>
      <w:r w:rsidR="00752F6E">
        <w:rPr>
          <w:lang w:val="fr-CH" w:bidi="fr-CH"/>
        </w:rPr>
        <w:t>numéro</w:t>
      </w:r>
      <w:r w:rsidR="00752F6E" w:rsidRPr="007F511E">
        <w:rPr>
          <w:lang w:val="fr-CH" w:bidi="fr-CH"/>
        </w:rPr>
        <w:t xml:space="preserve"> </w:t>
      </w:r>
      <w:r w:rsidR="00765105" w:rsidRPr="007F511E">
        <w:rPr>
          <w:lang w:val="fr-CH" w:bidi="fr-CH"/>
        </w:rPr>
        <w:t>ONU 3082 et la désignation MATIÈRES DANGEREUSES POUR L’ENVIRONNEMENT, LIQUIDES, N.S.A. (HUILE DE CHAUFFE LOURDE) jusqu’au 31 décembre 2018.</w:t>
      </w:r>
    </w:p>
    <w:p w:rsidR="00765105" w:rsidRPr="007F511E" w:rsidRDefault="008A5D36" w:rsidP="008A5D36">
      <w:pPr>
        <w:pStyle w:val="SingleTxt"/>
        <w:ind w:left="1742" w:hanging="475"/>
        <w:rPr>
          <w:lang w:val="fr-CH" w:bidi="fr-CH"/>
        </w:rPr>
      </w:pPr>
      <w:r>
        <w:rPr>
          <w:lang w:val="fr-CH" w:bidi="fr-CH"/>
        </w:rPr>
        <w:tab/>
      </w:r>
      <w:r w:rsidR="00765105" w:rsidRPr="007F511E">
        <w:rPr>
          <w:lang w:val="fr-CH" w:bidi="fr-CH"/>
        </w:rPr>
        <w:t>Les bateaux avitailleurs et les déshuileurs en service au 1</w:t>
      </w:r>
      <w:r w:rsidR="00765105" w:rsidRPr="007F511E">
        <w:rPr>
          <w:vertAlign w:val="superscript"/>
          <w:lang w:val="fr-CH" w:bidi="fr-CH"/>
        </w:rPr>
        <w:t>er</w:t>
      </w:r>
      <w:r w:rsidR="00752F6E">
        <w:rPr>
          <w:lang w:val="fr-CH" w:bidi="fr-CH"/>
        </w:rPr>
        <w:t> </w:t>
      </w:r>
      <w:r w:rsidR="00765105" w:rsidRPr="007F511E">
        <w:rPr>
          <w:lang w:val="fr-CH" w:bidi="fr-CH"/>
        </w:rPr>
        <w:t>janvier 2009 d’un port en lourd au 1</w:t>
      </w:r>
      <w:r w:rsidR="00765105" w:rsidRPr="007F511E">
        <w:rPr>
          <w:vertAlign w:val="superscript"/>
          <w:lang w:val="fr-CH" w:bidi="fr-CH"/>
        </w:rPr>
        <w:t>er</w:t>
      </w:r>
      <w:r w:rsidR="00765105" w:rsidRPr="007F511E">
        <w:rPr>
          <w:lang w:val="fr-CH" w:bidi="fr-CH"/>
        </w:rPr>
        <w:t xml:space="preserve"> janvier 2007 inférieur à 300 t sont admis à transporter la marchandise portant le </w:t>
      </w:r>
      <w:r w:rsidR="00752F6E">
        <w:rPr>
          <w:lang w:val="fr-CH" w:bidi="fr-CH"/>
        </w:rPr>
        <w:t xml:space="preserve">numéro </w:t>
      </w:r>
      <w:r w:rsidR="00765105" w:rsidRPr="007F511E">
        <w:rPr>
          <w:lang w:val="fr-CH" w:bidi="fr-CH"/>
        </w:rPr>
        <w:t xml:space="preserve">ONU 3082 et la désignation MATIÈRES DANGEREUSES POUR L’ENVIRONNEMENT, LIQUIDES, N.S.A. (HUILE DE CHAUFFE LOURDE) jusqu’au 31 décembre 2038. </w:t>
      </w:r>
    </w:p>
    <w:p w:rsidR="00451A6E" w:rsidRDefault="008A5D36" w:rsidP="008A5D36">
      <w:pPr>
        <w:pStyle w:val="SingleTxt"/>
        <w:ind w:left="1742" w:hanging="475"/>
        <w:rPr>
          <w:lang w:val="fr-CH" w:bidi="fr-CH"/>
        </w:rPr>
      </w:pPr>
      <w:r>
        <w:rPr>
          <w:lang w:val="fr-CH" w:bidi="fr-CH"/>
        </w:rPr>
        <w:tab/>
      </w:r>
      <w:r w:rsidR="00765105" w:rsidRPr="007F511E">
        <w:rPr>
          <w:lang w:val="fr-CH" w:bidi="fr-CH"/>
        </w:rPr>
        <w:t xml:space="preserve">La marchandise portant le </w:t>
      </w:r>
      <w:r w:rsidR="00752F6E">
        <w:rPr>
          <w:lang w:val="fr-CH" w:bidi="fr-CH"/>
        </w:rPr>
        <w:t>numéro</w:t>
      </w:r>
      <w:r w:rsidR="00752F6E" w:rsidRPr="007F511E">
        <w:rPr>
          <w:lang w:val="fr-CH" w:bidi="fr-CH"/>
        </w:rPr>
        <w:t xml:space="preserve"> </w:t>
      </w:r>
      <w:r w:rsidR="00765105" w:rsidRPr="007F511E">
        <w:rPr>
          <w:lang w:val="fr-CH" w:bidi="fr-CH"/>
        </w:rPr>
        <w:t>ONU 3082 et la désignation MATIÈRES DANGEREUSES POUR L’ENVIRONNEMENT, LIQUIDES, N.S.A. (HUILE DE CHAUFFE LOURDE) doit être inscrite sur la liste des matières transportables par les bateaux concernés.</w:t>
      </w:r>
      <w:r w:rsidR="00752F6E">
        <w:rPr>
          <w:lang w:val="fr-CH" w:bidi="fr-CH"/>
        </w:rPr>
        <w:t> »</w:t>
      </w:r>
      <w:r w:rsidR="00765105" w:rsidRPr="007F511E">
        <w:rPr>
          <w:lang w:val="fr-CH" w:bidi="fr-CH"/>
        </w:rPr>
        <w:t>.</w:t>
      </w:r>
    </w:p>
    <w:p w:rsidR="00752F6E" w:rsidRPr="00752F6E" w:rsidRDefault="00752F6E" w:rsidP="00752F6E">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52F6E" w:rsidRPr="00752F6E" w:rsidSect="00451A6E">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AE" w:rsidRDefault="00E736AE" w:rsidP="00F3330B">
      <w:pPr>
        <w:spacing w:line="240" w:lineRule="auto"/>
      </w:pPr>
      <w:r>
        <w:separator/>
      </w:r>
    </w:p>
  </w:endnote>
  <w:endnote w:type="continuationSeparator" w:id="0">
    <w:p w:rsidR="00E736AE" w:rsidRDefault="00E736A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51A6E" w:rsidTr="00451A6E">
      <w:trPr>
        <w:jc w:val="center"/>
      </w:trPr>
      <w:tc>
        <w:tcPr>
          <w:tcW w:w="5126" w:type="dxa"/>
          <w:shd w:val="clear" w:color="auto" w:fill="auto"/>
        </w:tcPr>
        <w:p w:rsidR="00451A6E" w:rsidRPr="00451A6E" w:rsidRDefault="00451A6E" w:rsidP="00451A6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7E1A">
            <w:rPr>
              <w:b w:val="0"/>
              <w:w w:val="103"/>
              <w:sz w:val="14"/>
            </w:rPr>
            <w:t>GE. 15-08722</w:t>
          </w:r>
          <w:r>
            <w:rPr>
              <w:b w:val="0"/>
              <w:w w:val="103"/>
              <w:sz w:val="14"/>
            </w:rPr>
            <w:fldChar w:fldCharType="end"/>
          </w:r>
        </w:p>
      </w:tc>
      <w:tc>
        <w:tcPr>
          <w:tcW w:w="5127" w:type="dxa"/>
          <w:shd w:val="clear" w:color="auto" w:fill="auto"/>
        </w:tcPr>
        <w:p w:rsidR="00451A6E" w:rsidRPr="00451A6E" w:rsidRDefault="00451A6E" w:rsidP="00451A6E">
          <w:pPr>
            <w:pStyle w:val="Footer"/>
            <w:rPr>
              <w:w w:val="103"/>
            </w:rPr>
          </w:pPr>
          <w:r>
            <w:rPr>
              <w:w w:val="103"/>
            </w:rPr>
            <w:fldChar w:fldCharType="begin"/>
          </w:r>
          <w:r>
            <w:rPr>
              <w:w w:val="103"/>
            </w:rPr>
            <w:instrText xml:space="preserve"> PAGE  \* Arabic  \* MERGEFORMAT </w:instrText>
          </w:r>
          <w:r>
            <w:rPr>
              <w:w w:val="103"/>
            </w:rPr>
            <w:fldChar w:fldCharType="separate"/>
          </w:r>
          <w:r w:rsidR="00BF7E1A">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F7E1A">
            <w:rPr>
              <w:noProof/>
              <w:w w:val="103"/>
            </w:rPr>
            <w:t>3</w:t>
          </w:r>
          <w:r>
            <w:rPr>
              <w:w w:val="103"/>
            </w:rPr>
            <w:fldChar w:fldCharType="end"/>
          </w:r>
        </w:p>
      </w:tc>
    </w:tr>
  </w:tbl>
  <w:p w:rsidR="00451A6E" w:rsidRPr="00451A6E" w:rsidRDefault="00451A6E" w:rsidP="00451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51A6E" w:rsidTr="00451A6E">
      <w:trPr>
        <w:jc w:val="center"/>
      </w:trPr>
      <w:tc>
        <w:tcPr>
          <w:tcW w:w="5126" w:type="dxa"/>
          <w:shd w:val="clear" w:color="auto" w:fill="auto"/>
        </w:tcPr>
        <w:p w:rsidR="00451A6E" w:rsidRPr="00451A6E" w:rsidRDefault="00451A6E" w:rsidP="00451A6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F7E1A">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F7E1A">
            <w:rPr>
              <w:noProof/>
              <w:w w:val="103"/>
            </w:rPr>
            <w:t>3</w:t>
          </w:r>
          <w:r>
            <w:rPr>
              <w:w w:val="103"/>
            </w:rPr>
            <w:fldChar w:fldCharType="end"/>
          </w:r>
        </w:p>
      </w:tc>
      <w:tc>
        <w:tcPr>
          <w:tcW w:w="5127" w:type="dxa"/>
          <w:shd w:val="clear" w:color="auto" w:fill="auto"/>
        </w:tcPr>
        <w:p w:rsidR="00451A6E" w:rsidRPr="00451A6E" w:rsidRDefault="00451A6E" w:rsidP="00451A6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F7E1A">
            <w:rPr>
              <w:b w:val="0"/>
              <w:w w:val="103"/>
              <w:sz w:val="14"/>
            </w:rPr>
            <w:t>GE. 15-08722</w:t>
          </w:r>
          <w:r>
            <w:rPr>
              <w:b w:val="0"/>
              <w:w w:val="103"/>
              <w:sz w:val="14"/>
            </w:rPr>
            <w:fldChar w:fldCharType="end"/>
          </w:r>
        </w:p>
      </w:tc>
    </w:tr>
  </w:tbl>
  <w:p w:rsidR="00451A6E" w:rsidRPr="00451A6E" w:rsidRDefault="00451A6E" w:rsidP="00451A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6E" w:rsidRDefault="00451A6E">
    <w:pPr>
      <w:pStyle w:val="Footer"/>
    </w:pPr>
    <w:r>
      <w:rPr>
        <w:noProof/>
        <w:lang w:val="en-GB" w:eastAsia="en-GB"/>
      </w:rPr>
      <w:drawing>
        <wp:anchor distT="0" distB="0" distL="114300" distR="114300" simplePos="0" relativeHeight="251658240" behindDoc="0" locked="0" layoutInCell="1" allowOverlap="1" wp14:anchorId="130D4B74" wp14:editId="0014613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2/2015/3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2/2015/3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51A6E" w:rsidTr="00451A6E">
      <w:tc>
        <w:tcPr>
          <w:tcW w:w="3859" w:type="dxa"/>
        </w:tcPr>
        <w:p w:rsidR="00451A6E" w:rsidRDefault="00451A6E" w:rsidP="00451A6E">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F7E1A">
            <w:rPr>
              <w:b w:val="0"/>
              <w:sz w:val="20"/>
            </w:rPr>
            <w:t>GE. 15-08722 (F)</w:t>
          </w:r>
          <w:r>
            <w:rPr>
              <w:b w:val="0"/>
              <w:sz w:val="20"/>
            </w:rPr>
            <w:fldChar w:fldCharType="end"/>
          </w:r>
          <w:r>
            <w:rPr>
              <w:b w:val="0"/>
              <w:sz w:val="20"/>
            </w:rPr>
            <w:t xml:space="preserve">    010715    010715</w:t>
          </w:r>
        </w:p>
        <w:p w:rsidR="00451A6E" w:rsidRPr="00451A6E" w:rsidRDefault="00451A6E" w:rsidP="00451A6E">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F7E1A">
            <w:rPr>
              <w:rFonts w:ascii="Barcode 3 of 9 by request" w:hAnsi="Barcode 3 of 9 by request"/>
              <w:b w:val="0"/>
              <w:spacing w:val="0"/>
              <w:w w:val="100"/>
              <w:sz w:val="24"/>
            </w:rPr>
            <w:t>*1508722*</w:t>
          </w:r>
          <w:r>
            <w:rPr>
              <w:rFonts w:ascii="Barcode 3 of 9 by request" w:hAnsi="Barcode 3 of 9 by request"/>
              <w:b w:val="0"/>
              <w:spacing w:val="0"/>
              <w:w w:val="100"/>
              <w:sz w:val="24"/>
            </w:rPr>
            <w:fldChar w:fldCharType="end"/>
          </w:r>
        </w:p>
      </w:tc>
      <w:tc>
        <w:tcPr>
          <w:tcW w:w="5127" w:type="dxa"/>
        </w:tcPr>
        <w:p w:rsidR="00451A6E" w:rsidRDefault="00451A6E" w:rsidP="00451A6E">
          <w:pPr>
            <w:pStyle w:val="Footer"/>
            <w:spacing w:line="240" w:lineRule="atLeast"/>
            <w:jc w:val="right"/>
            <w:rPr>
              <w:b w:val="0"/>
              <w:sz w:val="20"/>
            </w:rPr>
          </w:pPr>
          <w:r>
            <w:rPr>
              <w:b w:val="0"/>
              <w:noProof/>
              <w:sz w:val="20"/>
              <w:lang w:val="en-GB" w:eastAsia="en-GB"/>
            </w:rPr>
            <w:drawing>
              <wp:inline distT="0" distB="0" distL="0" distR="0" wp14:anchorId="28E1ED58" wp14:editId="7E5B208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51A6E" w:rsidRPr="00451A6E" w:rsidRDefault="00451A6E" w:rsidP="00451A6E">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AE" w:rsidRPr="00903B08" w:rsidRDefault="00903B08" w:rsidP="00903B08">
      <w:pPr>
        <w:pStyle w:val="Footer"/>
        <w:spacing w:after="80"/>
        <w:ind w:left="792"/>
        <w:rPr>
          <w:sz w:val="16"/>
        </w:rPr>
      </w:pPr>
      <w:r w:rsidRPr="00903B08">
        <w:rPr>
          <w:sz w:val="16"/>
        </w:rPr>
        <w:t>__________________</w:t>
      </w:r>
    </w:p>
  </w:footnote>
  <w:footnote w:type="continuationSeparator" w:id="0">
    <w:p w:rsidR="00E736AE" w:rsidRPr="00903B08" w:rsidRDefault="00903B08" w:rsidP="00903B08">
      <w:pPr>
        <w:pStyle w:val="Footer"/>
        <w:spacing w:after="80"/>
        <w:ind w:left="792"/>
        <w:rPr>
          <w:sz w:val="16"/>
        </w:rPr>
      </w:pPr>
      <w:r w:rsidRPr="00903B08">
        <w:rPr>
          <w:sz w:val="16"/>
        </w:rPr>
        <w:t>__________________</w:t>
      </w:r>
    </w:p>
  </w:footnote>
  <w:footnote w:id="1">
    <w:p w:rsidR="00765105" w:rsidRPr="00E10DED" w:rsidRDefault="00765105" w:rsidP="00903B08">
      <w:pPr>
        <w:pStyle w:val="FootnoteText"/>
        <w:tabs>
          <w:tab w:val="right" w:pos="1195"/>
          <w:tab w:val="left" w:pos="1267"/>
          <w:tab w:val="left" w:pos="1742"/>
          <w:tab w:val="left" w:pos="2218"/>
          <w:tab w:val="left" w:pos="2693"/>
        </w:tabs>
        <w:ind w:left="1267" w:right="1260" w:hanging="432"/>
        <w:rPr>
          <w:lang w:val="fr-CH"/>
        </w:rPr>
      </w:pPr>
      <w:r w:rsidRPr="00E10DED">
        <w:rPr>
          <w:lang w:val="fr-CH"/>
        </w:rPr>
        <w:tab/>
      </w:r>
      <w:r w:rsidRPr="00E10DED">
        <w:rPr>
          <w:rStyle w:val="FootnoteReference"/>
          <w:lang w:val="fr-CH"/>
        </w:rPr>
        <w:footnoteRef/>
      </w:r>
      <w:r w:rsidRPr="00E10DED">
        <w:rPr>
          <w:lang w:val="fr-CH"/>
        </w:rPr>
        <w:tab/>
        <w:t>Distribuée en allemand par la Commission centrale pour la navigation du Rhin sous la cote CCNR-ZKR/ADN/WP.15/AC.2/2015/30.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451A6E" w:rsidTr="00451A6E">
      <w:trPr>
        <w:trHeight w:hRule="exact" w:val="864"/>
        <w:jc w:val="center"/>
      </w:trPr>
      <w:tc>
        <w:tcPr>
          <w:tcW w:w="4882" w:type="dxa"/>
          <w:shd w:val="clear" w:color="auto" w:fill="auto"/>
          <w:vAlign w:val="bottom"/>
        </w:tcPr>
        <w:p w:rsidR="00451A6E" w:rsidRPr="00451A6E" w:rsidRDefault="00451A6E" w:rsidP="00451A6E">
          <w:pPr>
            <w:pStyle w:val="Header"/>
            <w:spacing w:after="80"/>
            <w:rPr>
              <w:b/>
            </w:rPr>
          </w:pPr>
          <w:r>
            <w:rPr>
              <w:b/>
            </w:rPr>
            <w:fldChar w:fldCharType="begin"/>
          </w:r>
          <w:r>
            <w:rPr>
              <w:b/>
            </w:rPr>
            <w:instrText xml:space="preserve"> DOCVARIABLE "sss1" \* MERGEFORMAT </w:instrText>
          </w:r>
          <w:r>
            <w:rPr>
              <w:b/>
            </w:rPr>
            <w:fldChar w:fldCharType="separate"/>
          </w:r>
          <w:r w:rsidR="00BF7E1A">
            <w:rPr>
              <w:b/>
            </w:rPr>
            <w:t>ECE/TRANS/WP.15/AC.2/2015/30</w:t>
          </w:r>
          <w:r>
            <w:rPr>
              <w:b/>
            </w:rPr>
            <w:fldChar w:fldCharType="end"/>
          </w:r>
        </w:p>
      </w:tc>
      <w:tc>
        <w:tcPr>
          <w:tcW w:w="5127" w:type="dxa"/>
          <w:shd w:val="clear" w:color="auto" w:fill="auto"/>
          <w:vAlign w:val="bottom"/>
        </w:tcPr>
        <w:p w:rsidR="00451A6E" w:rsidRDefault="00451A6E" w:rsidP="00451A6E">
          <w:pPr>
            <w:pStyle w:val="Header"/>
          </w:pPr>
        </w:p>
      </w:tc>
    </w:tr>
  </w:tbl>
  <w:p w:rsidR="00451A6E" w:rsidRPr="00451A6E" w:rsidRDefault="00451A6E" w:rsidP="00451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000000"/>
      </w:tblBorders>
      <w:tblLayout w:type="fixed"/>
      <w:tblCellMar>
        <w:left w:w="0" w:type="dxa"/>
        <w:right w:w="0" w:type="dxa"/>
      </w:tblCellMar>
      <w:tblLook w:val="0000" w:firstRow="0" w:lastRow="0" w:firstColumn="0" w:lastColumn="0" w:noHBand="0" w:noVBand="0"/>
    </w:tblPr>
    <w:tblGrid>
      <w:gridCol w:w="4882"/>
      <w:gridCol w:w="5127"/>
    </w:tblGrid>
    <w:tr w:rsidR="00451A6E" w:rsidTr="00451A6E">
      <w:trPr>
        <w:trHeight w:hRule="exact" w:val="864"/>
        <w:jc w:val="center"/>
      </w:trPr>
      <w:tc>
        <w:tcPr>
          <w:tcW w:w="4882" w:type="dxa"/>
          <w:shd w:val="clear" w:color="auto" w:fill="auto"/>
          <w:vAlign w:val="bottom"/>
        </w:tcPr>
        <w:p w:rsidR="00451A6E" w:rsidRDefault="00451A6E" w:rsidP="00451A6E">
          <w:pPr>
            <w:pStyle w:val="Header"/>
          </w:pPr>
        </w:p>
      </w:tc>
      <w:tc>
        <w:tcPr>
          <w:tcW w:w="5127" w:type="dxa"/>
          <w:shd w:val="clear" w:color="auto" w:fill="auto"/>
          <w:vAlign w:val="bottom"/>
        </w:tcPr>
        <w:p w:rsidR="00451A6E" w:rsidRPr="00451A6E" w:rsidRDefault="00451A6E" w:rsidP="00451A6E">
          <w:pPr>
            <w:pStyle w:val="Header"/>
            <w:spacing w:after="80"/>
            <w:jc w:val="right"/>
            <w:rPr>
              <w:b/>
            </w:rPr>
          </w:pPr>
          <w:r>
            <w:rPr>
              <w:b/>
            </w:rPr>
            <w:fldChar w:fldCharType="begin"/>
          </w:r>
          <w:r>
            <w:rPr>
              <w:b/>
            </w:rPr>
            <w:instrText xml:space="preserve"> DOCVARIABLE "sss1" \* MERGEFORMAT </w:instrText>
          </w:r>
          <w:r>
            <w:rPr>
              <w:b/>
            </w:rPr>
            <w:fldChar w:fldCharType="separate"/>
          </w:r>
          <w:r w:rsidR="00BF7E1A">
            <w:rPr>
              <w:b/>
            </w:rPr>
            <w:t>ECE/TRANS/WP.15/AC.2/2015/30</w:t>
          </w:r>
          <w:r>
            <w:rPr>
              <w:b/>
            </w:rPr>
            <w:fldChar w:fldCharType="end"/>
          </w:r>
        </w:p>
      </w:tc>
    </w:tr>
  </w:tbl>
  <w:p w:rsidR="00451A6E" w:rsidRPr="00451A6E" w:rsidRDefault="00451A6E" w:rsidP="00451A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51A6E" w:rsidRPr="00765105" w:rsidTr="00451A6E">
      <w:trPr>
        <w:trHeight w:hRule="exact" w:val="864"/>
      </w:trPr>
      <w:tc>
        <w:tcPr>
          <w:tcW w:w="1267" w:type="dxa"/>
          <w:tcBorders>
            <w:bottom w:val="single" w:sz="4" w:space="0" w:color="auto"/>
          </w:tcBorders>
          <w:shd w:val="clear" w:color="auto" w:fill="auto"/>
          <w:vAlign w:val="bottom"/>
        </w:tcPr>
        <w:p w:rsidR="00451A6E" w:rsidRPr="00765105" w:rsidRDefault="00451A6E" w:rsidP="00451A6E">
          <w:pPr>
            <w:pStyle w:val="Header"/>
            <w:spacing w:after="120"/>
            <w:rPr>
              <w:lang w:val="fr-CH"/>
            </w:rPr>
          </w:pPr>
        </w:p>
      </w:tc>
      <w:tc>
        <w:tcPr>
          <w:tcW w:w="2059" w:type="dxa"/>
          <w:tcBorders>
            <w:bottom w:val="single" w:sz="4" w:space="0" w:color="auto"/>
          </w:tcBorders>
          <w:shd w:val="clear" w:color="auto" w:fill="auto"/>
          <w:vAlign w:val="bottom"/>
        </w:tcPr>
        <w:p w:rsidR="00451A6E" w:rsidRPr="00765105" w:rsidRDefault="00451A6E" w:rsidP="00451A6E">
          <w:pPr>
            <w:pStyle w:val="HCH"/>
            <w:spacing w:after="80"/>
            <w:rPr>
              <w:b w:val="0"/>
              <w:color w:val="010000"/>
              <w:spacing w:val="2"/>
              <w:w w:val="96"/>
              <w:lang w:val="fr-CH"/>
            </w:rPr>
          </w:pPr>
          <w:r w:rsidRPr="00765105">
            <w:rPr>
              <w:b w:val="0"/>
              <w:color w:val="010000"/>
              <w:spacing w:val="2"/>
              <w:w w:val="96"/>
              <w:lang w:val="fr-CH"/>
            </w:rPr>
            <w:t>Nations Unies</w:t>
          </w:r>
        </w:p>
      </w:tc>
      <w:tc>
        <w:tcPr>
          <w:tcW w:w="58" w:type="dxa"/>
          <w:tcBorders>
            <w:bottom w:val="single" w:sz="4" w:space="0" w:color="auto"/>
          </w:tcBorders>
          <w:shd w:val="clear" w:color="auto" w:fill="auto"/>
          <w:vAlign w:val="bottom"/>
        </w:tcPr>
        <w:p w:rsidR="00451A6E" w:rsidRPr="00765105" w:rsidRDefault="00451A6E" w:rsidP="00451A6E">
          <w:pPr>
            <w:pStyle w:val="Header"/>
            <w:spacing w:after="120"/>
            <w:rPr>
              <w:lang w:val="fr-CH"/>
            </w:rPr>
          </w:pPr>
        </w:p>
      </w:tc>
      <w:tc>
        <w:tcPr>
          <w:tcW w:w="6653" w:type="dxa"/>
          <w:gridSpan w:val="4"/>
          <w:tcBorders>
            <w:bottom w:val="single" w:sz="4" w:space="0" w:color="auto"/>
          </w:tcBorders>
          <w:shd w:val="clear" w:color="auto" w:fill="auto"/>
          <w:vAlign w:val="bottom"/>
        </w:tcPr>
        <w:p w:rsidR="00451A6E" w:rsidRPr="00765105" w:rsidRDefault="00451A6E" w:rsidP="00451A6E">
          <w:pPr>
            <w:spacing w:after="80" w:line="240" w:lineRule="auto"/>
            <w:jc w:val="right"/>
            <w:rPr>
              <w:position w:val="-4"/>
              <w:lang w:val="fr-CH"/>
            </w:rPr>
          </w:pPr>
          <w:r w:rsidRPr="00765105">
            <w:rPr>
              <w:position w:val="-4"/>
              <w:sz w:val="40"/>
              <w:lang w:val="fr-CH"/>
            </w:rPr>
            <w:t>ECE</w:t>
          </w:r>
          <w:r w:rsidRPr="00765105">
            <w:rPr>
              <w:position w:val="-4"/>
              <w:lang w:val="fr-CH"/>
            </w:rPr>
            <w:t>/TRANS/WP.15/AC.2/2015/30</w:t>
          </w:r>
        </w:p>
      </w:tc>
    </w:tr>
    <w:tr w:rsidR="00451A6E" w:rsidRPr="00BF7E1A" w:rsidTr="00451A6E">
      <w:trPr>
        <w:gridAfter w:val="1"/>
        <w:wAfter w:w="18" w:type="dxa"/>
        <w:trHeight w:hRule="exact" w:val="2880"/>
      </w:trPr>
      <w:tc>
        <w:tcPr>
          <w:tcW w:w="1267" w:type="dxa"/>
          <w:tcBorders>
            <w:top w:val="single" w:sz="4" w:space="0" w:color="auto"/>
            <w:bottom w:val="single" w:sz="12" w:space="0" w:color="auto"/>
          </w:tcBorders>
          <w:shd w:val="clear" w:color="auto" w:fill="auto"/>
        </w:tcPr>
        <w:p w:rsidR="00451A6E" w:rsidRPr="00765105" w:rsidRDefault="00451A6E" w:rsidP="00451A6E">
          <w:pPr>
            <w:pStyle w:val="Header"/>
            <w:spacing w:before="120" w:line="240" w:lineRule="auto"/>
            <w:ind w:left="-72"/>
            <w:jc w:val="center"/>
            <w:rPr>
              <w:lang w:val="fr-CH"/>
            </w:rPr>
          </w:pPr>
          <w:r w:rsidRPr="00765105">
            <w:rPr>
              <w:lang w:val="fr-CH"/>
            </w:rPr>
            <w:t xml:space="preserve">  </w:t>
          </w:r>
          <w:r w:rsidRPr="00765105">
            <w:rPr>
              <w:noProof/>
              <w:lang w:val="en-GB" w:eastAsia="en-GB"/>
            </w:rPr>
            <w:drawing>
              <wp:inline distT="0" distB="0" distL="0" distR="0" wp14:anchorId="250B13AA" wp14:editId="34FE18E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51A6E" w:rsidRPr="00765105" w:rsidRDefault="00451A6E" w:rsidP="00451A6E">
          <w:pPr>
            <w:pStyle w:val="XLarge"/>
            <w:spacing w:before="109"/>
            <w:rPr>
              <w:lang w:val="fr-CH"/>
            </w:rPr>
          </w:pPr>
          <w:r w:rsidRPr="00765105">
            <w:rPr>
              <w:lang w:val="fr-CH"/>
            </w:rPr>
            <w:t>Conseil économique et social</w:t>
          </w:r>
        </w:p>
      </w:tc>
      <w:tc>
        <w:tcPr>
          <w:tcW w:w="245" w:type="dxa"/>
          <w:tcBorders>
            <w:top w:val="single" w:sz="4" w:space="0" w:color="auto"/>
            <w:bottom w:val="single" w:sz="12" w:space="0" w:color="auto"/>
          </w:tcBorders>
          <w:shd w:val="clear" w:color="auto" w:fill="auto"/>
        </w:tcPr>
        <w:p w:rsidR="00451A6E" w:rsidRPr="00765105" w:rsidRDefault="00451A6E" w:rsidP="00451A6E">
          <w:pPr>
            <w:pStyle w:val="Header"/>
            <w:spacing w:before="109"/>
            <w:rPr>
              <w:lang w:val="fr-CH"/>
            </w:rPr>
          </w:pPr>
        </w:p>
      </w:tc>
      <w:tc>
        <w:tcPr>
          <w:tcW w:w="3280" w:type="dxa"/>
          <w:tcBorders>
            <w:top w:val="single" w:sz="4" w:space="0" w:color="auto"/>
            <w:bottom w:val="single" w:sz="12" w:space="0" w:color="auto"/>
          </w:tcBorders>
          <w:shd w:val="clear" w:color="auto" w:fill="auto"/>
        </w:tcPr>
        <w:p w:rsidR="00451A6E" w:rsidRPr="00765105" w:rsidRDefault="00451A6E" w:rsidP="00451A6E">
          <w:pPr>
            <w:pStyle w:val="Distribution"/>
            <w:rPr>
              <w:color w:val="000000"/>
              <w:lang w:val="fr-CH"/>
            </w:rPr>
          </w:pPr>
          <w:proofErr w:type="spellStart"/>
          <w:r w:rsidRPr="00765105">
            <w:rPr>
              <w:color w:val="000000"/>
              <w:lang w:val="fr-CH"/>
            </w:rPr>
            <w:t>Distr</w:t>
          </w:r>
          <w:proofErr w:type="spellEnd"/>
          <w:r w:rsidRPr="00765105">
            <w:rPr>
              <w:color w:val="000000"/>
              <w:lang w:val="fr-CH"/>
            </w:rPr>
            <w:t>. générale</w:t>
          </w:r>
        </w:p>
        <w:p w:rsidR="00451A6E" w:rsidRPr="00765105" w:rsidRDefault="00451A6E" w:rsidP="00451A6E">
          <w:pPr>
            <w:pStyle w:val="Publication"/>
            <w:rPr>
              <w:color w:val="000000"/>
              <w:lang w:val="fr-CH"/>
            </w:rPr>
          </w:pPr>
          <w:r w:rsidRPr="00765105">
            <w:rPr>
              <w:color w:val="000000"/>
              <w:lang w:val="fr-CH"/>
            </w:rPr>
            <w:t>2 juin 2015</w:t>
          </w:r>
        </w:p>
        <w:p w:rsidR="00451A6E" w:rsidRPr="00765105" w:rsidRDefault="00451A6E" w:rsidP="00451A6E">
          <w:pPr>
            <w:rPr>
              <w:lang w:val="fr-CH"/>
            </w:rPr>
          </w:pPr>
          <w:r w:rsidRPr="00765105">
            <w:rPr>
              <w:lang w:val="fr-CH"/>
            </w:rPr>
            <w:t>Français</w:t>
          </w:r>
        </w:p>
        <w:p w:rsidR="00451A6E" w:rsidRPr="00765105" w:rsidRDefault="00451A6E" w:rsidP="00451A6E">
          <w:pPr>
            <w:pStyle w:val="Original"/>
            <w:rPr>
              <w:color w:val="000000"/>
              <w:lang w:val="fr-CH"/>
            </w:rPr>
          </w:pPr>
          <w:r w:rsidRPr="00765105">
            <w:rPr>
              <w:color w:val="000000"/>
              <w:lang w:val="fr-CH"/>
            </w:rPr>
            <w:t>Original : anglais</w:t>
          </w:r>
        </w:p>
      </w:tc>
    </w:tr>
  </w:tbl>
  <w:p w:rsidR="00451A6E" w:rsidRPr="00765105" w:rsidRDefault="00451A6E" w:rsidP="00451A6E">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86F75"/>
    <w:multiLevelType w:val="singleLevel"/>
    <w:tmpl w:val="C3C884C6"/>
    <w:lvl w:ilvl="0">
      <w:start w:val="1"/>
      <w:numFmt w:val="decimal"/>
      <w:lvlRestart w:val="0"/>
      <w:lvlText w:val="%1."/>
      <w:lvlJc w:val="left"/>
      <w:pPr>
        <w:tabs>
          <w:tab w:val="num" w:pos="475"/>
        </w:tabs>
        <w:ind w:left="0" w:firstLine="0"/>
      </w:pPr>
      <w:rPr>
        <w:w w:val="100"/>
      </w:rPr>
    </w:lvl>
  </w:abstractNum>
  <w:num w:numId="1">
    <w:abstractNumId w:val="1"/>
  </w:num>
  <w:num w:numId="2">
    <w:abstractNumId w:val="0"/>
  </w:num>
  <w:num w:numId="3">
    <w:abstractNumId w:val="2"/>
  </w:num>
  <w:num w:numId="4">
    <w:abstractNumId w:val="3"/>
  </w:num>
  <w:num w:numId="5">
    <w:abstractNumId w:val="4"/>
  </w:num>
  <w:num w:numId="6">
    <w:abstractNumId w:val="4"/>
    <w:lvlOverride w:ilvl="0">
      <w:lvl w:ilvl="0">
        <w:start w:val="1"/>
        <w:numFmt w:val="decimal"/>
        <w:lvlRestart w:val="0"/>
        <w:lvlText w:val="%1."/>
        <w:lvlJc w:val="left"/>
        <w:pPr>
          <w:tabs>
            <w:tab w:val="num" w:pos="475"/>
          </w:tabs>
          <w:ind w:left="0" w:firstLine="0"/>
        </w:pPr>
        <w:rPr>
          <w:w w:val="100"/>
        </w:rPr>
      </w:lvl>
    </w:lvlOverride>
  </w:num>
  <w:num w:numId="7">
    <w:abstractNumId w:val="4"/>
    <w:lvlOverride w:ilvl="0">
      <w:lvl w:ilvl="0">
        <w:start w:val="1"/>
        <w:numFmt w:val="decimal"/>
        <w:lvlRestart w:val="0"/>
        <w:lvlText w:val="%1."/>
        <w:lvlJc w:val="left"/>
        <w:pPr>
          <w:tabs>
            <w:tab w:val="num" w:pos="475"/>
          </w:tabs>
          <w:ind w:left="0" w:firstLine="0"/>
        </w:pPr>
        <w:rPr>
          <w:w w:val="100"/>
        </w:rPr>
      </w:lvl>
    </w:lvlOverride>
  </w:num>
  <w:num w:numId="8">
    <w:abstractNumId w:val="4"/>
    <w:lvlOverride w:ilvl="0">
      <w:lvl w:ilvl="0">
        <w:start w:val="1"/>
        <w:numFmt w:val="decimal"/>
        <w:lvlRestart w:val="0"/>
        <w:lvlText w:val="%1."/>
        <w:lvlJc w:val="left"/>
        <w:pPr>
          <w:tabs>
            <w:tab w:val="num" w:pos="475"/>
          </w:tabs>
          <w:ind w:left="0" w:firstLine="0"/>
        </w:pPr>
        <w:rPr>
          <w:w w:val="100"/>
        </w:rPr>
      </w:lvl>
    </w:lvlOverride>
  </w:num>
  <w:num w:numId="9">
    <w:abstractNumId w:val="4"/>
    <w:lvlOverride w:ilvl="0">
      <w:lvl w:ilvl="0">
        <w:start w:val="1"/>
        <w:numFmt w:val="decimal"/>
        <w:lvlRestart w:val="0"/>
        <w:lvlText w:val="%1."/>
        <w:lvlJc w:val="left"/>
        <w:pPr>
          <w:tabs>
            <w:tab w:val="num" w:pos="475"/>
          </w:tabs>
          <w:ind w:left="0" w:firstLine="0"/>
        </w:pPr>
        <w:rPr>
          <w:w w:val="100"/>
        </w:rPr>
      </w:lvl>
    </w:lvlOverride>
  </w:num>
  <w:num w:numId="10">
    <w:abstractNumId w:val="4"/>
    <w:lvlOverride w:ilvl="0">
      <w:lvl w:ilvl="0">
        <w:start w:val="1"/>
        <w:numFmt w:val="decimal"/>
        <w:lvlRestart w:val="0"/>
        <w:lvlText w:val="%1."/>
        <w:lvlJc w:val="left"/>
        <w:pPr>
          <w:tabs>
            <w:tab w:val="num" w:pos="475"/>
          </w:tabs>
          <w:ind w:left="0" w:firstLine="0"/>
        </w:pPr>
        <w:rPr>
          <w:w w:val="100"/>
        </w:rPr>
      </w:lvl>
    </w:lvlOverride>
  </w:num>
  <w:num w:numId="11">
    <w:abstractNumId w:val="4"/>
    <w:lvlOverride w:ilvl="0">
      <w:lvl w:ilvl="0">
        <w:start w:val="1"/>
        <w:numFmt w:val="decimal"/>
        <w:lvlRestart w:val="0"/>
        <w:lvlText w:val="%1."/>
        <w:lvlJc w:val="left"/>
        <w:pPr>
          <w:tabs>
            <w:tab w:val="num" w:pos="475"/>
          </w:tabs>
          <w:ind w:left="0" w:firstLine="0"/>
        </w:pPr>
        <w:rPr>
          <w:w w:val="100"/>
        </w:rPr>
      </w:lvl>
    </w:lvlOverride>
  </w:num>
  <w:num w:numId="12">
    <w:abstractNumId w:val="4"/>
    <w:lvlOverride w:ilvl="0">
      <w:lvl w:ilvl="0">
        <w:start w:val="1"/>
        <w:numFmt w:val="decimal"/>
        <w:lvlRestart w:val="0"/>
        <w:lvlText w:val="%1."/>
        <w:lvlJc w:val="left"/>
        <w:pPr>
          <w:tabs>
            <w:tab w:val="num" w:pos="475"/>
          </w:tabs>
          <w:ind w:left="0" w:firstLine="0"/>
        </w:pPr>
        <w:rPr>
          <w:w w:val="100"/>
        </w:rPr>
      </w:lvl>
    </w:lvlOverride>
  </w:num>
  <w:num w:numId="13">
    <w:abstractNumId w:val="4"/>
    <w:lvlOverride w:ilvl="0">
      <w:lvl w:ilvl="0">
        <w:start w:val="1"/>
        <w:numFmt w:val="decimal"/>
        <w:lvlRestart w:val="0"/>
        <w:lvlText w:val="%1."/>
        <w:lvlJc w:val="left"/>
        <w:pPr>
          <w:tabs>
            <w:tab w:val="num" w:pos="475"/>
          </w:tabs>
          <w:ind w:left="0" w:firstLine="0"/>
        </w:pPr>
        <w:rPr>
          <w:w w:val="100"/>
        </w:rPr>
      </w:lvl>
    </w:lvlOverride>
  </w:num>
  <w:num w:numId="14">
    <w:abstractNumId w:val="4"/>
    <w:lvlOverride w:ilvl="0">
      <w:lvl w:ilvl="0">
        <w:start w:val="1"/>
        <w:numFmt w:val="decimal"/>
        <w:lvlRestart w:val="0"/>
        <w:lvlText w:val="%1."/>
        <w:lvlJc w:val="left"/>
        <w:pPr>
          <w:tabs>
            <w:tab w:val="num" w:pos="475"/>
          </w:tabs>
          <w:ind w:left="0" w:firstLine="0"/>
        </w:pPr>
        <w:rPr>
          <w:w w:val="100"/>
        </w:rPr>
      </w:lvl>
    </w:lvlOverride>
  </w:num>
  <w:num w:numId="15">
    <w:abstractNumId w:val="4"/>
    <w:lvlOverride w:ilvl="0">
      <w:lvl w:ilvl="0">
        <w:start w:val="1"/>
        <w:numFmt w:val="decimal"/>
        <w:lvlRestart w:val="0"/>
        <w:lvlText w:val="%1."/>
        <w:lvlJc w:val="left"/>
        <w:pPr>
          <w:tabs>
            <w:tab w:val="num" w:pos="475"/>
          </w:tabs>
          <w:ind w:left="0" w:firstLine="0"/>
        </w:pPr>
        <w:rPr>
          <w:w w:val="100"/>
        </w:rPr>
      </w:lvl>
    </w:lvlOverride>
  </w:num>
  <w:num w:numId="16">
    <w:abstractNumId w:val="4"/>
    <w:lvlOverride w:ilvl="0">
      <w:lvl w:ilvl="0">
        <w:start w:val="1"/>
        <w:numFmt w:val="decimal"/>
        <w:lvlRestart w:val="0"/>
        <w:lvlText w:val="%1."/>
        <w:lvlJc w:val="left"/>
        <w:pPr>
          <w:tabs>
            <w:tab w:val="num" w:pos="475"/>
          </w:tabs>
          <w:ind w:left="0" w:firstLine="0"/>
        </w:pPr>
        <w:rPr>
          <w:w w:val="100"/>
        </w:rPr>
      </w:lvl>
    </w:lvlOverride>
  </w:num>
  <w:num w:numId="17">
    <w:abstractNumId w:val="4"/>
    <w:lvlOverride w:ilvl="0">
      <w:lvl w:ilvl="0">
        <w:start w:val="1"/>
        <w:numFmt w:val="decimal"/>
        <w:lvlRestart w:val="0"/>
        <w:lvlText w:val="%1."/>
        <w:lvlJc w:val="left"/>
        <w:pPr>
          <w:tabs>
            <w:tab w:val="num" w:pos="475"/>
          </w:tabs>
          <w:ind w:left="0" w:firstLine="0"/>
        </w:pPr>
        <w:rPr>
          <w:w w:val="100"/>
        </w:rPr>
      </w:lvl>
    </w:lvlOverride>
  </w:num>
  <w:num w:numId="18">
    <w:abstractNumId w:val="4"/>
    <w:lvlOverride w:ilvl="0">
      <w:lvl w:ilvl="0">
        <w:start w:val="1"/>
        <w:numFmt w:val="decimal"/>
        <w:lvlRestart w:val="0"/>
        <w:lvlText w:val="%1."/>
        <w:lvlJc w:val="left"/>
        <w:pPr>
          <w:tabs>
            <w:tab w:val="num" w:pos="475"/>
          </w:tabs>
          <w:ind w:left="0" w:firstLine="0"/>
        </w:pPr>
        <w:rPr>
          <w:w w:val="100"/>
        </w:rPr>
      </w:lvl>
    </w:lvlOverride>
  </w:num>
  <w:num w:numId="19">
    <w:abstractNumId w:val="4"/>
    <w:lvlOverride w:ilvl="0">
      <w:lvl w:ilvl="0">
        <w:start w:val="1"/>
        <w:numFmt w:val="decimal"/>
        <w:lvlRestart w:val="0"/>
        <w:lvlText w:val="%1."/>
        <w:lvlJc w:val="left"/>
        <w:pPr>
          <w:tabs>
            <w:tab w:val="num" w:pos="475"/>
          </w:tabs>
          <w:ind w:left="0" w:firstLine="0"/>
        </w:pPr>
        <w:rPr>
          <w:w w:val="100"/>
        </w:rPr>
      </w:lvl>
    </w:lvlOverride>
  </w:num>
  <w:num w:numId="20">
    <w:abstractNumId w:val="4"/>
    <w:lvlOverride w:ilvl="0">
      <w:lvl w:ilvl="0">
        <w:start w:val="1"/>
        <w:numFmt w:val="decimal"/>
        <w:lvlRestart w:val="0"/>
        <w:lvlText w:val="%1."/>
        <w:lvlJc w:val="left"/>
        <w:pPr>
          <w:tabs>
            <w:tab w:val="num" w:pos="475"/>
          </w:tabs>
          <w:ind w:left="0" w:firstLine="0"/>
        </w:pPr>
        <w:rPr>
          <w:w w:val="100"/>
        </w:rPr>
      </w:lvl>
    </w:lvlOverride>
  </w:num>
  <w:num w:numId="21">
    <w:abstractNumId w:val="4"/>
    <w:lvlOverride w:ilvl="0">
      <w:lvl w:ilvl="0">
        <w:start w:val="1"/>
        <w:numFmt w:val="decimal"/>
        <w:lvlRestart w:val="0"/>
        <w:lvlText w:val="%1."/>
        <w:lvlJc w:val="left"/>
        <w:pPr>
          <w:tabs>
            <w:tab w:val="num" w:pos="475"/>
          </w:tabs>
          <w:ind w:left="0" w:firstLine="0"/>
        </w:pPr>
        <w:rPr>
          <w:w w:val="100"/>
        </w:rPr>
      </w:lvl>
    </w:lvlOverride>
  </w:num>
  <w:num w:numId="22">
    <w:abstractNumId w:val="4"/>
    <w:lvlOverride w:ilvl="0">
      <w:lvl w:ilvl="0">
        <w:start w:val="1"/>
        <w:numFmt w:val="decimal"/>
        <w:lvlRestart w:val="0"/>
        <w:lvlText w:val="%1."/>
        <w:lvlJc w:val="left"/>
        <w:pPr>
          <w:tabs>
            <w:tab w:val="num" w:pos="475"/>
          </w:tabs>
          <w:ind w:left="0" w:firstLine="0"/>
        </w:pPr>
        <w:rPr>
          <w:w w:val="100"/>
        </w:rPr>
      </w:lvl>
    </w:lvlOverride>
  </w:num>
  <w:num w:numId="23">
    <w:abstractNumId w:val="4"/>
    <w:lvlOverride w:ilvl="0">
      <w:lvl w:ilvl="0">
        <w:start w:val="1"/>
        <w:numFmt w:val="decimal"/>
        <w:lvlRestart w:val="0"/>
        <w:lvlText w:val="%1."/>
        <w:lvlJc w:val="left"/>
        <w:pPr>
          <w:tabs>
            <w:tab w:val="num" w:pos="475"/>
          </w:tabs>
          <w:ind w:left="0" w:firstLine="0"/>
        </w:pPr>
        <w:rPr>
          <w:w w:val="100"/>
        </w:rPr>
      </w:lvl>
    </w:lvlOverride>
  </w:num>
  <w:num w:numId="24">
    <w:abstractNumId w:val="4"/>
    <w:lvlOverride w:ilvl="0">
      <w:lvl w:ilvl="0">
        <w:start w:val="1"/>
        <w:numFmt w:val="decimal"/>
        <w:lvlRestart w:val="0"/>
        <w:lvlText w:val="%1."/>
        <w:lvlJc w:val="left"/>
        <w:pPr>
          <w:tabs>
            <w:tab w:val="num" w:pos="475"/>
          </w:tabs>
          <w:ind w:left="0" w:firstLine="0"/>
        </w:pPr>
        <w:rPr>
          <w:w w:val="100"/>
        </w:rPr>
      </w:lvl>
    </w:lvlOverride>
  </w:num>
  <w:num w:numId="25">
    <w:abstractNumId w:val="4"/>
    <w:lvlOverride w:ilvl="0">
      <w:lvl w:ilvl="0">
        <w:start w:val="1"/>
        <w:numFmt w:val="decimal"/>
        <w:lvlRestart w:val="0"/>
        <w:lvlText w:val="%1."/>
        <w:lvlJc w:val="left"/>
        <w:pPr>
          <w:tabs>
            <w:tab w:val="num" w:pos="475"/>
          </w:tabs>
          <w:ind w:left="0" w:firstLine="0"/>
        </w:pPr>
        <w:rPr>
          <w:w w:val="100"/>
        </w:rPr>
      </w:lvl>
    </w:lvlOverride>
  </w:num>
  <w:num w:numId="26">
    <w:abstractNumId w:val="4"/>
    <w:lvlOverride w:ilvl="0">
      <w:lvl w:ilvl="0">
        <w:start w:val="1"/>
        <w:numFmt w:val="decimal"/>
        <w:lvlRestart w:val="0"/>
        <w:lvlText w:val="%1."/>
        <w:lvlJc w:val="left"/>
        <w:pPr>
          <w:tabs>
            <w:tab w:val="num" w:pos="475"/>
          </w:tabs>
          <w:ind w:left="0" w:firstLine="0"/>
        </w:pPr>
        <w:rPr>
          <w:w w:val="100"/>
        </w:rPr>
      </w:lvl>
    </w:lvlOverride>
  </w:num>
  <w:num w:numId="27">
    <w:abstractNumId w:val="4"/>
    <w:lvlOverride w:ilvl="0">
      <w:lvl w:ilvl="0">
        <w:start w:val="1"/>
        <w:numFmt w:val="decimal"/>
        <w:lvlRestart w:val="0"/>
        <w:lvlText w:val="%1."/>
        <w:lvlJc w:val="left"/>
        <w:pPr>
          <w:tabs>
            <w:tab w:val="num" w:pos="475"/>
          </w:tabs>
          <w:ind w:left="0" w:firstLine="0"/>
        </w:pPr>
        <w:rPr>
          <w:w w:val="100"/>
        </w:rPr>
      </w:lvl>
    </w:lvlOverride>
  </w:num>
  <w:num w:numId="28">
    <w:abstractNumId w:val="4"/>
    <w:lvlOverride w:ilvl="0">
      <w:lvl w:ilvl="0">
        <w:start w:val="1"/>
        <w:numFmt w:val="decimal"/>
        <w:lvlRestart w:val="0"/>
        <w:lvlText w:val="%1."/>
        <w:lvlJc w:val="left"/>
        <w:pPr>
          <w:tabs>
            <w:tab w:val="num" w:pos="475"/>
          </w:tabs>
          <w:ind w:left="0" w:firstLine="0"/>
        </w:pPr>
        <w:rPr>
          <w:w w:val="100"/>
        </w:rPr>
      </w:lvl>
    </w:lvlOverride>
  </w:num>
  <w:num w:numId="29">
    <w:abstractNumId w:val="4"/>
    <w:lvlOverride w:ilvl="0">
      <w:lvl w:ilvl="0">
        <w:start w:val="1"/>
        <w:numFmt w:val="decimal"/>
        <w:lvlRestart w:val="0"/>
        <w:lvlText w:val="%1."/>
        <w:lvlJc w:val="left"/>
        <w:pPr>
          <w:tabs>
            <w:tab w:val="num" w:pos="475"/>
          </w:tabs>
          <w:ind w:left="0" w:firstLine="0"/>
        </w:pPr>
        <w:rPr>
          <w:w w:val="100"/>
        </w:rPr>
      </w:lvl>
    </w:lvlOverride>
  </w:num>
  <w:num w:numId="30">
    <w:abstractNumId w:val="4"/>
    <w:lvlOverride w:ilvl="0">
      <w:lvl w:ilvl="0">
        <w:start w:val="1"/>
        <w:numFmt w:val="decimal"/>
        <w:lvlRestart w:val="0"/>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3"/>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08722*"/>
    <w:docVar w:name="CreationDt" w:val="7/1/2015 8:51: AM"/>
    <w:docVar w:name="DocCategory" w:val="Doc"/>
    <w:docVar w:name="DocType" w:val="Final"/>
    <w:docVar w:name="DutyStation" w:val="Geneva"/>
    <w:docVar w:name="FooterJN" w:val="GE. 15-08722"/>
    <w:docVar w:name="jobn" w:val="GE. 15-08722 (F)"/>
    <w:docVar w:name="jobnDT" w:val="GE. 15-08722 (F)   010715"/>
    <w:docVar w:name="jobnDTDT" w:val="GE. 15-08722 (F)   010715   010715"/>
    <w:docVar w:name="JobNo" w:val="GE. 1508722F"/>
    <w:docVar w:name="JobNo2" w:val="GE. 1511077F"/>
    <w:docVar w:name="LocalDrive" w:val="0"/>
    <w:docVar w:name="OandT" w:val="Nath V."/>
    <w:docVar w:name="PaperSize" w:val="A4"/>
    <w:docVar w:name="sss1" w:val="ECE/TRANS/WP.15/AC.2/2015/30"/>
    <w:docVar w:name="sss2" w:val="-"/>
    <w:docVar w:name="Symbol1" w:val="ECE/TRANS/WP.15/AC.2/2015/30"/>
    <w:docVar w:name="Symbol2" w:val="-"/>
  </w:docVars>
  <w:rsids>
    <w:rsidRoot w:val="00E736AE"/>
    <w:rsid w:val="000015B8"/>
    <w:rsid w:val="000046A5"/>
    <w:rsid w:val="000055FB"/>
    <w:rsid w:val="00016483"/>
    <w:rsid w:val="00022173"/>
    <w:rsid w:val="0002226F"/>
    <w:rsid w:val="00022B4A"/>
    <w:rsid w:val="000249FF"/>
    <w:rsid w:val="00025DE5"/>
    <w:rsid w:val="000274C2"/>
    <w:rsid w:val="00033DC9"/>
    <w:rsid w:val="000378DE"/>
    <w:rsid w:val="00040497"/>
    <w:rsid w:val="00046145"/>
    <w:rsid w:val="00050D9C"/>
    <w:rsid w:val="00054482"/>
    <w:rsid w:val="0005669A"/>
    <w:rsid w:val="00057151"/>
    <w:rsid w:val="000571B5"/>
    <w:rsid w:val="000616D7"/>
    <w:rsid w:val="000636D2"/>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A18B6"/>
    <w:rsid w:val="000A24DE"/>
    <w:rsid w:val="000A2612"/>
    <w:rsid w:val="000A4A47"/>
    <w:rsid w:val="000B0E9A"/>
    <w:rsid w:val="000B1A18"/>
    <w:rsid w:val="000B2CD0"/>
    <w:rsid w:val="000B3ED4"/>
    <w:rsid w:val="000B5AF0"/>
    <w:rsid w:val="000B6B84"/>
    <w:rsid w:val="000B7004"/>
    <w:rsid w:val="000C349B"/>
    <w:rsid w:val="000C683C"/>
    <w:rsid w:val="000D44E3"/>
    <w:rsid w:val="000D5D82"/>
    <w:rsid w:val="000D66AC"/>
    <w:rsid w:val="000D7ED4"/>
    <w:rsid w:val="000E1ABE"/>
    <w:rsid w:val="000F04A8"/>
    <w:rsid w:val="000F1B8A"/>
    <w:rsid w:val="000F299A"/>
    <w:rsid w:val="000F36A0"/>
    <w:rsid w:val="000F53E9"/>
    <w:rsid w:val="000F6A05"/>
    <w:rsid w:val="000F6E7D"/>
    <w:rsid w:val="0010575E"/>
    <w:rsid w:val="00106549"/>
    <w:rsid w:val="00107710"/>
    <w:rsid w:val="00107C97"/>
    <w:rsid w:val="0011255C"/>
    <w:rsid w:val="001126A7"/>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D0E60"/>
    <w:rsid w:val="001D272D"/>
    <w:rsid w:val="001D280C"/>
    <w:rsid w:val="001D294E"/>
    <w:rsid w:val="001E44F3"/>
    <w:rsid w:val="001F053A"/>
    <w:rsid w:val="001F2DA6"/>
    <w:rsid w:val="001F5CDF"/>
    <w:rsid w:val="001F62AF"/>
    <w:rsid w:val="001F793D"/>
    <w:rsid w:val="001F7E9D"/>
    <w:rsid w:val="002021E9"/>
    <w:rsid w:val="00202789"/>
    <w:rsid w:val="00202F1F"/>
    <w:rsid w:val="00205199"/>
    <w:rsid w:val="00206598"/>
    <w:rsid w:val="00207CAA"/>
    <w:rsid w:val="0021168F"/>
    <w:rsid w:val="002178A7"/>
    <w:rsid w:val="002220FF"/>
    <w:rsid w:val="00237D01"/>
    <w:rsid w:val="00240F64"/>
    <w:rsid w:val="002410E3"/>
    <w:rsid w:val="00243D1C"/>
    <w:rsid w:val="00245B48"/>
    <w:rsid w:val="00246425"/>
    <w:rsid w:val="00252402"/>
    <w:rsid w:val="00254656"/>
    <w:rsid w:val="0025545A"/>
    <w:rsid w:val="00261E82"/>
    <w:rsid w:val="0026332C"/>
    <w:rsid w:val="0026552F"/>
    <w:rsid w:val="0026565F"/>
    <w:rsid w:val="00266AFD"/>
    <w:rsid w:val="002730C7"/>
    <w:rsid w:val="0027435B"/>
    <w:rsid w:val="00276E85"/>
    <w:rsid w:val="00280143"/>
    <w:rsid w:val="002810F0"/>
    <w:rsid w:val="00281BC7"/>
    <w:rsid w:val="00286531"/>
    <w:rsid w:val="002867C7"/>
    <w:rsid w:val="0029018C"/>
    <w:rsid w:val="002A07EF"/>
    <w:rsid w:val="002A27E5"/>
    <w:rsid w:val="002A69DB"/>
    <w:rsid w:val="002B1D15"/>
    <w:rsid w:val="002B4A7F"/>
    <w:rsid w:val="002B5928"/>
    <w:rsid w:val="002C3640"/>
    <w:rsid w:val="002C3FD3"/>
    <w:rsid w:val="002C472D"/>
    <w:rsid w:val="002C77CF"/>
    <w:rsid w:val="002D45C0"/>
    <w:rsid w:val="002D5981"/>
    <w:rsid w:val="002D7EC0"/>
    <w:rsid w:val="002D7EFC"/>
    <w:rsid w:val="002E11E9"/>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788D"/>
    <w:rsid w:val="00316628"/>
    <w:rsid w:val="00316B58"/>
    <w:rsid w:val="003235C7"/>
    <w:rsid w:val="00326270"/>
    <w:rsid w:val="00332A87"/>
    <w:rsid w:val="003342DF"/>
    <w:rsid w:val="00337015"/>
    <w:rsid w:val="003406CA"/>
    <w:rsid w:val="00340736"/>
    <w:rsid w:val="00343F8A"/>
    <w:rsid w:val="003441A5"/>
    <w:rsid w:val="003506F1"/>
    <w:rsid w:val="003555DE"/>
    <w:rsid w:val="00355810"/>
    <w:rsid w:val="003559A7"/>
    <w:rsid w:val="00356B67"/>
    <w:rsid w:val="00362737"/>
    <w:rsid w:val="00362F57"/>
    <w:rsid w:val="00365932"/>
    <w:rsid w:val="003738C0"/>
    <w:rsid w:val="003810FF"/>
    <w:rsid w:val="003824F9"/>
    <w:rsid w:val="00384511"/>
    <w:rsid w:val="00385D78"/>
    <w:rsid w:val="003864EE"/>
    <w:rsid w:val="00386953"/>
    <w:rsid w:val="003909DD"/>
    <w:rsid w:val="00391295"/>
    <w:rsid w:val="00391342"/>
    <w:rsid w:val="00393A67"/>
    <w:rsid w:val="00393C9F"/>
    <w:rsid w:val="003942F1"/>
    <w:rsid w:val="00395031"/>
    <w:rsid w:val="00395EB8"/>
    <w:rsid w:val="003968AB"/>
    <w:rsid w:val="00396ABF"/>
    <w:rsid w:val="00397343"/>
    <w:rsid w:val="003A2037"/>
    <w:rsid w:val="003A4ED6"/>
    <w:rsid w:val="003A56DC"/>
    <w:rsid w:val="003A7CE4"/>
    <w:rsid w:val="003B411E"/>
    <w:rsid w:val="003B445F"/>
    <w:rsid w:val="003B49BF"/>
    <w:rsid w:val="003B60DA"/>
    <w:rsid w:val="003B60EE"/>
    <w:rsid w:val="003B668A"/>
    <w:rsid w:val="003C012D"/>
    <w:rsid w:val="003C222D"/>
    <w:rsid w:val="003C252F"/>
    <w:rsid w:val="003C6DDA"/>
    <w:rsid w:val="003C7D21"/>
    <w:rsid w:val="003D15A3"/>
    <w:rsid w:val="003D35C1"/>
    <w:rsid w:val="003D635C"/>
    <w:rsid w:val="003D7BC4"/>
    <w:rsid w:val="003E1642"/>
    <w:rsid w:val="003E3E2D"/>
    <w:rsid w:val="003E3E48"/>
    <w:rsid w:val="003E4029"/>
    <w:rsid w:val="003E47D8"/>
    <w:rsid w:val="003E4E03"/>
    <w:rsid w:val="003F108A"/>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4609"/>
    <w:rsid w:val="004448E6"/>
    <w:rsid w:val="00450D24"/>
    <w:rsid w:val="00451A6E"/>
    <w:rsid w:val="00452DA5"/>
    <w:rsid w:val="00453DAB"/>
    <w:rsid w:val="00453FC0"/>
    <w:rsid w:val="004548AC"/>
    <w:rsid w:val="00455176"/>
    <w:rsid w:val="00455E42"/>
    <w:rsid w:val="00457D04"/>
    <w:rsid w:val="00460112"/>
    <w:rsid w:val="004627F7"/>
    <w:rsid w:val="004638A8"/>
    <w:rsid w:val="00464787"/>
    <w:rsid w:val="004669E9"/>
    <w:rsid w:val="00472794"/>
    <w:rsid w:val="00475F9F"/>
    <w:rsid w:val="00476698"/>
    <w:rsid w:val="00477592"/>
    <w:rsid w:val="004814BB"/>
    <w:rsid w:val="00481634"/>
    <w:rsid w:val="00487428"/>
    <w:rsid w:val="00491CD5"/>
    <w:rsid w:val="00492DC3"/>
    <w:rsid w:val="004A0AA6"/>
    <w:rsid w:val="004A186E"/>
    <w:rsid w:val="004A2319"/>
    <w:rsid w:val="004A2455"/>
    <w:rsid w:val="004A698E"/>
    <w:rsid w:val="004A7606"/>
    <w:rsid w:val="004B7E99"/>
    <w:rsid w:val="004C1A6A"/>
    <w:rsid w:val="004C304C"/>
    <w:rsid w:val="004C5C41"/>
    <w:rsid w:val="004D13C8"/>
    <w:rsid w:val="004D4F44"/>
    <w:rsid w:val="004D5D20"/>
    <w:rsid w:val="004D6212"/>
    <w:rsid w:val="004D789D"/>
    <w:rsid w:val="004E0FB8"/>
    <w:rsid w:val="004E272F"/>
    <w:rsid w:val="004E2B64"/>
    <w:rsid w:val="004E4258"/>
    <w:rsid w:val="004E47A4"/>
    <w:rsid w:val="004F0E4A"/>
    <w:rsid w:val="004F1F9F"/>
    <w:rsid w:val="004F2765"/>
    <w:rsid w:val="004F53F0"/>
    <w:rsid w:val="004F69D3"/>
    <w:rsid w:val="004F6B7C"/>
    <w:rsid w:val="00505F1C"/>
    <w:rsid w:val="0050603C"/>
    <w:rsid w:val="00506B44"/>
    <w:rsid w:val="005100BC"/>
    <w:rsid w:val="00513DD4"/>
    <w:rsid w:val="0051451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2530"/>
    <w:rsid w:val="005A305D"/>
    <w:rsid w:val="005A6A6E"/>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61EE"/>
    <w:rsid w:val="0063657E"/>
    <w:rsid w:val="00636EB6"/>
    <w:rsid w:val="006407EF"/>
    <w:rsid w:val="00646F60"/>
    <w:rsid w:val="0064762B"/>
    <w:rsid w:val="00650623"/>
    <w:rsid w:val="0065129E"/>
    <w:rsid w:val="006512C8"/>
    <w:rsid w:val="00653CD3"/>
    <w:rsid w:val="00656E62"/>
    <w:rsid w:val="006573FC"/>
    <w:rsid w:val="00660D00"/>
    <w:rsid w:val="00662686"/>
    <w:rsid w:val="00665605"/>
    <w:rsid w:val="00665692"/>
    <w:rsid w:val="00671604"/>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35F3A"/>
    <w:rsid w:val="00735FB1"/>
    <w:rsid w:val="007367E1"/>
    <w:rsid w:val="007379A0"/>
    <w:rsid w:val="00743131"/>
    <w:rsid w:val="0074339E"/>
    <w:rsid w:val="00744D58"/>
    <w:rsid w:val="00745376"/>
    <w:rsid w:val="0074587F"/>
    <w:rsid w:val="00750C8F"/>
    <w:rsid w:val="007517F6"/>
    <w:rsid w:val="00752F6E"/>
    <w:rsid w:val="007531C9"/>
    <w:rsid w:val="007537B8"/>
    <w:rsid w:val="00754913"/>
    <w:rsid w:val="00755393"/>
    <w:rsid w:val="007553FC"/>
    <w:rsid w:val="00760F66"/>
    <w:rsid w:val="00762F97"/>
    <w:rsid w:val="0076382E"/>
    <w:rsid w:val="00763AE4"/>
    <w:rsid w:val="00765105"/>
    <w:rsid w:val="00765152"/>
    <w:rsid w:val="00767FBE"/>
    <w:rsid w:val="00770DEF"/>
    <w:rsid w:val="00770EB4"/>
    <w:rsid w:val="00772106"/>
    <w:rsid w:val="00772CF6"/>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7D7F"/>
    <w:rsid w:val="007D33BA"/>
    <w:rsid w:val="007D7FD4"/>
    <w:rsid w:val="007E2FEB"/>
    <w:rsid w:val="007E74E9"/>
    <w:rsid w:val="007F0ED6"/>
    <w:rsid w:val="007F3DCC"/>
    <w:rsid w:val="007F49BD"/>
    <w:rsid w:val="007F511E"/>
    <w:rsid w:val="007F6F95"/>
    <w:rsid w:val="007F77CB"/>
    <w:rsid w:val="00800903"/>
    <w:rsid w:val="008040BA"/>
    <w:rsid w:val="00804131"/>
    <w:rsid w:val="00804565"/>
    <w:rsid w:val="00806A3B"/>
    <w:rsid w:val="00807CA4"/>
    <w:rsid w:val="008100FD"/>
    <w:rsid w:val="008114C3"/>
    <w:rsid w:val="008173CF"/>
    <w:rsid w:val="00817884"/>
    <w:rsid w:val="0082537E"/>
    <w:rsid w:val="00833A79"/>
    <w:rsid w:val="00833BFF"/>
    <w:rsid w:val="0083677A"/>
    <w:rsid w:val="00837284"/>
    <w:rsid w:val="0083731D"/>
    <w:rsid w:val="008415FE"/>
    <w:rsid w:val="00842319"/>
    <w:rsid w:val="008435C2"/>
    <w:rsid w:val="00844B5C"/>
    <w:rsid w:val="00846431"/>
    <w:rsid w:val="00851353"/>
    <w:rsid w:val="008539E8"/>
    <w:rsid w:val="008555BA"/>
    <w:rsid w:val="00856155"/>
    <w:rsid w:val="00856CD0"/>
    <w:rsid w:val="008579A6"/>
    <w:rsid w:val="00860226"/>
    <w:rsid w:val="00861D7A"/>
    <w:rsid w:val="00863E44"/>
    <w:rsid w:val="00865A5F"/>
    <w:rsid w:val="00867F04"/>
    <w:rsid w:val="008703DB"/>
    <w:rsid w:val="008710A1"/>
    <w:rsid w:val="0087489F"/>
    <w:rsid w:val="00875E49"/>
    <w:rsid w:val="0088158E"/>
    <w:rsid w:val="008829F3"/>
    <w:rsid w:val="00882D4B"/>
    <w:rsid w:val="00887256"/>
    <w:rsid w:val="00890EF0"/>
    <w:rsid w:val="00891ADA"/>
    <w:rsid w:val="008962D4"/>
    <w:rsid w:val="008A3ABC"/>
    <w:rsid w:val="008A4C0E"/>
    <w:rsid w:val="008A5334"/>
    <w:rsid w:val="008A5D36"/>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4FFA"/>
    <w:rsid w:val="008E5CC1"/>
    <w:rsid w:val="008E6532"/>
    <w:rsid w:val="008E7FF5"/>
    <w:rsid w:val="008F125F"/>
    <w:rsid w:val="008F3DAE"/>
    <w:rsid w:val="008F6630"/>
    <w:rsid w:val="008F7622"/>
    <w:rsid w:val="0090311E"/>
    <w:rsid w:val="00903B08"/>
    <w:rsid w:val="0090438E"/>
    <w:rsid w:val="0090704E"/>
    <w:rsid w:val="009133F5"/>
    <w:rsid w:val="00914786"/>
    <w:rsid w:val="00915680"/>
    <w:rsid w:val="0091610E"/>
    <w:rsid w:val="00916373"/>
    <w:rsid w:val="00916548"/>
    <w:rsid w:val="00916A77"/>
    <w:rsid w:val="00921BE8"/>
    <w:rsid w:val="00931752"/>
    <w:rsid w:val="00932FDF"/>
    <w:rsid w:val="00936529"/>
    <w:rsid w:val="00940B65"/>
    <w:rsid w:val="0094133A"/>
    <w:rsid w:val="0095064A"/>
    <w:rsid w:val="00951A0B"/>
    <w:rsid w:val="009535B3"/>
    <w:rsid w:val="00953A36"/>
    <w:rsid w:val="00955DBA"/>
    <w:rsid w:val="00957244"/>
    <w:rsid w:val="00962CAC"/>
    <w:rsid w:val="00964BDE"/>
    <w:rsid w:val="009676D3"/>
    <w:rsid w:val="00971E24"/>
    <w:rsid w:val="0098128C"/>
    <w:rsid w:val="009813FE"/>
    <w:rsid w:val="00983DD0"/>
    <w:rsid w:val="00991387"/>
    <w:rsid w:val="00993B88"/>
    <w:rsid w:val="00993D02"/>
    <w:rsid w:val="009943AB"/>
    <w:rsid w:val="00994740"/>
    <w:rsid w:val="009966F8"/>
    <w:rsid w:val="009A142A"/>
    <w:rsid w:val="009A17F4"/>
    <w:rsid w:val="009A325B"/>
    <w:rsid w:val="009A4787"/>
    <w:rsid w:val="009A7DEC"/>
    <w:rsid w:val="009B0AF7"/>
    <w:rsid w:val="009B0BFB"/>
    <w:rsid w:val="009B4398"/>
    <w:rsid w:val="009B4EEC"/>
    <w:rsid w:val="009C1815"/>
    <w:rsid w:val="009E0573"/>
    <w:rsid w:val="009E06DE"/>
    <w:rsid w:val="009E246F"/>
    <w:rsid w:val="009E76A1"/>
    <w:rsid w:val="009F004A"/>
    <w:rsid w:val="009F235E"/>
    <w:rsid w:val="009F29EB"/>
    <w:rsid w:val="009F3C78"/>
    <w:rsid w:val="009F5ACE"/>
    <w:rsid w:val="009F7FE9"/>
    <w:rsid w:val="00A00A92"/>
    <w:rsid w:val="00A02426"/>
    <w:rsid w:val="00A0589C"/>
    <w:rsid w:val="00A06CAB"/>
    <w:rsid w:val="00A12DBB"/>
    <w:rsid w:val="00A150A7"/>
    <w:rsid w:val="00A157E7"/>
    <w:rsid w:val="00A210DD"/>
    <w:rsid w:val="00A21443"/>
    <w:rsid w:val="00A22ED0"/>
    <w:rsid w:val="00A24099"/>
    <w:rsid w:val="00A264B0"/>
    <w:rsid w:val="00A2768E"/>
    <w:rsid w:val="00A33E3C"/>
    <w:rsid w:val="00A3426E"/>
    <w:rsid w:val="00A353ED"/>
    <w:rsid w:val="00A375D9"/>
    <w:rsid w:val="00A43CAC"/>
    <w:rsid w:val="00A45E20"/>
    <w:rsid w:val="00A46DB8"/>
    <w:rsid w:val="00A52DF2"/>
    <w:rsid w:val="00A55810"/>
    <w:rsid w:val="00A56E3B"/>
    <w:rsid w:val="00A57C5A"/>
    <w:rsid w:val="00A64AD2"/>
    <w:rsid w:val="00A72C1F"/>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503F3"/>
    <w:rsid w:val="00B504C9"/>
    <w:rsid w:val="00B52A47"/>
    <w:rsid w:val="00B53FB4"/>
    <w:rsid w:val="00B541C6"/>
    <w:rsid w:val="00B556DD"/>
    <w:rsid w:val="00B5798F"/>
    <w:rsid w:val="00B61CB4"/>
    <w:rsid w:val="00B65DB9"/>
    <w:rsid w:val="00B66644"/>
    <w:rsid w:val="00B67756"/>
    <w:rsid w:val="00B70DA9"/>
    <w:rsid w:val="00B712B0"/>
    <w:rsid w:val="00B71802"/>
    <w:rsid w:val="00B7200B"/>
    <w:rsid w:val="00B77EB8"/>
    <w:rsid w:val="00B81A2A"/>
    <w:rsid w:val="00B84109"/>
    <w:rsid w:val="00B85BDA"/>
    <w:rsid w:val="00B870D6"/>
    <w:rsid w:val="00B932C8"/>
    <w:rsid w:val="00B93B31"/>
    <w:rsid w:val="00B9457F"/>
    <w:rsid w:val="00B965BF"/>
    <w:rsid w:val="00BA06B1"/>
    <w:rsid w:val="00BA3125"/>
    <w:rsid w:val="00BA3654"/>
    <w:rsid w:val="00BA600B"/>
    <w:rsid w:val="00BC0F9A"/>
    <w:rsid w:val="00BC43E2"/>
    <w:rsid w:val="00BD1607"/>
    <w:rsid w:val="00BD45A0"/>
    <w:rsid w:val="00BE1D55"/>
    <w:rsid w:val="00BE2F51"/>
    <w:rsid w:val="00BE3214"/>
    <w:rsid w:val="00BE5439"/>
    <w:rsid w:val="00BE62DB"/>
    <w:rsid w:val="00BE7E1A"/>
    <w:rsid w:val="00BF055A"/>
    <w:rsid w:val="00BF0B13"/>
    <w:rsid w:val="00BF651C"/>
    <w:rsid w:val="00BF7BD3"/>
    <w:rsid w:val="00BF7E1A"/>
    <w:rsid w:val="00C01B04"/>
    <w:rsid w:val="00C01B3A"/>
    <w:rsid w:val="00C03721"/>
    <w:rsid w:val="00C05291"/>
    <w:rsid w:val="00C06025"/>
    <w:rsid w:val="00C115C1"/>
    <w:rsid w:val="00C118DD"/>
    <w:rsid w:val="00C13C81"/>
    <w:rsid w:val="00C14A5C"/>
    <w:rsid w:val="00C14B0A"/>
    <w:rsid w:val="00C23EFE"/>
    <w:rsid w:val="00C26CD3"/>
    <w:rsid w:val="00C3047B"/>
    <w:rsid w:val="00C30749"/>
    <w:rsid w:val="00C3163F"/>
    <w:rsid w:val="00C35E4D"/>
    <w:rsid w:val="00C436F7"/>
    <w:rsid w:val="00C45692"/>
    <w:rsid w:val="00C45960"/>
    <w:rsid w:val="00C46175"/>
    <w:rsid w:val="00C47E57"/>
    <w:rsid w:val="00C55B02"/>
    <w:rsid w:val="00C56142"/>
    <w:rsid w:val="00C56B3A"/>
    <w:rsid w:val="00C56EFE"/>
    <w:rsid w:val="00C57F00"/>
    <w:rsid w:val="00C60C0B"/>
    <w:rsid w:val="00C66382"/>
    <w:rsid w:val="00C67F09"/>
    <w:rsid w:val="00C72788"/>
    <w:rsid w:val="00C76A5E"/>
    <w:rsid w:val="00C8106D"/>
    <w:rsid w:val="00C865D9"/>
    <w:rsid w:val="00C87110"/>
    <w:rsid w:val="00C90813"/>
    <w:rsid w:val="00C90C2B"/>
    <w:rsid w:val="00C9582B"/>
    <w:rsid w:val="00C978FA"/>
    <w:rsid w:val="00CA13F9"/>
    <w:rsid w:val="00CA2B14"/>
    <w:rsid w:val="00CA2D2A"/>
    <w:rsid w:val="00CA40E0"/>
    <w:rsid w:val="00CA4C49"/>
    <w:rsid w:val="00CA67AB"/>
    <w:rsid w:val="00CA789C"/>
    <w:rsid w:val="00CB0CBE"/>
    <w:rsid w:val="00CB1C6D"/>
    <w:rsid w:val="00CB5956"/>
    <w:rsid w:val="00CB60A9"/>
    <w:rsid w:val="00CC3EAA"/>
    <w:rsid w:val="00CD4A8B"/>
    <w:rsid w:val="00CE299F"/>
    <w:rsid w:val="00CE3799"/>
    <w:rsid w:val="00CE4AA9"/>
    <w:rsid w:val="00CE5477"/>
    <w:rsid w:val="00CE7ADD"/>
    <w:rsid w:val="00CF5E7B"/>
    <w:rsid w:val="00CF7A75"/>
    <w:rsid w:val="00D00362"/>
    <w:rsid w:val="00D02293"/>
    <w:rsid w:val="00D026B6"/>
    <w:rsid w:val="00D03953"/>
    <w:rsid w:val="00D03F61"/>
    <w:rsid w:val="00D047D6"/>
    <w:rsid w:val="00D047EE"/>
    <w:rsid w:val="00D12CFB"/>
    <w:rsid w:val="00D1326C"/>
    <w:rsid w:val="00D1431B"/>
    <w:rsid w:val="00D14690"/>
    <w:rsid w:val="00D15BBA"/>
    <w:rsid w:val="00D16F48"/>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FBD"/>
    <w:rsid w:val="00DE4677"/>
    <w:rsid w:val="00DE64ED"/>
    <w:rsid w:val="00DF064D"/>
    <w:rsid w:val="00DF0CBF"/>
    <w:rsid w:val="00E003D9"/>
    <w:rsid w:val="00E028F6"/>
    <w:rsid w:val="00E02E84"/>
    <w:rsid w:val="00E0753F"/>
    <w:rsid w:val="00E10BF1"/>
    <w:rsid w:val="00E10DED"/>
    <w:rsid w:val="00E11B5C"/>
    <w:rsid w:val="00E13E2B"/>
    <w:rsid w:val="00E22DB7"/>
    <w:rsid w:val="00E23C1B"/>
    <w:rsid w:val="00E24D2B"/>
    <w:rsid w:val="00E25DDC"/>
    <w:rsid w:val="00E32599"/>
    <w:rsid w:val="00E345BF"/>
    <w:rsid w:val="00E34D59"/>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36AE"/>
    <w:rsid w:val="00E74106"/>
    <w:rsid w:val="00E74864"/>
    <w:rsid w:val="00E754E8"/>
    <w:rsid w:val="00E75EF4"/>
    <w:rsid w:val="00E82FD8"/>
    <w:rsid w:val="00E834E7"/>
    <w:rsid w:val="00E83ABA"/>
    <w:rsid w:val="00E83E70"/>
    <w:rsid w:val="00E86286"/>
    <w:rsid w:val="00E91E16"/>
    <w:rsid w:val="00E952EF"/>
    <w:rsid w:val="00E96437"/>
    <w:rsid w:val="00E968A0"/>
    <w:rsid w:val="00E97145"/>
    <w:rsid w:val="00EA4196"/>
    <w:rsid w:val="00EB0BAE"/>
    <w:rsid w:val="00EB0F20"/>
    <w:rsid w:val="00EB1632"/>
    <w:rsid w:val="00EB4EB6"/>
    <w:rsid w:val="00EB535D"/>
    <w:rsid w:val="00EC34E0"/>
    <w:rsid w:val="00EC5385"/>
    <w:rsid w:val="00EC5430"/>
    <w:rsid w:val="00EC60B6"/>
    <w:rsid w:val="00EC6373"/>
    <w:rsid w:val="00EC7853"/>
    <w:rsid w:val="00ED047D"/>
    <w:rsid w:val="00ED0A59"/>
    <w:rsid w:val="00ED297E"/>
    <w:rsid w:val="00ED4626"/>
    <w:rsid w:val="00ED732D"/>
    <w:rsid w:val="00ED7BC4"/>
    <w:rsid w:val="00EE104D"/>
    <w:rsid w:val="00EE5F6D"/>
    <w:rsid w:val="00EF0701"/>
    <w:rsid w:val="00EF11F2"/>
    <w:rsid w:val="00EF236F"/>
    <w:rsid w:val="00EF3067"/>
    <w:rsid w:val="00F03AFB"/>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DA"/>
    <w:rsid w:val="00FC5C65"/>
    <w:rsid w:val="00FC75B8"/>
    <w:rsid w:val="00FC75D3"/>
    <w:rsid w:val="00FD318F"/>
    <w:rsid w:val="00FD54BE"/>
    <w:rsid w:val="00FD7CD4"/>
    <w:rsid w:val="00FE2498"/>
    <w:rsid w:val="00FE3548"/>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451A6E"/>
    <w:rPr>
      <w:sz w:val="16"/>
      <w:szCs w:val="16"/>
    </w:rPr>
  </w:style>
  <w:style w:type="paragraph" w:styleId="CommentText">
    <w:name w:val="annotation text"/>
    <w:basedOn w:val="Normal"/>
    <w:link w:val="CommentTextChar"/>
    <w:uiPriority w:val="99"/>
    <w:semiHidden/>
    <w:unhideWhenUsed/>
    <w:rsid w:val="00451A6E"/>
    <w:pPr>
      <w:spacing w:line="240" w:lineRule="auto"/>
    </w:pPr>
    <w:rPr>
      <w:szCs w:val="20"/>
    </w:rPr>
  </w:style>
  <w:style w:type="character" w:customStyle="1" w:styleId="CommentTextChar">
    <w:name w:val="Comment Text Char"/>
    <w:basedOn w:val="DefaultParagraphFont"/>
    <w:link w:val="CommentText"/>
    <w:uiPriority w:val="99"/>
    <w:semiHidden/>
    <w:rsid w:val="00451A6E"/>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451A6E"/>
    <w:rPr>
      <w:b/>
      <w:bCs/>
    </w:rPr>
  </w:style>
  <w:style w:type="character" w:customStyle="1" w:styleId="CommentSubjectChar">
    <w:name w:val="Comment Subject Char"/>
    <w:basedOn w:val="CommentTextChar"/>
    <w:link w:val="CommentSubject"/>
    <w:uiPriority w:val="99"/>
    <w:semiHidden/>
    <w:rsid w:val="00451A6E"/>
    <w:rPr>
      <w:rFonts w:ascii="Times New Roman" w:hAnsi="Times New Roman"/>
      <w:b/>
      <w:bCs/>
      <w:spacing w:val="4"/>
      <w:w w:val="103"/>
      <w:kern w:val="14"/>
    </w:rPr>
  </w:style>
  <w:style w:type="character" w:styleId="Hyperlink">
    <w:name w:val="Hyperlink"/>
    <w:basedOn w:val="DefaultParagraphFont"/>
    <w:uiPriority w:val="99"/>
    <w:unhideWhenUsed/>
    <w:rsid w:val="00903B08"/>
    <w:rPr>
      <w:color w:val="0000FF" w:themeColor="hyperlink"/>
      <w:u w:val="single"/>
    </w:rPr>
  </w:style>
  <w:style w:type="character" w:styleId="FollowedHyperlink">
    <w:name w:val="FollowedHyperlink"/>
    <w:basedOn w:val="DefaultParagraphFont"/>
    <w:uiPriority w:val="99"/>
    <w:semiHidden/>
    <w:unhideWhenUsed/>
    <w:rsid w:val="00903B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56142"/>
    <w:pPr>
      <w:spacing w:line="240" w:lineRule="exact"/>
    </w:pPr>
    <w:rPr>
      <w:rFonts w:ascii="Times New Roman" w:hAnsi="Times New Roman"/>
      <w:spacing w:val="4"/>
      <w:w w:val="103"/>
      <w:kern w:val="14"/>
      <w:szCs w:val="22"/>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unhideWhenUsed/>
    <w:rsid w:val="00C56142"/>
    <w:rPr>
      <w:color w:val="943634"/>
      <w:vertAlign w:val="superscript"/>
    </w:rPr>
  </w:style>
  <w:style w:type="paragraph" w:customStyle="1" w:styleId="Bullet1">
    <w:name w:val="Bullet 1"/>
    <w:basedOn w:val="Normal"/>
    <w:qFormat/>
    <w:rsid w:val="00E733FF"/>
    <w:pPr>
      <w:numPr>
        <w:numId w:val="3"/>
      </w:numPr>
      <w:tabs>
        <w:tab w:val="left" w:pos="2217"/>
      </w:tabs>
      <w:spacing w:after="120"/>
      <w:ind w:left="1746" w:right="1264" w:hanging="130"/>
      <w:jc w:val="both"/>
    </w:pPr>
  </w:style>
  <w:style w:type="paragraph" w:customStyle="1" w:styleId="Bullet2">
    <w:name w:val="Bullet 2"/>
    <w:basedOn w:val="Normal"/>
    <w:qFormat/>
    <w:rsid w:val="00E733FF"/>
    <w:pPr>
      <w:numPr>
        <w:numId w:val="4"/>
      </w:numPr>
      <w:tabs>
        <w:tab w:val="left" w:pos="2217"/>
      </w:tabs>
      <w:spacing w:after="120"/>
      <w:ind w:left="2217" w:right="1264" w:hanging="130"/>
      <w:jc w:val="both"/>
    </w:pPr>
  </w:style>
  <w:style w:type="character" w:styleId="CommentReference">
    <w:name w:val="annotation reference"/>
    <w:basedOn w:val="DefaultParagraphFont"/>
    <w:uiPriority w:val="99"/>
    <w:semiHidden/>
    <w:unhideWhenUsed/>
    <w:rsid w:val="00451A6E"/>
    <w:rPr>
      <w:sz w:val="16"/>
      <w:szCs w:val="16"/>
    </w:rPr>
  </w:style>
  <w:style w:type="paragraph" w:styleId="CommentText">
    <w:name w:val="annotation text"/>
    <w:basedOn w:val="Normal"/>
    <w:link w:val="CommentTextChar"/>
    <w:uiPriority w:val="99"/>
    <w:semiHidden/>
    <w:unhideWhenUsed/>
    <w:rsid w:val="00451A6E"/>
    <w:pPr>
      <w:spacing w:line="240" w:lineRule="auto"/>
    </w:pPr>
    <w:rPr>
      <w:szCs w:val="20"/>
    </w:rPr>
  </w:style>
  <w:style w:type="character" w:customStyle="1" w:styleId="CommentTextChar">
    <w:name w:val="Comment Text Char"/>
    <w:basedOn w:val="DefaultParagraphFont"/>
    <w:link w:val="CommentText"/>
    <w:uiPriority w:val="99"/>
    <w:semiHidden/>
    <w:rsid w:val="00451A6E"/>
    <w:rPr>
      <w:rFonts w:ascii="Times New Roman" w:hAnsi="Times New Roman"/>
      <w:spacing w:val="4"/>
      <w:w w:val="103"/>
      <w:kern w:val="14"/>
    </w:rPr>
  </w:style>
  <w:style w:type="paragraph" w:styleId="CommentSubject">
    <w:name w:val="annotation subject"/>
    <w:basedOn w:val="CommentText"/>
    <w:next w:val="CommentText"/>
    <w:link w:val="CommentSubjectChar"/>
    <w:uiPriority w:val="99"/>
    <w:semiHidden/>
    <w:unhideWhenUsed/>
    <w:rsid w:val="00451A6E"/>
    <w:rPr>
      <w:b/>
      <w:bCs/>
    </w:rPr>
  </w:style>
  <w:style w:type="character" w:customStyle="1" w:styleId="CommentSubjectChar">
    <w:name w:val="Comment Subject Char"/>
    <w:basedOn w:val="CommentTextChar"/>
    <w:link w:val="CommentSubject"/>
    <w:uiPriority w:val="99"/>
    <w:semiHidden/>
    <w:rsid w:val="00451A6E"/>
    <w:rPr>
      <w:rFonts w:ascii="Times New Roman" w:hAnsi="Times New Roman"/>
      <w:b/>
      <w:bCs/>
      <w:spacing w:val="4"/>
      <w:w w:val="103"/>
      <w:kern w:val="14"/>
    </w:rPr>
  </w:style>
  <w:style w:type="character" w:styleId="Hyperlink">
    <w:name w:val="Hyperlink"/>
    <w:basedOn w:val="DefaultParagraphFont"/>
    <w:uiPriority w:val="99"/>
    <w:unhideWhenUsed/>
    <w:rsid w:val="00903B08"/>
    <w:rPr>
      <w:color w:val="0000FF" w:themeColor="hyperlink"/>
      <w:u w:val="single"/>
    </w:rPr>
  </w:style>
  <w:style w:type="character" w:styleId="FollowedHyperlink">
    <w:name w:val="FollowedHyperlink"/>
    <w:basedOn w:val="DefaultParagraphFont"/>
    <w:uiPriority w:val="99"/>
    <w:semiHidden/>
    <w:unhideWhenUsed/>
    <w:rsid w:val="00903B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A445-4FDF-42D0-BB60-5E1307AE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Christopher Smith</cp:lastModifiedBy>
  <cp:revision>3</cp:revision>
  <cp:lastPrinted>2015-07-07T15:03:00Z</cp:lastPrinted>
  <dcterms:created xsi:type="dcterms:W3CDTF">2015-07-07T14:59:00Z</dcterms:created>
  <dcterms:modified xsi:type="dcterms:W3CDTF">2015-07-07T15:03:00Z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1508722F</vt:lpwstr>
  </property>
  <property fmtid="{D5CDD505-2E9C-101B-9397-08002B2CF9AE}" pid="3" name="ODSRefJobNo">
    <vt:lpwstr>1511077F</vt:lpwstr>
  </property>
  <property fmtid="{D5CDD505-2E9C-101B-9397-08002B2CF9AE}" pid="4" name="Symbol1">
    <vt:lpwstr>ECE/TRANS/WP.15/AC.2/2015/30</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 juin 2015</vt:lpwstr>
  </property>
  <property fmtid="{D5CDD505-2E9C-101B-9397-08002B2CF9AE}" pid="12" name="Original">
    <vt:lpwstr>anglais</vt:lpwstr>
  </property>
  <property fmtid="{D5CDD505-2E9C-101B-9397-08002B2CF9AE}" pid="13" name="Release Date">
    <vt:lpwstr>010715</vt:lpwstr>
  </property>
</Properties>
</file>