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EED" w:rsidRPr="003F363D" w:rsidRDefault="00496EED" w:rsidP="00496EED">
      <w:pPr>
        <w:spacing w:line="240" w:lineRule="auto"/>
        <w:rPr>
          <w:sz w:val="2"/>
          <w:lang w:val="fr-FR"/>
        </w:rPr>
        <w:sectPr w:rsidR="00496EED" w:rsidRPr="003F363D" w:rsidSect="00496EED">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496EED" w:rsidRPr="003F363D" w:rsidRDefault="00496EED" w:rsidP="00496EED">
      <w:pPr>
        <w:pStyle w:val="H1"/>
        <w:spacing w:after="120"/>
        <w:rPr>
          <w:sz w:val="28"/>
          <w:lang w:val="fr-FR"/>
        </w:rPr>
      </w:pPr>
      <w:r w:rsidRPr="003F363D">
        <w:rPr>
          <w:sz w:val="28"/>
          <w:lang w:val="fr-FR"/>
        </w:rPr>
        <w:lastRenderedPageBreak/>
        <w:t>Commission économique pour l’Europe</w:t>
      </w:r>
    </w:p>
    <w:p w:rsidR="00496EED" w:rsidRPr="003F363D" w:rsidRDefault="00496EED" w:rsidP="00496EED">
      <w:pPr>
        <w:pStyle w:val="H1"/>
        <w:spacing w:after="120" w:line="300" w:lineRule="exact"/>
        <w:rPr>
          <w:b w:val="0"/>
          <w:sz w:val="28"/>
          <w:lang w:val="fr-FR"/>
        </w:rPr>
      </w:pPr>
      <w:r w:rsidRPr="003F363D">
        <w:rPr>
          <w:b w:val="0"/>
          <w:sz w:val="28"/>
          <w:lang w:val="fr-FR"/>
        </w:rPr>
        <w:t>Comité des transports intérieurs</w:t>
      </w:r>
    </w:p>
    <w:p w:rsidR="00E643EE" w:rsidRPr="003F363D" w:rsidRDefault="00E643EE" w:rsidP="003F363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rPr>
          <w:lang w:val="fr-FR"/>
        </w:rPr>
      </w:pPr>
      <w:r w:rsidRPr="003F363D">
        <w:rPr>
          <w:lang w:val="fr-FR"/>
        </w:rPr>
        <w:t>Groupe de travail des transports</w:t>
      </w:r>
      <w:r w:rsidR="003F363D">
        <w:rPr>
          <w:lang w:val="fr-FR"/>
        </w:rPr>
        <w:t xml:space="preserve"> </w:t>
      </w:r>
      <w:r w:rsidR="001D22B6">
        <w:rPr>
          <w:lang w:val="fr-FR"/>
        </w:rPr>
        <w:br/>
      </w:r>
      <w:r w:rsidRPr="003F363D">
        <w:rPr>
          <w:lang w:val="fr-FR"/>
        </w:rPr>
        <w:t>de marchandises dangereuses</w:t>
      </w:r>
    </w:p>
    <w:p w:rsidR="00E643EE" w:rsidRPr="003F363D" w:rsidRDefault="00E643EE" w:rsidP="003A3AA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rPr>
          <w:lang w:val="fr-FR"/>
        </w:rPr>
      </w:pPr>
      <w:r w:rsidRPr="003F363D">
        <w:rPr>
          <w:lang w:val="fr-FR"/>
        </w:rPr>
        <w:t>Réunion commune d’experts sur le Règlement annexé</w:t>
      </w:r>
      <w:r w:rsidR="003F363D">
        <w:rPr>
          <w:lang w:val="fr-FR"/>
        </w:rPr>
        <w:t xml:space="preserve"> </w:t>
      </w:r>
      <w:r w:rsidRPr="003F363D">
        <w:rPr>
          <w:lang w:val="fr-FR"/>
        </w:rPr>
        <w:t xml:space="preserve">à l’Accord </w:t>
      </w:r>
      <w:r w:rsidR="003F363D">
        <w:rPr>
          <w:lang w:val="fr-FR"/>
        </w:rPr>
        <w:br/>
      </w:r>
      <w:r w:rsidRPr="003F363D">
        <w:rPr>
          <w:lang w:val="fr-FR"/>
        </w:rPr>
        <w:t>européen relatif au transport international</w:t>
      </w:r>
      <w:r w:rsidR="003F363D">
        <w:rPr>
          <w:lang w:val="fr-FR"/>
        </w:rPr>
        <w:t xml:space="preserve"> </w:t>
      </w:r>
      <w:r w:rsidRPr="003F363D">
        <w:rPr>
          <w:lang w:val="fr-FR"/>
        </w:rPr>
        <w:t xml:space="preserve">des marchandises </w:t>
      </w:r>
      <w:r w:rsidR="003F363D">
        <w:rPr>
          <w:lang w:val="fr-FR"/>
        </w:rPr>
        <w:br/>
      </w:r>
      <w:r w:rsidRPr="003F363D">
        <w:rPr>
          <w:bCs/>
          <w:iCs/>
          <w:lang w:val="fr-FR"/>
        </w:rPr>
        <w:t>dangereuses par voies de navigation</w:t>
      </w:r>
      <w:r w:rsidR="003F363D">
        <w:rPr>
          <w:bCs/>
          <w:iCs/>
          <w:lang w:val="fr-FR"/>
        </w:rPr>
        <w:t xml:space="preserve"> </w:t>
      </w:r>
      <w:r w:rsidRPr="003F363D">
        <w:rPr>
          <w:bCs/>
          <w:iCs/>
          <w:lang w:val="fr-FR"/>
        </w:rPr>
        <w:t xml:space="preserve">intérieures (ADN) </w:t>
      </w:r>
      <w:r w:rsidR="003F363D">
        <w:rPr>
          <w:bCs/>
          <w:iCs/>
          <w:lang w:val="fr-FR"/>
        </w:rPr>
        <w:br/>
      </w:r>
      <w:r w:rsidRPr="003F363D">
        <w:rPr>
          <w:bCs/>
          <w:lang w:val="fr-FR"/>
        </w:rPr>
        <w:t>(Comité de sécurité de l’ADN)</w:t>
      </w:r>
    </w:p>
    <w:p w:rsidR="00E643EE" w:rsidRPr="003F363D" w:rsidRDefault="00E643EE" w:rsidP="003A3A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363D">
        <w:rPr>
          <w:lang w:val="fr-FR"/>
        </w:rPr>
        <w:t>Vingt-septième session</w:t>
      </w:r>
    </w:p>
    <w:p w:rsidR="00E643EE" w:rsidRPr="003F363D" w:rsidRDefault="00E643EE" w:rsidP="003A3AA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F363D">
        <w:rPr>
          <w:lang w:val="fr-FR"/>
        </w:rPr>
        <w:t>Genève, 24-28 août 2015</w:t>
      </w:r>
    </w:p>
    <w:p w:rsidR="00E643EE" w:rsidRPr="003F363D" w:rsidRDefault="00E643EE" w:rsidP="003A3AA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F363D">
        <w:rPr>
          <w:lang w:val="fr-FR"/>
        </w:rPr>
        <w:t>Point 5 de l’ordre du jour provisoire</w:t>
      </w:r>
    </w:p>
    <w:p w:rsidR="00E643EE" w:rsidRDefault="00E643EE" w:rsidP="003A3A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363D">
        <w:rPr>
          <w:lang w:val="fr-FR"/>
        </w:rPr>
        <w:t>Rapports des groupes de travail informels</w:t>
      </w:r>
    </w:p>
    <w:p w:rsidR="003A3AA1" w:rsidRPr="003A3AA1" w:rsidRDefault="003A3AA1" w:rsidP="003A3AA1">
      <w:pPr>
        <w:pStyle w:val="SingleTxt"/>
        <w:spacing w:after="0" w:line="120" w:lineRule="exact"/>
        <w:rPr>
          <w:sz w:val="10"/>
          <w:lang w:val="fr-FR"/>
        </w:rPr>
      </w:pPr>
    </w:p>
    <w:p w:rsidR="003A3AA1" w:rsidRPr="003A3AA1" w:rsidRDefault="003A3AA1" w:rsidP="003A3AA1">
      <w:pPr>
        <w:pStyle w:val="SingleTxt"/>
        <w:spacing w:after="0" w:line="120" w:lineRule="exact"/>
        <w:rPr>
          <w:sz w:val="10"/>
          <w:lang w:val="fr-FR"/>
        </w:rPr>
      </w:pPr>
    </w:p>
    <w:p w:rsidR="003A3AA1" w:rsidRPr="003A3AA1" w:rsidRDefault="003A3AA1" w:rsidP="003A3AA1">
      <w:pPr>
        <w:pStyle w:val="SingleTxt"/>
        <w:spacing w:after="0" w:line="120" w:lineRule="exact"/>
        <w:rPr>
          <w:sz w:val="10"/>
          <w:lang w:val="fr-FR"/>
        </w:rPr>
      </w:pPr>
    </w:p>
    <w:p w:rsidR="00E643EE" w:rsidRDefault="00E643EE" w:rsidP="003A3AA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363D">
        <w:rPr>
          <w:lang w:val="fr-FR"/>
        </w:rPr>
        <w:tab/>
      </w:r>
      <w:r w:rsidRPr="003F363D">
        <w:rPr>
          <w:lang w:val="fr-FR"/>
        </w:rPr>
        <w:tab/>
        <w:t xml:space="preserve">Rapport de la troisième réunion du groupe de travail </w:t>
      </w:r>
      <w:r w:rsidR="0090458A">
        <w:rPr>
          <w:lang w:val="fr-FR"/>
        </w:rPr>
        <w:br/>
      </w:r>
      <w:r w:rsidRPr="003F363D">
        <w:rPr>
          <w:lang w:val="fr-FR"/>
        </w:rPr>
        <w:t xml:space="preserve">informel sur le dégazage des citernes </w:t>
      </w:r>
    </w:p>
    <w:p w:rsidR="003A3AA1" w:rsidRPr="003A3AA1" w:rsidRDefault="003A3AA1" w:rsidP="003A3AA1">
      <w:pPr>
        <w:pStyle w:val="SingleTxt"/>
        <w:spacing w:after="0" w:line="120" w:lineRule="exact"/>
        <w:rPr>
          <w:sz w:val="10"/>
          <w:lang w:val="fr-FR"/>
        </w:rPr>
      </w:pPr>
    </w:p>
    <w:p w:rsidR="003A3AA1" w:rsidRPr="003A3AA1" w:rsidRDefault="003A3AA1" w:rsidP="003A3AA1">
      <w:pPr>
        <w:pStyle w:val="SingleTxt"/>
        <w:spacing w:after="0" w:line="120" w:lineRule="exact"/>
        <w:rPr>
          <w:sz w:val="10"/>
          <w:lang w:val="fr-FR"/>
        </w:rPr>
      </w:pPr>
    </w:p>
    <w:p w:rsidR="00E643EE" w:rsidRDefault="00E643EE" w:rsidP="003A3A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363D">
        <w:rPr>
          <w:lang w:val="fr-FR"/>
        </w:rPr>
        <w:tab/>
      </w:r>
      <w:r w:rsidRPr="003F363D">
        <w:rPr>
          <w:lang w:val="fr-FR"/>
        </w:rPr>
        <w:tab/>
        <w:t>Communication du Gouvernement néerlandais</w:t>
      </w:r>
      <w:r w:rsidR="00D013C2" w:rsidRPr="00DC0E5A">
        <w:rPr>
          <w:rStyle w:val="FootnoteReference"/>
          <w:b w:val="0"/>
          <w:color w:val="auto"/>
          <w:sz w:val="20"/>
          <w:szCs w:val="20"/>
          <w:lang w:val="fr-FR"/>
        </w:rPr>
        <w:footnoteReference w:id="1"/>
      </w:r>
    </w:p>
    <w:p w:rsidR="003A3AA1" w:rsidRPr="003A3AA1" w:rsidRDefault="003A3AA1" w:rsidP="003A3AA1">
      <w:pPr>
        <w:pStyle w:val="SingleTxt"/>
        <w:spacing w:after="0" w:line="120" w:lineRule="exact"/>
        <w:rPr>
          <w:sz w:val="10"/>
          <w:lang w:val="fr-FR"/>
        </w:rPr>
      </w:pPr>
    </w:p>
    <w:p w:rsidR="003A3AA1" w:rsidRPr="003A3AA1" w:rsidRDefault="003A3AA1" w:rsidP="003A3AA1">
      <w:pPr>
        <w:pStyle w:val="SingleTxt"/>
        <w:spacing w:after="0" w:line="120" w:lineRule="exact"/>
        <w:rPr>
          <w:sz w:val="10"/>
          <w:lang w:val="fr-FR"/>
        </w:rPr>
      </w:pPr>
    </w:p>
    <w:p w:rsidR="00E643EE" w:rsidRDefault="00E643EE" w:rsidP="003A3AA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 w:name="OLE_LINK1"/>
      <w:r w:rsidRPr="003F363D">
        <w:rPr>
          <w:lang w:val="fr-FR"/>
        </w:rPr>
        <w:tab/>
        <w:t>I.</w:t>
      </w:r>
      <w:r w:rsidRPr="003F363D">
        <w:rPr>
          <w:lang w:val="fr-FR"/>
        </w:rPr>
        <w:tab/>
        <w:t>Introduction</w:t>
      </w:r>
    </w:p>
    <w:p w:rsidR="003A3AA1" w:rsidRPr="003A3AA1" w:rsidRDefault="003A3AA1" w:rsidP="003A3AA1">
      <w:pPr>
        <w:pStyle w:val="SingleTxt"/>
        <w:spacing w:after="0" w:line="120" w:lineRule="exact"/>
        <w:rPr>
          <w:sz w:val="10"/>
          <w:lang w:val="fr-FR"/>
        </w:rPr>
      </w:pPr>
    </w:p>
    <w:p w:rsidR="003A3AA1" w:rsidRPr="003A3AA1" w:rsidRDefault="003A3AA1" w:rsidP="003A3AA1">
      <w:pPr>
        <w:pStyle w:val="SingleTxt"/>
        <w:spacing w:after="0" w:line="120" w:lineRule="exact"/>
        <w:rPr>
          <w:sz w:val="10"/>
          <w:lang w:val="fr-FR"/>
        </w:rPr>
      </w:pPr>
    </w:p>
    <w:p w:rsidR="00E643EE" w:rsidRPr="003F363D" w:rsidRDefault="00E643EE" w:rsidP="00E643EE">
      <w:pPr>
        <w:pStyle w:val="SingleTxt"/>
        <w:rPr>
          <w:lang w:val="fr-FR"/>
        </w:rPr>
      </w:pPr>
      <w:r w:rsidRPr="003F363D">
        <w:rPr>
          <w:lang w:val="fr-FR"/>
        </w:rPr>
        <w:t>1.</w:t>
      </w:r>
      <w:r w:rsidRPr="003F363D">
        <w:rPr>
          <w:lang w:val="fr-FR"/>
        </w:rPr>
        <w:tab/>
      </w:r>
      <w:r w:rsidRPr="00A2272C">
        <w:rPr>
          <w:spacing w:val="3"/>
          <w:lang w:val="fr-FR"/>
        </w:rPr>
        <w:t xml:space="preserve">Les 22 et 23 avril 2015, le groupe de travail informel sur le dégazage des citernes a tenu sa troisième réunion à la </w:t>
      </w:r>
      <w:proofErr w:type="spellStart"/>
      <w:r w:rsidRPr="00A2272C">
        <w:rPr>
          <w:spacing w:val="3"/>
          <w:lang w:val="fr-FR"/>
        </w:rPr>
        <w:t>Bundesanstalt</w:t>
      </w:r>
      <w:proofErr w:type="spellEnd"/>
      <w:r w:rsidRPr="00A2272C">
        <w:rPr>
          <w:spacing w:val="3"/>
          <w:lang w:val="fr-FR"/>
        </w:rPr>
        <w:t xml:space="preserve"> </w:t>
      </w:r>
      <w:proofErr w:type="spellStart"/>
      <w:r w:rsidRPr="00A2272C">
        <w:rPr>
          <w:spacing w:val="3"/>
          <w:lang w:val="fr-FR"/>
        </w:rPr>
        <w:t>für</w:t>
      </w:r>
      <w:proofErr w:type="spellEnd"/>
      <w:r w:rsidRPr="00A2272C">
        <w:rPr>
          <w:spacing w:val="3"/>
          <w:lang w:val="fr-FR"/>
        </w:rPr>
        <w:t xml:space="preserve"> </w:t>
      </w:r>
      <w:proofErr w:type="spellStart"/>
      <w:r w:rsidRPr="00A2272C">
        <w:rPr>
          <w:spacing w:val="3"/>
          <w:lang w:val="fr-FR"/>
        </w:rPr>
        <w:t>Gewässerkunde</w:t>
      </w:r>
      <w:proofErr w:type="spellEnd"/>
      <w:r w:rsidRPr="00A2272C">
        <w:rPr>
          <w:spacing w:val="3"/>
          <w:lang w:val="fr-FR"/>
        </w:rPr>
        <w:t xml:space="preserve"> à Coblence (Allemagne). Ont assisté à la réunion des représentants de l’Allemagne, des Pays-Bas, de l’Union européenne de la navigation fluviale (UENF) et de l’Organisation européenne des bateliers (OEB), ainsi qu’un spécialiste indépendant du gaz exerçant en Allemagne.</w:t>
      </w:r>
    </w:p>
    <w:p w:rsidR="00E643EE" w:rsidRPr="003F363D" w:rsidRDefault="00E643EE" w:rsidP="00E643EE">
      <w:pPr>
        <w:pStyle w:val="SingleTxt"/>
        <w:rPr>
          <w:lang w:val="fr-FR"/>
        </w:rPr>
      </w:pPr>
      <w:r w:rsidRPr="003F363D">
        <w:rPr>
          <w:lang w:val="fr-FR"/>
        </w:rPr>
        <w:t>2.</w:t>
      </w:r>
      <w:r w:rsidRPr="003F363D">
        <w:rPr>
          <w:lang w:val="fr-FR"/>
        </w:rPr>
        <w:tab/>
      </w:r>
      <w:r w:rsidRPr="00D013C2">
        <w:rPr>
          <w:spacing w:val="2"/>
          <w:lang w:val="fr-FR"/>
        </w:rPr>
        <w:t>En se fondant sur les principes adoptés à ses deux précédentes réunions, le groupe de travail informel a examiné et adopté ou rejeté des propositions d’amendements à l’ADN en lien avec ses travaux (25</w:t>
      </w:r>
      <w:r w:rsidRPr="00D013C2">
        <w:rPr>
          <w:spacing w:val="2"/>
          <w:vertAlign w:val="superscript"/>
          <w:lang w:val="fr-FR"/>
        </w:rPr>
        <w:t>e</w:t>
      </w:r>
      <w:r w:rsidR="00D013C2" w:rsidRPr="00D013C2">
        <w:rPr>
          <w:spacing w:val="2"/>
          <w:lang w:val="fr-FR"/>
        </w:rPr>
        <w:t> </w:t>
      </w:r>
      <w:r w:rsidRPr="00D013C2">
        <w:rPr>
          <w:spacing w:val="2"/>
          <w:lang w:val="fr-FR"/>
        </w:rPr>
        <w:t>session/INF.18 et 26</w:t>
      </w:r>
      <w:r w:rsidRPr="00D013C2">
        <w:rPr>
          <w:spacing w:val="2"/>
          <w:vertAlign w:val="superscript"/>
          <w:lang w:val="fr-FR"/>
        </w:rPr>
        <w:t>e</w:t>
      </w:r>
      <w:r w:rsidR="00D013C2" w:rsidRPr="00D013C2">
        <w:rPr>
          <w:spacing w:val="2"/>
          <w:lang w:val="fr-FR"/>
        </w:rPr>
        <w:t> </w:t>
      </w:r>
      <w:r w:rsidRPr="00D013C2">
        <w:rPr>
          <w:spacing w:val="2"/>
          <w:lang w:val="fr-FR"/>
        </w:rPr>
        <w:t>session/INF.19). Les principes adoptés lors des deux précédentes réunions sont les suivants</w:t>
      </w:r>
      <w:r w:rsidR="00D013C2">
        <w:rPr>
          <w:lang w:val="fr-FR"/>
        </w:rPr>
        <w:t> </w:t>
      </w:r>
      <w:r w:rsidRPr="003F363D">
        <w:rPr>
          <w:lang w:val="fr-FR"/>
        </w:rPr>
        <w:t>:</w:t>
      </w:r>
    </w:p>
    <w:p w:rsidR="00E643EE" w:rsidRPr="003F363D" w:rsidRDefault="00514B78" w:rsidP="00514B78">
      <w:pPr>
        <w:pStyle w:val="SingleTxt"/>
        <w:rPr>
          <w:lang w:val="fr-FR"/>
        </w:rPr>
      </w:pPr>
      <w:r>
        <w:rPr>
          <w:lang w:val="fr-FR"/>
        </w:rPr>
        <w:tab/>
      </w:r>
      <w:r w:rsidR="00E643EE" w:rsidRPr="003F363D">
        <w:rPr>
          <w:lang w:val="fr-FR"/>
        </w:rPr>
        <w:t>a)</w:t>
      </w:r>
      <w:r w:rsidR="00E643EE" w:rsidRPr="003F363D">
        <w:rPr>
          <w:lang w:val="fr-FR"/>
        </w:rPr>
        <w:tab/>
        <w:t>L’expression «</w:t>
      </w:r>
      <w:r>
        <w:rPr>
          <w:lang w:val="fr-FR"/>
        </w:rPr>
        <w:t> </w:t>
      </w:r>
      <w:proofErr w:type="spellStart"/>
      <w:r w:rsidR="00E643EE" w:rsidRPr="003F363D">
        <w:rPr>
          <w:i/>
          <w:lang w:val="fr-FR"/>
        </w:rPr>
        <w:t>gas-freed</w:t>
      </w:r>
      <w:proofErr w:type="spellEnd"/>
      <w:r>
        <w:rPr>
          <w:i/>
          <w:lang w:val="fr-FR"/>
        </w:rPr>
        <w:t> </w:t>
      </w:r>
      <w:r w:rsidR="00E643EE" w:rsidRPr="003F363D">
        <w:rPr>
          <w:lang w:val="fr-FR"/>
        </w:rPr>
        <w:t>» dans le texte anglais peut être mal interprétée parce qu’elle peut laisser entendre qu’une citerne à cargaison doit être dégazée («</w:t>
      </w:r>
      <w:r>
        <w:rPr>
          <w:lang w:val="fr-FR"/>
        </w:rPr>
        <w:t> </w:t>
      </w:r>
      <w:proofErr w:type="spellStart"/>
      <w:r w:rsidR="00E643EE" w:rsidRPr="003F363D">
        <w:rPr>
          <w:i/>
          <w:lang w:val="fr-FR"/>
        </w:rPr>
        <w:t>degassed</w:t>
      </w:r>
      <w:proofErr w:type="spellEnd"/>
      <w:r>
        <w:rPr>
          <w:i/>
          <w:lang w:val="fr-FR"/>
        </w:rPr>
        <w:t> </w:t>
      </w:r>
      <w:r w:rsidR="00E643EE" w:rsidRPr="003F363D">
        <w:rPr>
          <w:lang w:val="fr-FR"/>
        </w:rPr>
        <w:t>») alors qu’elle est exempte de gaz («</w:t>
      </w:r>
      <w:r>
        <w:rPr>
          <w:lang w:val="fr-FR"/>
        </w:rPr>
        <w:t> </w:t>
      </w:r>
      <w:proofErr w:type="spellStart"/>
      <w:r w:rsidR="00E643EE" w:rsidRPr="003F363D">
        <w:rPr>
          <w:i/>
          <w:lang w:val="fr-FR"/>
        </w:rPr>
        <w:t>gas</w:t>
      </w:r>
      <w:proofErr w:type="spellEnd"/>
      <w:r w:rsidR="00E643EE" w:rsidRPr="003F363D">
        <w:rPr>
          <w:i/>
          <w:lang w:val="fr-FR"/>
        </w:rPr>
        <w:t xml:space="preserve"> free</w:t>
      </w:r>
      <w:r>
        <w:rPr>
          <w:i/>
          <w:lang w:val="fr-FR"/>
        </w:rPr>
        <w:t> </w:t>
      </w:r>
      <w:r w:rsidR="00E643EE" w:rsidRPr="003F363D">
        <w:rPr>
          <w:lang w:val="fr-FR"/>
        </w:rPr>
        <w:t>»). L’ADN définit l’état dégazé («</w:t>
      </w:r>
      <w:r>
        <w:rPr>
          <w:lang w:val="fr-FR"/>
        </w:rPr>
        <w:t> </w:t>
      </w:r>
      <w:proofErr w:type="spellStart"/>
      <w:r w:rsidR="00E643EE" w:rsidRPr="003F363D">
        <w:rPr>
          <w:i/>
          <w:lang w:val="fr-FR"/>
        </w:rPr>
        <w:t>gas</w:t>
      </w:r>
      <w:proofErr w:type="spellEnd"/>
      <w:r w:rsidR="00E643EE" w:rsidRPr="003F363D">
        <w:rPr>
          <w:i/>
          <w:lang w:val="fr-FR"/>
        </w:rPr>
        <w:t xml:space="preserve"> free</w:t>
      </w:r>
      <w:r>
        <w:rPr>
          <w:i/>
          <w:lang w:val="fr-FR"/>
        </w:rPr>
        <w:t> </w:t>
      </w:r>
      <w:r w:rsidR="00E643EE" w:rsidRPr="003F363D">
        <w:rPr>
          <w:lang w:val="fr-FR"/>
        </w:rPr>
        <w:t>») comme suit</w:t>
      </w:r>
      <w:r>
        <w:rPr>
          <w:lang w:val="fr-FR"/>
        </w:rPr>
        <w:t> </w:t>
      </w:r>
      <w:r w:rsidR="00E643EE" w:rsidRPr="003F363D">
        <w:rPr>
          <w:lang w:val="fr-FR"/>
        </w:rPr>
        <w:t>: est considérée comme dégazée une citerne à cargaison qui ne contient pas de concentra</w:t>
      </w:r>
      <w:r>
        <w:rPr>
          <w:lang w:val="fr-FR"/>
        </w:rPr>
        <w:t>tion mesurable de gaz dangereux</w:t>
      </w:r>
      <w:r w:rsidR="00B6104B">
        <w:rPr>
          <w:lang w:val="fr-FR"/>
        </w:rPr>
        <w:t>;</w:t>
      </w:r>
    </w:p>
    <w:p w:rsidR="00E643EE" w:rsidRPr="003F363D" w:rsidRDefault="00FC27DB" w:rsidP="00FC27DB">
      <w:pPr>
        <w:pStyle w:val="SingleTxt"/>
        <w:rPr>
          <w:lang w:val="fr-FR"/>
        </w:rPr>
      </w:pPr>
      <w:r>
        <w:rPr>
          <w:lang w:val="fr-FR"/>
        </w:rPr>
        <w:lastRenderedPageBreak/>
        <w:tab/>
      </w:r>
      <w:r w:rsidR="00E643EE" w:rsidRPr="003F363D">
        <w:rPr>
          <w:lang w:val="fr-FR"/>
        </w:rPr>
        <w:t>b)</w:t>
      </w:r>
      <w:r w:rsidR="00E643EE" w:rsidRPr="003F363D">
        <w:rPr>
          <w:lang w:val="fr-FR"/>
        </w:rPr>
        <w:tab/>
        <w:t>La version allemande utilise le mot «</w:t>
      </w:r>
      <w:r>
        <w:rPr>
          <w:lang w:val="fr-FR"/>
        </w:rPr>
        <w:t> </w:t>
      </w:r>
      <w:proofErr w:type="spellStart"/>
      <w:r w:rsidR="00E643EE" w:rsidRPr="003F363D">
        <w:rPr>
          <w:i/>
          <w:lang w:val="fr-FR"/>
        </w:rPr>
        <w:t>entgasen</w:t>
      </w:r>
      <w:proofErr w:type="spellEnd"/>
      <w:r>
        <w:rPr>
          <w:i/>
          <w:lang w:val="fr-FR"/>
        </w:rPr>
        <w:t> </w:t>
      </w:r>
      <w:r w:rsidR="00E643EE" w:rsidRPr="003F363D">
        <w:rPr>
          <w:lang w:val="fr-FR"/>
        </w:rPr>
        <w:t>» et la version française le mot «</w:t>
      </w:r>
      <w:r>
        <w:rPr>
          <w:lang w:val="fr-FR"/>
        </w:rPr>
        <w:t> </w:t>
      </w:r>
      <w:r w:rsidR="00E643EE" w:rsidRPr="003F363D">
        <w:rPr>
          <w:lang w:val="fr-FR"/>
        </w:rPr>
        <w:t>dégazage</w:t>
      </w:r>
      <w:r>
        <w:rPr>
          <w:lang w:val="fr-FR"/>
        </w:rPr>
        <w:t> </w:t>
      </w:r>
      <w:r w:rsidR="00E643EE" w:rsidRPr="003F363D">
        <w:rPr>
          <w:lang w:val="fr-FR"/>
        </w:rPr>
        <w:t>». Seule la version anglaise parle de «</w:t>
      </w:r>
      <w:r>
        <w:rPr>
          <w:lang w:val="fr-FR"/>
        </w:rPr>
        <w:t> </w:t>
      </w:r>
      <w:proofErr w:type="spellStart"/>
      <w:r w:rsidR="00E643EE" w:rsidRPr="003F363D">
        <w:rPr>
          <w:i/>
          <w:lang w:val="fr-FR"/>
        </w:rPr>
        <w:t>gas</w:t>
      </w:r>
      <w:proofErr w:type="spellEnd"/>
      <w:r w:rsidR="00E643EE" w:rsidRPr="003F363D">
        <w:rPr>
          <w:i/>
          <w:lang w:val="fr-FR"/>
        </w:rPr>
        <w:t xml:space="preserve"> </w:t>
      </w:r>
      <w:proofErr w:type="spellStart"/>
      <w:r w:rsidR="00E643EE" w:rsidRPr="003F363D">
        <w:rPr>
          <w:i/>
          <w:lang w:val="fr-FR"/>
        </w:rPr>
        <w:t>freeing</w:t>
      </w:r>
      <w:proofErr w:type="spellEnd"/>
      <w:r>
        <w:rPr>
          <w:i/>
          <w:lang w:val="fr-FR"/>
        </w:rPr>
        <w:t> </w:t>
      </w:r>
      <w:r w:rsidR="00E643EE" w:rsidRPr="003F363D">
        <w:rPr>
          <w:lang w:val="fr-FR"/>
        </w:rPr>
        <w:t>» plutôt que de «</w:t>
      </w:r>
      <w:r>
        <w:rPr>
          <w:lang w:val="fr-FR"/>
        </w:rPr>
        <w:t> </w:t>
      </w:r>
      <w:proofErr w:type="spellStart"/>
      <w:r w:rsidR="00E643EE" w:rsidRPr="003F363D">
        <w:rPr>
          <w:i/>
          <w:lang w:val="fr-FR"/>
        </w:rPr>
        <w:t>degassing</w:t>
      </w:r>
      <w:proofErr w:type="spellEnd"/>
      <w:r>
        <w:rPr>
          <w:i/>
          <w:lang w:val="fr-FR"/>
        </w:rPr>
        <w:t> </w:t>
      </w:r>
      <w:r>
        <w:rPr>
          <w:lang w:val="fr-FR"/>
        </w:rPr>
        <w:t>»</w:t>
      </w:r>
      <w:r w:rsidR="00B6104B">
        <w:rPr>
          <w:lang w:val="fr-FR"/>
        </w:rPr>
        <w:t>;</w:t>
      </w:r>
    </w:p>
    <w:p w:rsidR="00E643EE" w:rsidRPr="003F363D" w:rsidRDefault="00FC27DB" w:rsidP="00FC27DB">
      <w:pPr>
        <w:pStyle w:val="SingleTxt"/>
        <w:rPr>
          <w:lang w:val="fr-FR"/>
        </w:rPr>
      </w:pPr>
      <w:r>
        <w:rPr>
          <w:lang w:val="fr-FR"/>
        </w:rPr>
        <w:tab/>
      </w:r>
      <w:r w:rsidR="00E643EE" w:rsidRPr="003F363D">
        <w:rPr>
          <w:lang w:val="fr-FR"/>
        </w:rPr>
        <w:t>c)</w:t>
      </w:r>
      <w:r w:rsidR="00E643EE" w:rsidRPr="003F363D">
        <w:rPr>
          <w:lang w:val="fr-FR"/>
        </w:rPr>
        <w:tab/>
        <w:t>La plupart des membres du groupe de travail informel ont exprimé le souhait que l’opération de dégazage («</w:t>
      </w:r>
      <w:r>
        <w:rPr>
          <w:lang w:val="fr-FR"/>
        </w:rPr>
        <w:t> </w:t>
      </w:r>
      <w:proofErr w:type="spellStart"/>
      <w:r w:rsidR="00E643EE" w:rsidRPr="003F363D">
        <w:rPr>
          <w:i/>
          <w:lang w:val="fr-FR"/>
        </w:rPr>
        <w:t>degassing</w:t>
      </w:r>
      <w:proofErr w:type="spellEnd"/>
      <w:r>
        <w:rPr>
          <w:i/>
          <w:lang w:val="fr-FR"/>
        </w:rPr>
        <w:t> </w:t>
      </w:r>
      <w:r w:rsidR="00E643EE" w:rsidRPr="003F363D">
        <w:rPr>
          <w:lang w:val="fr-FR"/>
        </w:rPr>
        <w:t>») fasse l’objet d’une définition. Une définition sera élaborée à la prochaine réunion du gro</w:t>
      </w:r>
      <w:r>
        <w:rPr>
          <w:lang w:val="fr-FR"/>
        </w:rPr>
        <w:t>upe</w:t>
      </w:r>
      <w:r w:rsidR="00B6104B">
        <w:rPr>
          <w:lang w:val="fr-FR"/>
        </w:rPr>
        <w:t>;</w:t>
      </w:r>
    </w:p>
    <w:p w:rsidR="00E643EE" w:rsidRPr="003F363D" w:rsidRDefault="00FC27DB" w:rsidP="00FC27DB">
      <w:pPr>
        <w:pStyle w:val="SingleTxt"/>
        <w:rPr>
          <w:lang w:val="fr-FR"/>
        </w:rPr>
      </w:pPr>
      <w:r>
        <w:rPr>
          <w:lang w:val="fr-FR"/>
        </w:rPr>
        <w:tab/>
      </w:r>
      <w:r w:rsidR="00E643EE" w:rsidRPr="003F363D">
        <w:rPr>
          <w:lang w:val="fr-FR"/>
        </w:rPr>
        <w:t>d)</w:t>
      </w:r>
      <w:r w:rsidR="00E643EE" w:rsidRPr="003F363D">
        <w:rPr>
          <w:lang w:val="fr-FR"/>
        </w:rPr>
        <w:tab/>
        <w:t>Le groupe de travail informel a conclu que dans les dispositions où apparaissent les expressions «</w:t>
      </w:r>
      <w:r>
        <w:rPr>
          <w:lang w:val="fr-FR"/>
        </w:rPr>
        <w:t> </w:t>
      </w:r>
      <w:r w:rsidR="00E643EE" w:rsidRPr="003F363D">
        <w:rPr>
          <w:lang w:val="fr-FR"/>
        </w:rPr>
        <w:t>gaz dangereux</w:t>
      </w:r>
      <w:r>
        <w:rPr>
          <w:lang w:val="fr-FR"/>
        </w:rPr>
        <w:t> </w:t>
      </w:r>
      <w:r w:rsidR="00E643EE" w:rsidRPr="003F363D">
        <w:rPr>
          <w:lang w:val="fr-FR"/>
        </w:rPr>
        <w:t>» ou «</w:t>
      </w:r>
      <w:r>
        <w:rPr>
          <w:lang w:val="fr-FR"/>
        </w:rPr>
        <w:t> </w:t>
      </w:r>
      <w:r w:rsidR="00E643EE" w:rsidRPr="003F363D">
        <w:rPr>
          <w:lang w:val="fr-FR"/>
        </w:rPr>
        <w:t>matières dangereuses</w:t>
      </w:r>
      <w:r>
        <w:rPr>
          <w:lang w:val="fr-FR"/>
        </w:rPr>
        <w:t> </w:t>
      </w:r>
      <w:r w:rsidR="00E643EE" w:rsidRPr="003F363D">
        <w:rPr>
          <w:lang w:val="fr-FR"/>
        </w:rPr>
        <w:t>» (7.1.3.1.5, 7.1.3.1.6 et 7.1.3.1.7), il conviendrait de préciser qu’il s’agit de «</w:t>
      </w:r>
      <w:r>
        <w:rPr>
          <w:lang w:val="fr-FR"/>
        </w:rPr>
        <w:t> </w:t>
      </w:r>
      <w:r w:rsidR="00E643EE" w:rsidRPr="003F363D">
        <w:rPr>
          <w:lang w:val="fr-FR"/>
        </w:rPr>
        <w:t>gaz inflammables ou toxiques</w:t>
      </w:r>
      <w:r>
        <w:rPr>
          <w:lang w:val="fr-FR"/>
        </w:rPr>
        <w:t> »</w:t>
      </w:r>
      <w:r w:rsidR="00B6104B">
        <w:rPr>
          <w:lang w:val="fr-FR"/>
        </w:rPr>
        <w:t>;</w:t>
      </w:r>
    </w:p>
    <w:p w:rsidR="00E643EE" w:rsidRPr="003F363D" w:rsidRDefault="00573391" w:rsidP="00FC27DB">
      <w:pPr>
        <w:pStyle w:val="SingleTxt"/>
        <w:rPr>
          <w:lang w:val="fr-FR"/>
        </w:rPr>
      </w:pPr>
      <w:r>
        <w:rPr>
          <w:lang w:val="fr-FR"/>
        </w:rPr>
        <w:tab/>
      </w:r>
      <w:r w:rsidR="00E643EE" w:rsidRPr="003F363D">
        <w:rPr>
          <w:lang w:val="fr-FR"/>
        </w:rPr>
        <w:t>e)</w:t>
      </w:r>
      <w:r w:rsidR="00E643EE" w:rsidRPr="003F363D">
        <w:rPr>
          <w:lang w:val="fr-FR"/>
        </w:rPr>
        <w:tab/>
        <w:t>Les membres du groupe ont également adopté comme principe de base que lorsqu’on pénètre dans une cale (ou dans un autre espace où des gaz inflammables ou toxiques pourraient être présents) sans appareil respiratoire autonome, il convient d’effectuer des mesures afin non seulement de détecter d’éventuels gaz inflammables ou toxiques, comme requis dans la version actuelle de l’ADN, mais de mesurer la teneur en oxygène. Cette disposition devrait être ajout</w:t>
      </w:r>
      <w:r>
        <w:rPr>
          <w:lang w:val="fr-FR"/>
        </w:rPr>
        <w:t>ée au 7.1.3.1.5 et au 7.1.3.1.7</w:t>
      </w:r>
      <w:r w:rsidR="00E53956">
        <w:rPr>
          <w:lang w:val="fr-FR"/>
        </w:rPr>
        <w:t>;</w:t>
      </w:r>
    </w:p>
    <w:p w:rsidR="00E643EE" w:rsidRPr="003F363D" w:rsidRDefault="00573391" w:rsidP="00FC27DB">
      <w:pPr>
        <w:pStyle w:val="SingleTxt"/>
        <w:rPr>
          <w:lang w:val="fr-FR"/>
        </w:rPr>
      </w:pPr>
      <w:r>
        <w:rPr>
          <w:lang w:val="fr-FR"/>
        </w:rPr>
        <w:tab/>
      </w:r>
      <w:r w:rsidR="00E643EE" w:rsidRPr="003F363D">
        <w:rPr>
          <w:lang w:val="fr-FR"/>
        </w:rPr>
        <w:t>f)</w:t>
      </w:r>
      <w:r w:rsidR="00E643EE" w:rsidRPr="003F363D">
        <w:rPr>
          <w:lang w:val="fr-FR"/>
        </w:rPr>
        <w:tab/>
        <w:t>Les dispositions actuelles du 7.1.3 relatives à l’accès aux cales ne figurent pas toujours dans un ordre logique. Le groupe de travail informel est convenu de réorganiser les dispositions afin d’en faciliter la compréhension. Une proposition à cet effet (y compris la fusion des actuels 7.1.3.1.6 et 7.1.3.1.7) sera examinée à la prochaine réunion du groupe. Le groupe est parvenu aux mêmes conclusions pour les dispositions relatives à l’accès a</w:t>
      </w:r>
      <w:r w:rsidR="005E0D9D">
        <w:rPr>
          <w:lang w:val="fr-FR"/>
        </w:rPr>
        <w:t>ux citernes à cargaison (7.2.3)</w:t>
      </w:r>
      <w:r w:rsidR="00E53956">
        <w:rPr>
          <w:lang w:val="fr-FR"/>
        </w:rPr>
        <w:t>;</w:t>
      </w:r>
    </w:p>
    <w:p w:rsidR="00E643EE" w:rsidRPr="003F363D" w:rsidRDefault="005E0D9D" w:rsidP="005E0D9D">
      <w:pPr>
        <w:pStyle w:val="SingleTxt"/>
        <w:rPr>
          <w:lang w:val="fr-FR"/>
        </w:rPr>
      </w:pPr>
      <w:r>
        <w:rPr>
          <w:lang w:val="fr-FR"/>
        </w:rPr>
        <w:tab/>
      </w:r>
      <w:r w:rsidR="00E643EE" w:rsidRPr="003F363D">
        <w:rPr>
          <w:lang w:val="fr-FR"/>
        </w:rPr>
        <w:t>Le groupe de travail informel a conclu, en se fondant sur le 7.2.4.22.2, qu’aux fins de l’ouverture des couvercles des citernes à cargaison ou des carters des coupe-flammes, une citerne à cargaison devrait être considérée comme «</w:t>
      </w:r>
      <w:r>
        <w:rPr>
          <w:lang w:val="fr-FR"/>
        </w:rPr>
        <w:t> </w:t>
      </w:r>
      <w:r w:rsidR="00E643EE" w:rsidRPr="003F363D">
        <w:rPr>
          <w:lang w:val="fr-FR"/>
        </w:rPr>
        <w:t>dégazée</w:t>
      </w:r>
      <w:r>
        <w:rPr>
          <w:lang w:val="fr-FR"/>
        </w:rPr>
        <w:t> </w:t>
      </w:r>
      <w:r w:rsidR="00E643EE" w:rsidRPr="003F363D">
        <w:rPr>
          <w:lang w:val="fr-FR"/>
        </w:rPr>
        <w:t>» (exempte de gaz inflammables) si la concentration en gaz est inférieure à 10</w:t>
      </w:r>
      <w:r>
        <w:rPr>
          <w:lang w:val="fr-FR"/>
        </w:rPr>
        <w:t> </w:t>
      </w:r>
      <w:r w:rsidR="00E643EE" w:rsidRPr="003F363D">
        <w:rPr>
          <w:lang w:val="fr-FR"/>
        </w:rPr>
        <w:t>% de la limite inférieure d’explosivité (LIE). Le groupe de travail informel a décidé de ne pas proposer d’amendements aux dispositions relatives aux gaz toxiques, compte tenu de la législation nationa</w:t>
      </w:r>
      <w:r>
        <w:rPr>
          <w:lang w:val="fr-FR"/>
        </w:rPr>
        <w:t>le en vigueur dans chaque pays</w:t>
      </w:r>
      <w:r w:rsidR="001C1B1F">
        <w:rPr>
          <w:lang w:val="fr-FR"/>
        </w:rPr>
        <w:t>.</w:t>
      </w:r>
    </w:p>
    <w:p w:rsidR="00E643EE" w:rsidRPr="0074713F" w:rsidRDefault="005E0D9D" w:rsidP="005E0D9D">
      <w:pPr>
        <w:pStyle w:val="SingleTxt"/>
        <w:rPr>
          <w:lang w:val="en-GB"/>
        </w:rPr>
      </w:pPr>
      <w:r>
        <w:rPr>
          <w:lang w:val="fr-FR"/>
        </w:rPr>
        <w:tab/>
      </w:r>
      <w:r w:rsidR="00E643EE" w:rsidRPr="003F363D">
        <w:rPr>
          <w:lang w:val="fr-FR"/>
        </w:rPr>
        <w:t>g)</w:t>
      </w:r>
      <w:r w:rsidR="00E643EE" w:rsidRPr="003F363D">
        <w:rPr>
          <w:lang w:val="fr-FR"/>
        </w:rPr>
        <w:tab/>
        <w:t xml:space="preserve">Le groupe de travail informel propose de modifier le texte actuel de la deuxième phrase du 7.2.4.22.2 et du 7.3.7, dans la version anglaise uniquement. </w:t>
      </w:r>
      <w:r w:rsidR="00E643EE" w:rsidRPr="0074713F">
        <w:rPr>
          <w:lang w:val="en-GB"/>
        </w:rPr>
        <w:t xml:space="preserve">Le </w:t>
      </w:r>
      <w:proofErr w:type="spellStart"/>
      <w:r w:rsidR="00E643EE" w:rsidRPr="0074713F">
        <w:rPr>
          <w:lang w:val="en-GB"/>
        </w:rPr>
        <w:t>deuxième</w:t>
      </w:r>
      <w:proofErr w:type="spellEnd"/>
      <w:r w:rsidR="00E643EE" w:rsidRPr="0074713F">
        <w:rPr>
          <w:lang w:val="en-GB"/>
        </w:rPr>
        <w:t xml:space="preserve"> </w:t>
      </w:r>
      <w:proofErr w:type="spellStart"/>
      <w:r w:rsidR="00E643EE" w:rsidRPr="0074713F">
        <w:rPr>
          <w:lang w:val="en-GB"/>
        </w:rPr>
        <w:t>paragraphe</w:t>
      </w:r>
      <w:proofErr w:type="spellEnd"/>
      <w:r w:rsidR="00E643EE" w:rsidRPr="0074713F">
        <w:rPr>
          <w:lang w:val="en-GB"/>
        </w:rPr>
        <w:t xml:space="preserve"> du 7.2.4.22.2 se lit </w:t>
      </w:r>
      <w:proofErr w:type="spellStart"/>
      <w:r w:rsidR="00E643EE" w:rsidRPr="0074713F">
        <w:rPr>
          <w:lang w:val="en-GB"/>
        </w:rPr>
        <w:t>comme</w:t>
      </w:r>
      <w:proofErr w:type="spellEnd"/>
      <w:r w:rsidR="00E643EE" w:rsidRPr="0074713F">
        <w:rPr>
          <w:lang w:val="en-GB"/>
        </w:rPr>
        <w:t xml:space="preserve"> </w:t>
      </w:r>
      <w:proofErr w:type="gramStart"/>
      <w:r w:rsidR="00E643EE" w:rsidRPr="0074713F">
        <w:rPr>
          <w:lang w:val="en-GB"/>
        </w:rPr>
        <w:t>suit</w:t>
      </w:r>
      <w:r w:rsidRPr="0074713F">
        <w:rPr>
          <w:lang w:val="en-GB"/>
        </w:rPr>
        <w:t> </w:t>
      </w:r>
      <w:r w:rsidR="00E643EE" w:rsidRPr="0074713F">
        <w:rPr>
          <w:lang w:val="en-GB"/>
        </w:rPr>
        <w:t>:</w:t>
      </w:r>
      <w:proofErr w:type="gramEnd"/>
    </w:p>
    <w:p w:rsidR="00E643EE" w:rsidRPr="0074713F" w:rsidRDefault="005E0D9D" w:rsidP="005E0D9D">
      <w:pPr>
        <w:pStyle w:val="SingleTxt"/>
        <w:rPr>
          <w:lang w:val="en-GB"/>
        </w:rPr>
      </w:pPr>
      <w:r w:rsidRPr="0074713F">
        <w:rPr>
          <w:lang w:val="en-GB"/>
        </w:rPr>
        <w:tab/>
      </w:r>
      <w:r w:rsidR="00E643EE" w:rsidRPr="0074713F">
        <w:rPr>
          <w:lang w:val="en-GB"/>
        </w:rPr>
        <w:t>«</w:t>
      </w:r>
      <w:r w:rsidRPr="0074713F">
        <w:rPr>
          <w:lang w:val="en-GB"/>
        </w:rPr>
        <w:t> </w:t>
      </w:r>
      <w:r w:rsidR="00E643EE" w:rsidRPr="0074713F">
        <w:rPr>
          <w:lang w:val="en-GB"/>
        </w:rPr>
        <w:t>(…)</w:t>
      </w:r>
    </w:p>
    <w:p w:rsidR="00E643EE" w:rsidRPr="0074713F" w:rsidRDefault="005E0D9D" w:rsidP="005E0D9D">
      <w:pPr>
        <w:pStyle w:val="SingleTxt"/>
        <w:ind w:left="1742" w:hanging="475"/>
        <w:rPr>
          <w:i/>
          <w:lang w:val="en-GB"/>
        </w:rPr>
      </w:pPr>
      <w:r w:rsidRPr="0074713F">
        <w:rPr>
          <w:i/>
          <w:lang w:val="en-GB"/>
        </w:rPr>
        <w:tab/>
      </w:r>
      <w:r w:rsidR="00E643EE" w:rsidRPr="0074713F">
        <w:rPr>
          <w:i/>
          <w:lang w:val="en-GB"/>
        </w:rPr>
        <w:t>When in column (17) of Table C of Chapter 3.2 anti-explosion protection is required, the opening of cargo tank covers or of the housing of the flame arrester for the purpose of mounting or removing the flame arrester plate stack in unloaded cargo tanks shall be permitted only if the cargo tanks in question have been gas-freed and the concentration of flammable gases in the tanks is less than 10</w:t>
      </w:r>
      <w:r w:rsidRPr="0074713F">
        <w:rPr>
          <w:i/>
          <w:lang w:val="en-GB"/>
        </w:rPr>
        <w:t> </w:t>
      </w:r>
      <w:r w:rsidR="00E643EE" w:rsidRPr="0074713F">
        <w:rPr>
          <w:i/>
          <w:lang w:val="en-GB"/>
        </w:rPr>
        <w:t>% of the lower explosive limit.</w:t>
      </w:r>
      <w:r w:rsidRPr="0074713F">
        <w:rPr>
          <w:i/>
          <w:lang w:val="en-GB"/>
        </w:rPr>
        <w:t> </w:t>
      </w:r>
      <w:r w:rsidR="00E643EE" w:rsidRPr="0074713F">
        <w:rPr>
          <w:lang w:val="en-GB"/>
        </w:rPr>
        <w:t>».</w:t>
      </w:r>
    </w:p>
    <w:p w:rsidR="00E643EE" w:rsidRPr="003F363D" w:rsidRDefault="00EC6025" w:rsidP="005E0D9D">
      <w:pPr>
        <w:pStyle w:val="SingleTxt"/>
        <w:rPr>
          <w:lang w:val="fr-FR"/>
        </w:rPr>
      </w:pPr>
      <w:r w:rsidRPr="0074713F">
        <w:rPr>
          <w:lang w:val="en-GB"/>
        </w:rPr>
        <w:tab/>
      </w:r>
      <w:r w:rsidR="00E643EE" w:rsidRPr="003F363D">
        <w:rPr>
          <w:lang w:val="fr-FR"/>
        </w:rPr>
        <w:t>Il est proposé de le modifier comme suit</w:t>
      </w:r>
      <w:r>
        <w:rPr>
          <w:lang w:val="fr-FR"/>
        </w:rPr>
        <w:t> </w:t>
      </w:r>
      <w:r w:rsidR="00E643EE" w:rsidRPr="003F363D">
        <w:rPr>
          <w:lang w:val="fr-FR"/>
        </w:rPr>
        <w:t>:</w:t>
      </w:r>
    </w:p>
    <w:p w:rsidR="00E643EE" w:rsidRPr="0074713F" w:rsidRDefault="00EC6025" w:rsidP="005E0D9D">
      <w:pPr>
        <w:pStyle w:val="SingleTxt"/>
        <w:rPr>
          <w:lang w:val="en-GB"/>
        </w:rPr>
      </w:pPr>
      <w:r>
        <w:rPr>
          <w:lang w:val="fr-FR"/>
        </w:rPr>
        <w:tab/>
      </w:r>
      <w:r w:rsidR="00E643EE" w:rsidRPr="0074713F">
        <w:rPr>
          <w:lang w:val="en-GB"/>
        </w:rPr>
        <w:t>«</w:t>
      </w:r>
      <w:r w:rsidRPr="0074713F">
        <w:rPr>
          <w:lang w:val="en-GB"/>
        </w:rPr>
        <w:t> </w:t>
      </w:r>
      <w:r w:rsidR="00E643EE" w:rsidRPr="0074713F">
        <w:rPr>
          <w:lang w:val="en-GB"/>
        </w:rPr>
        <w:t>(…)</w:t>
      </w:r>
    </w:p>
    <w:p w:rsidR="00E643EE" w:rsidRPr="0074713F" w:rsidRDefault="00EC6025" w:rsidP="00EC6025">
      <w:pPr>
        <w:pStyle w:val="SingleTxt"/>
        <w:ind w:left="1742" w:hanging="475"/>
        <w:rPr>
          <w:i/>
          <w:lang w:val="en-GB"/>
        </w:rPr>
      </w:pPr>
      <w:r w:rsidRPr="0074713F">
        <w:rPr>
          <w:i/>
          <w:lang w:val="en-GB"/>
        </w:rPr>
        <w:tab/>
      </w:r>
      <w:r w:rsidR="00E643EE" w:rsidRPr="0074713F">
        <w:rPr>
          <w:i/>
          <w:lang w:val="en-GB"/>
        </w:rPr>
        <w:t xml:space="preserve">When in column (17) of Table C of Chapter 3.2 anti-explosion protection is required, the opening of cargo tank covers or of the housing of the flame arrester for the purpose of mounting or removing the flame arrester plate stack in unloaded cargo tanks shall be permitted only if the cargo tanks in question </w:t>
      </w:r>
      <w:r w:rsidR="00E643EE" w:rsidRPr="0074713F">
        <w:rPr>
          <w:i/>
          <w:strike/>
          <w:lang w:val="en-GB"/>
        </w:rPr>
        <w:t xml:space="preserve">have been gas freed </w:t>
      </w:r>
      <w:r w:rsidR="00E643EE" w:rsidRPr="0074713F">
        <w:rPr>
          <w:i/>
          <w:u w:val="single"/>
          <w:lang w:val="en-GB"/>
        </w:rPr>
        <w:t>are empty and the concentration of flammable gases in the tanks is less than 10</w:t>
      </w:r>
      <w:r w:rsidRPr="0074713F">
        <w:rPr>
          <w:i/>
          <w:u w:val="single"/>
          <w:lang w:val="en-GB"/>
        </w:rPr>
        <w:t> </w:t>
      </w:r>
      <w:r w:rsidR="00E643EE" w:rsidRPr="0074713F">
        <w:rPr>
          <w:i/>
          <w:u w:val="single"/>
          <w:lang w:val="en-GB"/>
        </w:rPr>
        <w:t>% of the lower explosive limit (LEL)</w:t>
      </w:r>
      <w:r w:rsidR="00E643EE" w:rsidRPr="0074713F">
        <w:rPr>
          <w:i/>
          <w:lang w:val="en-GB"/>
        </w:rPr>
        <w:t>.</w:t>
      </w:r>
      <w:r w:rsidR="00F11484" w:rsidRPr="0074713F">
        <w:rPr>
          <w:i/>
          <w:lang w:val="en-GB"/>
        </w:rPr>
        <w:t> </w:t>
      </w:r>
      <w:r w:rsidR="00E643EE" w:rsidRPr="0074713F">
        <w:rPr>
          <w:lang w:val="en-GB"/>
        </w:rPr>
        <w:t>».</w:t>
      </w:r>
    </w:p>
    <w:p w:rsidR="00E643EE" w:rsidRPr="003F363D" w:rsidRDefault="0000492F" w:rsidP="0000492F">
      <w:pPr>
        <w:pStyle w:val="SingleTxt"/>
        <w:rPr>
          <w:lang w:val="fr-FR"/>
        </w:rPr>
      </w:pPr>
      <w:r w:rsidRPr="0074713F">
        <w:rPr>
          <w:lang w:val="en-GB"/>
        </w:rPr>
        <w:lastRenderedPageBreak/>
        <w:tab/>
      </w:r>
      <w:r w:rsidR="00E643EE" w:rsidRPr="003F363D">
        <w:rPr>
          <w:lang w:val="fr-FR"/>
        </w:rPr>
        <w:t>h)</w:t>
      </w:r>
      <w:r w:rsidR="00E643EE" w:rsidRPr="003F363D">
        <w:rPr>
          <w:lang w:val="fr-FR"/>
        </w:rPr>
        <w:tab/>
        <w:t>Le groupe de travail informel propose également de modifier toutes les dispositions du 7.2.3.7, dans la version anglaise, en remplaçant à chaque fois «</w:t>
      </w:r>
      <w:r>
        <w:rPr>
          <w:lang w:val="fr-FR"/>
        </w:rPr>
        <w:t> </w:t>
      </w:r>
      <w:proofErr w:type="spellStart"/>
      <w:r w:rsidR="00E643EE" w:rsidRPr="003F363D">
        <w:rPr>
          <w:i/>
          <w:lang w:val="fr-FR"/>
        </w:rPr>
        <w:t>gas-freed</w:t>
      </w:r>
      <w:proofErr w:type="spellEnd"/>
      <w:r>
        <w:rPr>
          <w:i/>
          <w:lang w:val="fr-FR"/>
        </w:rPr>
        <w:t> </w:t>
      </w:r>
      <w:r w:rsidR="00E643EE" w:rsidRPr="003F363D">
        <w:rPr>
          <w:lang w:val="fr-FR"/>
        </w:rPr>
        <w:t>» par «</w:t>
      </w:r>
      <w:r>
        <w:rPr>
          <w:lang w:val="fr-FR"/>
        </w:rPr>
        <w:t> </w:t>
      </w:r>
      <w:proofErr w:type="spellStart"/>
      <w:r w:rsidR="00E643EE" w:rsidRPr="003F363D">
        <w:rPr>
          <w:i/>
          <w:lang w:val="fr-FR"/>
        </w:rPr>
        <w:t>degassed</w:t>
      </w:r>
      <w:proofErr w:type="spellEnd"/>
      <w:r>
        <w:rPr>
          <w:i/>
          <w:lang w:val="fr-FR"/>
        </w:rPr>
        <w:t> </w:t>
      </w:r>
      <w:r w:rsidR="00E643EE" w:rsidRPr="003F363D">
        <w:rPr>
          <w:lang w:val="fr-FR"/>
        </w:rPr>
        <w:t>» et «</w:t>
      </w:r>
      <w:r>
        <w:rPr>
          <w:lang w:val="fr-FR"/>
        </w:rPr>
        <w:t> </w:t>
      </w:r>
      <w:proofErr w:type="spellStart"/>
      <w:r w:rsidR="00E643EE" w:rsidRPr="003F363D">
        <w:rPr>
          <w:i/>
          <w:lang w:val="fr-FR"/>
        </w:rPr>
        <w:t>gas-freeing</w:t>
      </w:r>
      <w:proofErr w:type="spellEnd"/>
      <w:r>
        <w:rPr>
          <w:i/>
          <w:lang w:val="fr-FR"/>
        </w:rPr>
        <w:t> </w:t>
      </w:r>
      <w:r w:rsidR="00E643EE" w:rsidRPr="003F363D">
        <w:rPr>
          <w:lang w:val="fr-FR"/>
        </w:rPr>
        <w:t>» par «</w:t>
      </w:r>
      <w:r>
        <w:rPr>
          <w:lang w:val="fr-FR"/>
        </w:rPr>
        <w:t> </w:t>
      </w:r>
      <w:proofErr w:type="spellStart"/>
      <w:r w:rsidR="00E643EE" w:rsidRPr="003F363D">
        <w:rPr>
          <w:i/>
          <w:lang w:val="fr-FR"/>
        </w:rPr>
        <w:t>degassing</w:t>
      </w:r>
      <w:proofErr w:type="spellEnd"/>
      <w:r>
        <w:rPr>
          <w:i/>
          <w:lang w:val="fr-FR"/>
        </w:rPr>
        <w:t> </w:t>
      </w:r>
      <w:r>
        <w:rPr>
          <w:lang w:val="fr-FR"/>
        </w:rPr>
        <w:t>»;</w:t>
      </w:r>
    </w:p>
    <w:p w:rsidR="00E643EE" w:rsidRPr="003F363D" w:rsidRDefault="0000492F" w:rsidP="0000492F">
      <w:pPr>
        <w:pStyle w:val="SingleTxt"/>
        <w:rPr>
          <w:lang w:val="fr-FR"/>
        </w:rPr>
      </w:pPr>
      <w:r>
        <w:rPr>
          <w:lang w:val="fr-FR"/>
        </w:rPr>
        <w:tab/>
      </w:r>
      <w:r w:rsidR="00E643EE" w:rsidRPr="003F363D">
        <w:rPr>
          <w:lang w:val="fr-FR"/>
        </w:rPr>
        <w:t>i)</w:t>
      </w:r>
      <w:r w:rsidR="00E643EE" w:rsidRPr="003F363D">
        <w:rPr>
          <w:lang w:val="fr-FR"/>
        </w:rPr>
        <w:tab/>
        <w:t>La proposition française contenait deux options pour le deuxième paragraphe du 7.2.4.22.2. Dans les deux cas, l’exigence que les citernes aient été «dégazées» est supprimée. Seul un seuil précis de concentration de gaz dans les citernes à cargaison, inférieur à 10</w:t>
      </w:r>
      <w:r>
        <w:rPr>
          <w:lang w:val="fr-FR"/>
        </w:rPr>
        <w:t> </w:t>
      </w:r>
      <w:r w:rsidR="00E643EE" w:rsidRPr="003F363D">
        <w:rPr>
          <w:lang w:val="fr-FR"/>
        </w:rPr>
        <w:t>% de la LIE, a été conservé comme condition pour l’ouverture des couvercles des citernes. Cette proposition évite tout risque de malentendu concernant les prescriptions du 7.2.4.22.2 relatives à l’état «</w:t>
      </w:r>
      <w:r w:rsidR="00461031">
        <w:rPr>
          <w:lang w:val="fr-FR"/>
        </w:rPr>
        <w:t> </w:t>
      </w:r>
      <w:r w:rsidR="00E643EE" w:rsidRPr="003F363D">
        <w:rPr>
          <w:lang w:val="fr-FR"/>
        </w:rPr>
        <w:t>dégazé</w:t>
      </w:r>
      <w:r w:rsidR="00461031">
        <w:rPr>
          <w:lang w:val="fr-FR"/>
        </w:rPr>
        <w:t> </w:t>
      </w:r>
      <w:r w:rsidR="00E643EE" w:rsidRPr="003F363D">
        <w:rPr>
          <w:lang w:val="fr-FR"/>
        </w:rPr>
        <w:t>» («</w:t>
      </w:r>
      <w:r>
        <w:rPr>
          <w:lang w:val="fr-FR"/>
        </w:rPr>
        <w:t> </w:t>
      </w:r>
      <w:proofErr w:type="spellStart"/>
      <w:r w:rsidR="00E643EE" w:rsidRPr="003F363D">
        <w:rPr>
          <w:i/>
          <w:lang w:val="fr-FR"/>
        </w:rPr>
        <w:t>degassed</w:t>
      </w:r>
      <w:proofErr w:type="spellEnd"/>
      <w:r>
        <w:rPr>
          <w:i/>
          <w:lang w:val="fr-FR"/>
        </w:rPr>
        <w:t> </w:t>
      </w:r>
      <w:r w:rsidR="00E643EE" w:rsidRPr="003F363D">
        <w:rPr>
          <w:lang w:val="fr-FR"/>
        </w:rPr>
        <w:t>» en anglais et «</w:t>
      </w:r>
      <w:r>
        <w:rPr>
          <w:lang w:val="fr-FR"/>
        </w:rPr>
        <w:t> </w:t>
      </w:r>
      <w:proofErr w:type="spellStart"/>
      <w:r w:rsidR="00E643EE" w:rsidRPr="003F363D">
        <w:rPr>
          <w:i/>
          <w:lang w:val="fr-FR"/>
        </w:rPr>
        <w:t>entgast</w:t>
      </w:r>
      <w:proofErr w:type="spellEnd"/>
      <w:r>
        <w:rPr>
          <w:i/>
          <w:lang w:val="fr-FR"/>
        </w:rPr>
        <w:t> </w:t>
      </w:r>
      <w:r w:rsidR="00E643EE" w:rsidRPr="003F363D">
        <w:rPr>
          <w:lang w:val="fr-FR"/>
        </w:rPr>
        <w:t>» en allemand) des citernes à cargaison et au seuil de 10</w:t>
      </w:r>
      <w:r>
        <w:rPr>
          <w:lang w:val="fr-FR"/>
        </w:rPr>
        <w:t> % de la LIE;</w:t>
      </w:r>
    </w:p>
    <w:p w:rsidR="00E643EE" w:rsidRPr="003F363D" w:rsidRDefault="00E643EE" w:rsidP="0000492F">
      <w:pPr>
        <w:pStyle w:val="SingleTxt"/>
        <w:rPr>
          <w:lang w:val="fr-FR"/>
        </w:rPr>
      </w:pPr>
      <w:r w:rsidRPr="003F363D">
        <w:rPr>
          <w:lang w:val="fr-FR"/>
        </w:rPr>
        <w:tab/>
        <w:t>Le groupe de travail informel a accueilli favorablement la proposition française et a envisagé de l’intégrer dans ses propositions d’amendements à l’ADN pour la session d’août 2015 du Comité de sécurité de l’ADN.</w:t>
      </w:r>
    </w:p>
    <w:p w:rsidR="00E643EE" w:rsidRPr="003F363D" w:rsidRDefault="001C1B1F" w:rsidP="0000492F">
      <w:pPr>
        <w:pStyle w:val="SingleTxt"/>
        <w:rPr>
          <w:lang w:val="fr-FR"/>
        </w:rPr>
      </w:pPr>
      <w:r>
        <w:rPr>
          <w:lang w:val="fr-FR"/>
        </w:rPr>
        <w:tab/>
      </w:r>
      <w:r w:rsidR="00E643EE" w:rsidRPr="003F363D">
        <w:rPr>
          <w:lang w:val="fr-FR"/>
        </w:rPr>
        <w:t>j)</w:t>
      </w:r>
      <w:r w:rsidR="00E643EE" w:rsidRPr="003F363D">
        <w:rPr>
          <w:lang w:val="fr-FR"/>
        </w:rPr>
        <w:tab/>
        <w:t>À la suite de l’examen de la proposition française, la plupart des participants ont fait savoir leur préférence pour la suppression, en général, de l’expression «</w:t>
      </w:r>
      <w:r>
        <w:rPr>
          <w:lang w:val="fr-FR"/>
        </w:rPr>
        <w:t> </w:t>
      </w:r>
      <w:r w:rsidR="00E643EE" w:rsidRPr="003F363D">
        <w:rPr>
          <w:lang w:val="fr-FR"/>
        </w:rPr>
        <w:t>dégazé</w:t>
      </w:r>
      <w:r>
        <w:rPr>
          <w:lang w:val="fr-FR"/>
        </w:rPr>
        <w:t> </w:t>
      </w:r>
      <w:r w:rsidR="00E643EE" w:rsidRPr="003F363D">
        <w:rPr>
          <w:lang w:val="fr-FR"/>
        </w:rPr>
        <w:t>». Pour la remplacer, il conviendrait</w:t>
      </w:r>
      <w:r w:rsidR="0072320E">
        <w:rPr>
          <w:lang w:val="fr-FR"/>
        </w:rPr>
        <w:t xml:space="preserve"> d’établir des seuils précis en </w:t>
      </w:r>
      <w:r w:rsidR="00E643EE" w:rsidRPr="003F363D">
        <w:rPr>
          <w:lang w:val="fr-FR"/>
        </w:rPr>
        <w:t>dessous desquels une citerne à cargaison ou un autre espace clos à bord doit être considéré comme «</w:t>
      </w:r>
      <w:r>
        <w:rPr>
          <w:lang w:val="fr-FR"/>
        </w:rPr>
        <w:t> </w:t>
      </w:r>
      <w:r w:rsidR="00E643EE" w:rsidRPr="003F363D">
        <w:rPr>
          <w:lang w:val="fr-FR"/>
        </w:rPr>
        <w:t>dégazé</w:t>
      </w:r>
      <w:r>
        <w:rPr>
          <w:lang w:val="fr-FR"/>
        </w:rPr>
        <w:t> </w:t>
      </w:r>
      <w:r w:rsidR="00E643EE" w:rsidRPr="003F363D">
        <w:rPr>
          <w:lang w:val="fr-FR"/>
        </w:rPr>
        <w:t>» et il doit être possible de l’ouvrir ou d’y entrer. Ainsi, les conditions dans lesquelles certaines opérations sont autorisées seraient définies plus clairement. Par exemple, dans le cas du dégazage des citernes à cargaison, il conviendrait d’ajouter au 7.2.3.7 que ces dispositions ne s’appliquent que si la concentration de gaz est supérieure à 10</w:t>
      </w:r>
      <w:r>
        <w:rPr>
          <w:lang w:val="fr-FR"/>
        </w:rPr>
        <w:t> </w:t>
      </w:r>
      <w:r w:rsidR="00E53956">
        <w:rPr>
          <w:lang w:val="fr-FR"/>
        </w:rPr>
        <w:t>% de la LIE;</w:t>
      </w:r>
    </w:p>
    <w:p w:rsidR="00E643EE" w:rsidRDefault="009C2AC3" w:rsidP="0000492F">
      <w:pPr>
        <w:pStyle w:val="SingleTxt"/>
        <w:rPr>
          <w:lang w:val="fr-FR"/>
        </w:rPr>
      </w:pPr>
      <w:r>
        <w:rPr>
          <w:lang w:val="fr-FR"/>
        </w:rPr>
        <w:tab/>
      </w:r>
      <w:r w:rsidR="00E643EE" w:rsidRPr="003F363D">
        <w:rPr>
          <w:lang w:val="fr-FR"/>
        </w:rPr>
        <w:t>k)</w:t>
      </w:r>
      <w:r w:rsidR="00E643EE" w:rsidRPr="003F363D">
        <w:rPr>
          <w:lang w:val="fr-FR"/>
        </w:rPr>
        <w:tab/>
        <w:t>Des dispositions contradictoires ont été trouvées dans les sous-sections</w:t>
      </w:r>
      <w:r>
        <w:rPr>
          <w:lang w:val="fr-FR"/>
        </w:rPr>
        <w:t xml:space="preserve"> </w:t>
      </w:r>
      <w:r w:rsidR="00E643EE" w:rsidRPr="003F363D">
        <w:rPr>
          <w:lang w:val="fr-FR"/>
        </w:rPr>
        <w:t>7.2.4.41 (Feu et lumière non protégée), 7.2.4.74 (Interdiction de fumer, de feu et de lumière non protégée) et 8.3.4 (Interdiction de fumer, de feu et de lumière non protégée), en ce qui concerne les lieux et les conditions dans lesquels il est autorisé ou non de fumer ou d’utiliser du feu ou une lumière non protégée. Le représentant de l’Allemagne a été prié d’adresser un courrier au groupe de travail informel de la protection contre les explosions à bord des bateaux citernes afin de lui demander de se pencher sur l’éventuelle fusion de ces trois paragraphes.</w:t>
      </w:r>
    </w:p>
    <w:p w:rsidR="009C2AC3" w:rsidRPr="009C2AC3" w:rsidRDefault="009C2AC3" w:rsidP="009C2AC3">
      <w:pPr>
        <w:pStyle w:val="SingleTxt"/>
        <w:spacing w:after="0" w:line="120" w:lineRule="exact"/>
        <w:rPr>
          <w:sz w:val="10"/>
          <w:lang w:val="fr-FR"/>
        </w:rPr>
      </w:pPr>
    </w:p>
    <w:p w:rsidR="009C2AC3" w:rsidRPr="009C2AC3" w:rsidRDefault="009C2AC3" w:rsidP="009C2AC3">
      <w:pPr>
        <w:pStyle w:val="SingleTxt"/>
        <w:spacing w:after="0" w:line="120" w:lineRule="exact"/>
        <w:rPr>
          <w:sz w:val="10"/>
          <w:lang w:val="fr-FR"/>
        </w:rPr>
      </w:pPr>
    </w:p>
    <w:bookmarkEnd w:id="2"/>
    <w:p w:rsidR="00E643EE" w:rsidRDefault="00E643EE" w:rsidP="009C2AC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F363D">
        <w:rPr>
          <w:lang w:val="fr-FR"/>
        </w:rPr>
        <w:tab/>
        <w:t>II.</w:t>
      </w:r>
      <w:r w:rsidRPr="003F363D">
        <w:rPr>
          <w:lang w:val="fr-FR"/>
        </w:rPr>
        <w:tab/>
        <w:t xml:space="preserve">Propositions </w:t>
      </w:r>
    </w:p>
    <w:p w:rsidR="009C2AC3" w:rsidRPr="009C2AC3" w:rsidRDefault="009C2AC3" w:rsidP="009C2AC3">
      <w:pPr>
        <w:pStyle w:val="SingleTxt"/>
        <w:spacing w:after="0" w:line="120" w:lineRule="exact"/>
        <w:rPr>
          <w:sz w:val="10"/>
          <w:lang w:val="fr-FR"/>
        </w:rPr>
      </w:pPr>
    </w:p>
    <w:p w:rsidR="009C2AC3" w:rsidRPr="009C2AC3" w:rsidRDefault="009C2AC3" w:rsidP="009C2AC3">
      <w:pPr>
        <w:pStyle w:val="SingleTxt"/>
        <w:spacing w:after="0" w:line="120" w:lineRule="exact"/>
        <w:rPr>
          <w:sz w:val="10"/>
          <w:lang w:val="fr-FR"/>
        </w:rPr>
      </w:pPr>
    </w:p>
    <w:p w:rsidR="00496EED" w:rsidRDefault="00E643EE" w:rsidP="0000492F">
      <w:pPr>
        <w:pStyle w:val="SingleTxt"/>
        <w:rPr>
          <w:lang w:val="fr-FR"/>
        </w:rPr>
      </w:pPr>
      <w:r w:rsidRPr="003F363D">
        <w:rPr>
          <w:lang w:val="fr-FR"/>
        </w:rPr>
        <w:t>3.</w:t>
      </w:r>
      <w:r w:rsidRPr="003F363D">
        <w:rPr>
          <w:lang w:val="fr-FR"/>
        </w:rPr>
        <w:tab/>
        <w:t>Les propositions d’amendements au Règlement annexé à l’AND, établies conformément aux principes adoptés par le groupe de travail informel, figurent à l’annexe du présent document.</w:t>
      </w:r>
    </w:p>
    <w:p w:rsidR="009C2AC3" w:rsidRPr="003F363D" w:rsidRDefault="009C2AC3" w:rsidP="0000492F">
      <w:pPr>
        <w:pStyle w:val="SingleTxt"/>
        <w:rPr>
          <w:lang w:val="fr-FR"/>
        </w:rPr>
      </w:pPr>
    </w:p>
    <w:p w:rsidR="00A93121" w:rsidRPr="003F363D" w:rsidRDefault="00A93121" w:rsidP="00E643EE">
      <w:pPr>
        <w:pStyle w:val="SingleTxt"/>
        <w:rPr>
          <w:lang w:val="fr-FR"/>
        </w:rPr>
        <w:sectPr w:rsidR="00A93121" w:rsidRPr="003F363D" w:rsidSect="00496EED">
          <w:endnotePr>
            <w:numFmt w:val="decimal"/>
          </w:endnotePr>
          <w:type w:val="continuous"/>
          <w:pgSz w:w="11909" w:h="16834"/>
          <w:pgMar w:top="1742" w:right="936" w:bottom="1898" w:left="936" w:header="576" w:footer="1030" w:gutter="0"/>
          <w:cols w:space="720"/>
          <w:noEndnote/>
          <w:docGrid w:linePitch="360"/>
        </w:sectPr>
      </w:pPr>
    </w:p>
    <w:p w:rsidR="003854A0" w:rsidRDefault="00F23181" w:rsidP="00A1181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Annexe –</w:t>
      </w:r>
      <w:r w:rsidR="003854A0" w:rsidRPr="003F363D">
        <w:rPr>
          <w:lang w:val="fr-FR"/>
        </w:rPr>
        <w:t xml:space="preserve"> Propositions d’amendements à l’ADN 2015</w:t>
      </w:r>
    </w:p>
    <w:p w:rsidR="007C14C8" w:rsidRPr="007C14C8" w:rsidRDefault="007C14C8" w:rsidP="007C14C8">
      <w:pPr>
        <w:pStyle w:val="SingleTxt"/>
        <w:spacing w:after="0" w:line="120" w:lineRule="exact"/>
        <w:rPr>
          <w:sz w:val="10"/>
          <w:lang w:val="fr-FR"/>
        </w:rPr>
      </w:pPr>
    </w:p>
    <w:p w:rsidR="007C14C8" w:rsidRPr="007C14C8" w:rsidRDefault="007C14C8" w:rsidP="007C14C8">
      <w:pPr>
        <w:pStyle w:val="SingleTxt"/>
        <w:spacing w:after="0" w:line="120" w:lineRule="exact"/>
        <w:rPr>
          <w:sz w:val="10"/>
          <w:lang w:val="fr-FR"/>
        </w:rPr>
      </w:pPr>
    </w:p>
    <w:tbl>
      <w:tblPr>
        <w:tblW w:w="0" w:type="auto"/>
        <w:tblLayout w:type="fixed"/>
        <w:tblCellMar>
          <w:left w:w="0" w:type="dxa"/>
          <w:right w:w="0" w:type="dxa"/>
        </w:tblCellMar>
        <w:tblLook w:val="0000" w:firstRow="0" w:lastRow="0" w:firstColumn="0" w:lastColumn="0" w:noHBand="0" w:noVBand="0"/>
      </w:tblPr>
      <w:tblGrid>
        <w:gridCol w:w="1437"/>
        <w:gridCol w:w="6291"/>
        <w:gridCol w:w="5454"/>
      </w:tblGrid>
      <w:tr w:rsidR="007C14C8" w:rsidRPr="007C14C8" w:rsidTr="00022E93">
        <w:trPr>
          <w:tblHeader/>
        </w:trPr>
        <w:tc>
          <w:tcPr>
            <w:tcW w:w="1437" w:type="dxa"/>
            <w:tcBorders>
              <w:top w:val="single" w:sz="4" w:space="0" w:color="auto"/>
              <w:bottom w:val="single" w:sz="12" w:space="0" w:color="auto"/>
            </w:tcBorders>
            <w:shd w:val="clear" w:color="auto" w:fill="auto"/>
            <w:vAlign w:val="bottom"/>
          </w:tcPr>
          <w:p w:rsidR="007C14C8" w:rsidRPr="007C14C8" w:rsidRDefault="0080464B" w:rsidP="007C14C8">
            <w:pPr>
              <w:suppressAutoHyphens/>
              <w:spacing w:before="80" w:after="80" w:line="160" w:lineRule="exact"/>
              <w:ind w:right="115"/>
              <w:rPr>
                <w:i/>
                <w:sz w:val="14"/>
                <w:lang w:val="fr-FR"/>
              </w:rPr>
            </w:pPr>
            <w:r>
              <w:rPr>
                <w:i/>
                <w:sz w:val="14"/>
                <w:lang w:val="fr-FR"/>
              </w:rPr>
              <w:t>Proposition</w:t>
            </w:r>
          </w:p>
        </w:tc>
        <w:tc>
          <w:tcPr>
            <w:tcW w:w="6291" w:type="dxa"/>
            <w:tcBorders>
              <w:top w:val="single" w:sz="4" w:space="0" w:color="auto"/>
              <w:bottom w:val="single" w:sz="12" w:space="0" w:color="auto"/>
            </w:tcBorders>
            <w:shd w:val="clear" w:color="auto" w:fill="auto"/>
          </w:tcPr>
          <w:p w:rsidR="007C14C8" w:rsidRPr="007C14C8" w:rsidRDefault="007C14C8" w:rsidP="007C14C8">
            <w:pPr>
              <w:suppressAutoHyphens/>
              <w:spacing w:before="80" w:after="80" w:line="160" w:lineRule="exact"/>
              <w:ind w:right="115"/>
              <w:rPr>
                <w:i/>
                <w:sz w:val="14"/>
                <w:lang w:val="fr-FR"/>
              </w:rPr>
            </w:pPr>
          </w:p>
        </w:tc>
        <w:tc>
          <w:tcPr>
            <w:tcW w:w="5454" w:type="dxa"/>
            <w:tcBorders>
              <w:top w:val="single" w:sz="4" w:space="0" w:color="auto"/>
              <w:bottom w:val="single" w:sz="12" w:space="0" w:color="auto"/>
            </w:tcBorders>
            <w:shd w:val="clear" w:color="auto" w:fill="auto"/>
          </w:tcPr>
          <w:p w:rsidR="007C14C8" w:rsidRPr="007C14C8" w:rsidRDefault="0080464B" w:rsidP="007C14C8">
            <w:pPr>
              <w:suppressAutoHyphens/>
              <w:spacing w:before="80" w:after="80" w:line="160" w:lineRule="exact"/>
              <w:ind w:right="115"/>
              <w:rPr>
                <w:i/>
                <w:sz w:val="14"/>
                <w:lang w:val="fr-FR"/>
              </w:rPr>
            </w:pPr>
            <w:r>
              <w:rPr>
                <w:i/>
                <w:sz w:val="14"/>
                <w:lang w:val="fr-FR"/>
              </w:rPr>
              <w:t>Explication</w:t>
            </w:r>
          </w:p>
        </w:tc>
      </w:tr>
      <w:tr w:rsidR="007C14C8" w:rsidRPr="007C14C8" w:rsidTr="00022E93">
        <w:trPr>
          <w:trHeight w:hRule="exact" w:val="115"/>
          <w:tblHeader/>
        </w:trPr>
        <w:tc>
          <w:tcPr>
            <w:tcW w:w="1437" w:type="dxa"/>
            <w:tcBorders>
              <w:top w:val="single" w:sz="12" w:space="0" w:color="auto"/>
            </w:tcBorders>
            <w:shd w:val="clear" w:color="auto" w:fill="auto"/>
          </w:tcPr>
          <w:p w:rsidR="007C14C8" w:rsidRPr="007C14C8" w:rsidRDefault="007C14C8" w:rsidP="007C14C8">
            <w:pPr>
              <w:suppressAutoHyphens/>
              <w:spacing w:before="40" w:after="80"/>
              <w:ind w:right="115"/>
              <w:rPr>
                <w:lang w:val="fr-FR"/>
              </w:rPr>
            </w:pPr>
          </w:p>
        </w:tc>
        <w:tc>
          <w:tcPr>
            <w:tcW w:w="6291" w:type="dxa"/>
            <w:tcBorders>
              <w:top w:val="single" w:sz="12" w:space="0" w:color="auto"/>
            </w:tcBorders>
            <w:shd w:val="clear" w:color="auto" w:fill="auto"/>
          </w:tcPr>
          <w:p w:rsidR="007C14C8" w:rsidRPr="007C14C8" w:rsidRDefault="007C14C8" w:rsidP="007C14C8">
            <w:pPr>
              <w:suppressAutoHyphens/>
              <w:spacing w:before="40" w:after="80"/>
              <w:ind w:right="115"/>
              <w:rPr>
                <w:lang w:val="fr-FR"/>
              </w:rPr>
            </w:pPr>
          </w:p>
        </w:tc>
        <w:tc>
          <w:tcPr>
            <w:tcW w:w="5454" w:type="dxa"/>
            <w:tcBorders>
              <w:top w:val="single" w:sz="12" w:space="0" w:color="auto"/>
            </w:tcBorders>
            <w:shd w:val="clear" w:color="auto" w:fill="auto"/>
          </w:tcPr>
          <w:p w:rsidR="007C14C8" w:rsidRPr="007C14C8" w:rsidRDefault="007C14C8" w:rsidP="007C14C8">
            <w:pPr>
              <w:suppressAutoHyphens/>
              <w:spacing w:before="40" w:after="80"/>
              <w:ind w:right="115"/>
              <w:rPr>
                <w:lang w:val="fr-FR"/>
              </w:rPr>
            </w:pPr>
          </w:p>
        </w:tc>
      </w:tr>
      <w:tr w:rsidR="003D56B8" w:rsidRPr="007C14C8" w:rsidTr="00022E93">
        <w:tc>
          <w:tcPr>
            <w:tcW w:w="13182" w:type="dxa"/>
            <w:gridSpan w:val="3"/>
            <w:shd w:val="clear" w:color="auto" w:fill="auto"/>
          </w:tcPr>
          <w:p w:rsidR="003D56B8" w:rsidRPr="007C14C8" w:rsidRDefault="003D56B8" w:rsidP="002E7F85">
            <w:pPr>
              <w:tabs>
                <w:tab w:val="left" w:pos="288"/>
                <w:tab w:val="left" w:pos="576"/>
                <w:tab w:val="left" w:pos="864"/>
                <w:tab w:val="left" w:pos="1152"/>
              </w:tabs>
              <w:suppressAutoHyphens/>
              <w:spacing w:before="40" w:after="80"/>
              <w:ind w:right="115"/>
              <w:rPr>
                <w:lang w:val="fr-FR"/>
              </w:rPr>
            </w:pPr>
            <w:r w:rsidRPr="002E7F85">
              <w:rPr>
                <w:b/>
                <w:lang w:val="fr-FR"/>
              </w:rPr>
              <w:t>1.2.1 Définitions</w:t>
            </w:r>
          </w:p>
        </w:tc>
      </w:tr>
      <w:tr w:rsidR="007C14C8" w:rsidRPr="00771661" w:rsidTr="00022E93">
        <w:tc>
          <w:tcPr>
            <w:tcW w:w="1437" w:type="dxa"/>
            <w:shd w:val="clear" w:color="auto" w:fill="auto"/>
          </w:tcPr>
          <w:p w:rsidR="007C14C8" w:rsidRPr="007C14C8" w:rsidRDefault="002E7F85" w:rsidP="007C14C8">
            <w:pPr>
              <w:tabs>
                <w:tab w:val="left" w:pos="288"/>
                <w:tab w:val="left" w:pos="576"/>
                <w:tab w:val="left" w:pos="864"/>
                <w:tab w:val="left" w:pos="1152"/>
              </w:tabs>
              <w:suppressAutoHyphens/>
              <w:spacing w:before="40" w:after="80"/>
              <w:ind w:right="115"/>
              <w:rPr>
                <w:lang w:val="fr-FR"/>
              </w:rPr>
            </w:pPr>
            <w:r w:rsidRPr="002E7F85">
              <w:rPr>
                <w:lang w:val="fr-FR"/>
              </w:rPr>
              <w:t>1.1.2.5</w:t>
            </w:r>
          </w:p>
        </w:tc>
        <w:tc>
          <w:tcPr>
            <w:tcW w:w="6291" w:type="dxa"/>
            <w:shd w:val="clear" w:color="auto" w:fill="auto"/>
          </w:tcPr>
          <w:p w:rsidR="007C14C8" w:rsidRPr="007C14C8" w:rsidRDefault="002E7F85" w:rsidP="00366930">
            <w:pPr>
              <w:tabs>
                <w:tab w:val="left" w:pos="288"/>
                <w:tab w:val="left" w:pos="576"/>
                <w:tab w:val="left" w:pos="864"/>
                <w:tab w:val="left" w:pos="1152"/>
              </w:tabs>
              <w:suppressAutoHyphens/>
              <w:spacing w:before="40" w:after="80"/>
              <w:ind w:right="115"/>
              <w:rPr>
                <w:lang w:val="fr-FR"/>
              </w:rPr>
            </w:pPr>
            <w:r w:rsidRPr="002E7F85">
              <w:rPr>
                <w:lang w:val="fr-FR"/>
              </w:rPr>
              <w:t xml:space="preserve">Les dispositions de l’ADN s’appliquent également aux bateaux vides ou aux bateaux qui ont été déchargés aussi longtemps que les cales, </w:t>
            </w:r>
            <w:r w:rsidR="00DD49C1">
              <w:rPr>
                <w:lang w:val="fr-FR"/>
              </w:rPr>
              <w:br/>
            </w:r>
            <w:r w:rsidRPr="002E7F85">
              <w:rPr>
                <w:lang w:val="fr-FR"/>
              </w:rPr>
              <w:t xml:space="preserve">les citernes à cargaison ou les récipients ou citernes admis à bord </w:t>
            </w:r>
            <w:r w:rsidR="00DD49C1">
              <w:rPr>
                <w:lang w:val="fr-FR"/>
              </w:rPr>
              <w:br/>
            </w:r>
            <w:r w:rsidRPr="002E7F85">
              <w:rPr>
                <w:lang w:val="fr-FR"/>
              </w:rPr>
              <w:t xml:space="preserve">ne sont pas exempts de matières ou gaz dangereux, sauf exemptions prévues à la section 1.1.3 du présent Règlement. </w:t>
            </w:r>
            <w:r w:rsidRPr="002E7F85">
              <w:rPr>
                <w:u w:val="single"/>
                <w:lang w:val="fr-FR"/>
              </w:rPr>
              <w:t>La condition d’absence de gaz ne peut être déclarée et certifiée que par une personne agréée par l’autorité compétente.</w:t>
            </w:r>
          </w:p>
        </w:tc>
        <w:tc>
          <w:tcPr>
            <w:tcW w:w="5454" w:type="dxa"/>
            <w:shd w:val="clear" w:color="auto" w:fill="auto"/>
          </w:tcPr>
          <w:p w:rsidR="002E7F85" w:rsidRPr="002E7F85" w:rsidRDefault="002E7F85" w:rsidP="002E7F85">
            <w:pPr>
              <w:tabs>
                <w:tab w:val="left" w:pos="288"/>
                <w:tab w:val="left" w:pos="576"/>
                <w:tab w:val="left" w:pos="864"/>
                <w:tab w:val="left" w:pos="1152"/>
              </w:tabs>
              <w:suppressAutoHyphens/>
              <w:spacing w:before="40" w:after="80"/>
              <w:ind w:right="115"/>
              <w:rPr>
                <w:b/>
                <w:lang w:val="fr-FR"/>
              </w:rPr>
            </w:pPr>
            <w:r w:rsidRPr="002E7F85">
              <w:rPr>
                <w:b/>
                <w:lang w:val="fr-FR"/>
              </w:rPr>
              <w:t>Proposition</w:t>
            </w:r>
          </w:p>
          <w:p w:rsidR="002E7F85" w:rsidRPr="002E7F85" w:rsidRDefault="002E7F85" w:rsidP="002E7F85">
            <w:pPr>
              <w:tabs>
                <w:tab w:val="left" w:pos="288"/>
                <w:tab w:val="left" w:pos="576"/>
                <w:tab w:val="left" w:pos="864"/>
                <w:tab w:val="left" w:pos="1152"/>
              </w:tabs>
              <w:suppressAutoHyphens/>
              <w:spacing w:before="40" w:after="80"/>
              <w:ind w:right="115"/>
              <w:rPr>
                <w:lang w:val="fr-FR"/>
              </w:rPr>
            </w:pPr>
            <w:r w:rsidRPr="002E7F85">
              <w:rPr>
                <w:lang w:val="fr-FR"/>
              </w:rPr>
              <w:t>Ajouter «</w:t>
            </w:r>
            <w:r w:rsidR="00DD49C1">
              <w:rPr>
                <w:lang w:val="fr-FR"/>
              </w:rPr>
              <w:t> </w:t>
            </w:r>
            <w:r w:rsidRPr="002E7F85">
              <w:rPr>
                <w:lang w:val="fr-FR"/>
              </w:rPr>
              <w:t>La condition d’absence de gaz ne peut être déclarée et certifiée que par une personne a</w:t>
            </w:r>
            <w:r w:rsidR="00AB201F">
              <w:rPr>
                <w:lang w:val="fr-FR"/>
              </w:rPr>
              <w:t>gréée par l’autorité compétente</w:t>
            </w:r>
            <w:r w:rsidR="00DD49C1">
              <w:rPr>
                <w:lang w:val="fr-FR"/>
              </w:rPr>
              <w:t> </w:t>
            </w:r>
            <w:r w:rsidRPr="002E7F85">
              <w:rPr>
                <w:lang w:val="fr-FR"/>
              </w:rPr>
              <w:t>»</w:t>
            </w:r>
            <w:r w:rsidR="00AB201F">
              <w:rPr>
                <w:lang w:val="fr-FR"/>
              </w:rPr>
              <w:t>.</w:t>
            </w:r>
          </w:p>
          <w:p w:rsidR="002E7F85" w:rsidRPr="002E7F85" w:rsidRDefault="002E7F85" w:rsidP="002E7F85">
            <w:pPr>
              <w:tabs>
                <w:tab w:val="left" w:pos="288"/>
                <w:tab w:val="left" w:pos="576"/>
                <w:tab w:val="left" w:pos="864"/>
                <w:tab w:val="left" w:pos="1152"/>
              </w:tabs>
              <w:suppressAutoHyphens/>
              <w:spacing w:before="40" w:after="80"/>
              <w:ind w:right="115"/>
              <w:rPr>
                <w:b/>
                <w:lang w:val="fr-FR"/>
              </w:rPr>
            </w:pPr>
            <w:r w:rsidRPr="002E7F85">
              <w:rPr>
                <w:b/>
                <w:lang w:val="fr-FR"/>
              </w:rPr>
              <w:t>Justification</w:t>
            </w:r>
          </w:p>
          <w:p w:rsidR="007C14C8" w:rsidRPr="007C14C8" w:rsidRDefault="002E7F85" w:rsidP="002E7F85">
            <w:pPr>
              <w:tabs>
                <w:tab w:val="left" w:pos="288"/>
                <w:tab w:val="left" w:pos="576"/>
                <w:tab w:val="left" w:pos="864"/>
                <w:tab w:val="left" w:pos="1152"/>
              </w:tabs>
              <w:suppressAutoHyphens/>
              <w:spacing w:before="40" w:after="80"/>
              <w:ind w:right="115"/>
              <w:rPr>
                <w:lang w:val="fr-FR"/>
              </w:rPr>
            </w:pPr>
            <w:r w:rsidRPr="002E7F85">
              <w:rPr>
                <w:lang w:val="fr-FR"/>
              </w:rPr>
              <w:t>Cet ajout élimine tout risque de malentendu quant au fait que l’absence de gaz doit être vérifiée par une personne agréée par l’autorité compétente.</w:t>
            </w:r>
          </w:p>
        </w:tc>
      </w:tr>
      <w:tr w:rsidR="007C14C8" w:rsidRPr="00771661" w:rsidTr="00022E93">
        <w:tc>
          <w:tcPr>
            <w:tcW w:w="1437" w:type="dxa"/>
            <w:shd w:val="clear" w:color="auto" w:fill="auto"/>
          </w:tcPr>
          <w:p w:rsidR="007C14C8" w:rsidRPr="007C14C8" w:rsidRDefault="0080464B" w:rsidP="007C14C8">
            <w:pPr>
              <w:tabs>
                <w:tab w:val="left" w:pos="288"/>
                <w:tab w:val="left" w:pos="576"/>
                <w:tab w:val="left" w:pos="864"/>
                <w:tab w:val="left" w:pos="1152"/>
              </w:tabs>
              <w:suppressAutoHyphens/>
              <w:spacing w:before="40" w:after="80"/>
              <w:ind w:right="115"/>
              <w:rPr>
                <w:lang w:val="fr-FR"/>
              </w:rPr>
            </w:pPr>
            <w:r w:rsidRPr="0080464B">
              <w:rPr>
                <w:lang w:val="fr-FR"/>
              </w:rPr>
              <w:t>1.2.1</w:t>
            </w:r>
          </w:p>
        </w:tc>
        <w:tc>
          <w:tcPr>
            <w:tcW w:w="6291" w:type="dxa"/>
            <w:shd w:val="clear" w:color="auto" w:fill="auto"/>
          </w:tcPr>
          <w:p w:rsidR="0080464B" w:rsidRPr="0080464B" w:rsidRDefault="0080464B" w:rsidP="0080464B">
            <w:pPr>
              <w:tabs>
                <w:tab w:val="left" w:pos="288"/>
                <w:tab w:val="left" w:pos="576"/>
                <w:tab w:val="left" w:pos="864"/>
                <w:tab w:val="left" w:pos="1152"/>
              </w:tabs>
              <w:suppressAutoHyphens/>
              <w:spacing w:before="40" w:after="80"/>
              <w:ind w:right="115"/>
              <w:rPr>
                <w:lang w:val="fr-FR"/>
              </w:rPr>
            </w:pPr>
            <w:r w:rsidRPr="0080464B">
              <w:rPr>
                <w:b/>
                <w:lang w:val="fr-FR"/>
              </w:rPr>
              <w:t>Citerne à cargaison (déchargée)</w:t>
            </w:r>
            <w:r w:rsidR="001B35CF">
              <w:rPr>
                <w:b/>
                <w:lang w:val="fr-FR"/>
              </w:rPr>
              <w:t> </w:t>
            </w:r>
            <w:r w:rsidRPr="0080464B">
              <w:rPr>
                <w:b/>
                <w:lang w:val="fr-FR"/>
              </w:rPr>
              <w:t>:</w:t>
            </w:r>
            <w:r w:rsidRPr="0080464B">
              <w:rPr>
                <w:lang w:val="fr-FR"/>
              </w:rPr>
              <w:t xml:space="preserve"> une citerne à cargaison, qui, après déchargement, peut contenir de la cargaison restante;</w:t>
            </w:r>
          </w:p>
          <w:p w:rsidR="0080464B" w:rsidRPr="0080464B" w:rsidRDefault="0080464B" w:rsidP="0080464B">
            <w:pPr>
              <w:tabs>
                <w:tab w:val="left" w:pos="288"/>
                <w:tab w:val="left" w:pos="576"/>
                <w:tab w:val="left" w:pos="864"/>
                <w:tab w:val="left" w:pos="1152"/>
              </w:tabs>
              <w:suppressAutoHyphens/>
              <w:spacing w:before="40" w:after="80"/>
              <w:ind w:right="115"/>
              <w:rPr>
                <w:lang w:val="fr-FR"/>
              </w:rPr>
            </w:pPr>
            <w:r w:rsidRPr="0080464B">
              <w:rPr>
                <w:b/>
                <w:lang w:val="fr-FR"/>
              </w:rPr>
              <w:t>Citerne à cargaison (vide)</w:t>
            </w:r>
            <w:r w:rsidR="001B35CF">
              <w:rPr>
                <w:b/>
                <w:lang w:val="fr-FR"/>
              </w:rPr>
              <w:t> </w:t>
            </w:r>
            <w:r w:rsidRPr="0080464B">
              <w:rPr>
                <w:b/>
                <w:lang w:val="fr-FR"/>
              </w:rPr>
              <w:t>:</w:t>
            </w:r>
            <w:r w:rsidRPr="0080464B">
              <w:rPr>
                <w:lang w:val="fr-FR"/>
              </w:rPr>
              <w:t xml:space="preserve"> une citerne à cargaison, qui, après le</w:t>
            </w:r>
            <w:r w:rsidR="00FF60DE">
              <w:rPr>
                <w:lang w:val="fr-FR"/>
              </w:rPr>
              <w:t> </w:t>
            </w:r>
            <w:r w:rsidRPr="0080464B">
              <w:rPr>
                <w:lang w:val="fr-FR"/>
              </w:rPr>
              <w:t>déchargement, ne contient pas de la cargaison restante mais peut être non dégazée;</w:t>
            </w:r>
          </w:p>
          <w:p w:rsidR="007C14C8" w:rsidRPr="007C14C8" w:rsidRDefault="0080464B" w:rsidP="00FF60DE">
            <w:pPr>
              <w:tabs>
                <w:tab w:val="left" w:pos="288"/>
                <w:tab w:val="left" w:pos="576"/>
                <w:tab w:val="left" w:pos="864"/>
                <w:tab w:val="left" w:pos="1152"/>
              </w:tabs>
              <w:suppressAutoHyphens/>
              <w:spacing w:before="40" w:after="80"/>
              <w:ind w:right="115"/>
              <w:rPr>
                <w:lang w:val="fr-FR"/>
              </w:rPr>
            </w:pPr>
            <w:r w:rsidRPr="0080464B">
              <w:rPr>
                <w:b/>
                <w:lang w:val="fr-FR"/>
              </w:rPr>
              <w:t>Citerne à cargaison (dégazée)</w:t>
            </w:r>
            <w:r w:rsidR="001B35CF">
              <w:rPr>
                <w:b/>
                <w:lang w:val="fr-FR"/>
              </w:rPr>
              <w:t> </w:t>
            </w:r>
            <w:r w:rsidRPr="0080464B">
              <w:rPr>
                <w:b/>
                <w:lang w:val="fr-FR"/>
              </w:rPr>
              <w:t>:</w:t>
            </w:r>
            <w:r w:rsidRPr="0080464B">
              <w:rPr>
                <w:lang w:val="fr-FR"/>
              </w:rPr>
              <w:t xml:space="preserve"> une citerne à cargaison, qui, après le</w:t>
            </w:r>
            <w:r w:rsidR="00FF60DE">
              <w:rPr>
                <w:lang w:val="fr-FR"/>
              </w:rPr>
              <w:t> </w:t>
            </w:r>
            <w:r w:rsidRPr="0080464B">
              <w:rPr>
                <w:lang w:val="fr-FR"/>
              </w:rPr>
              <w:t xml:space="preserve">déchargement, ne contient ni de la cargaison restante ni de concentration mesurable de gaz </w:t>
            </w:r>
            <w:r w:rsidRPr="0080464B">
              <w:rPr>
                <w:strike/>
                <w:lang w:val="fr-FR"/>
              </w:rPr>
              <w:t>dangereux</w:t>
            </w:r>
            <w:r w:rsidRPr="0080464B">
              <w:rPr>
                <w:lang w:val="fr-FR"/>
              </w:rPr>
              <w:t xml:space="preserve"> </w:t>
            </w:r>
            <w:r w:rsidRPr="0080464B">
              <w:rPr>
                <w:u w:val="single"/>
                <w:lang w:val="fr-FR"/>
              </w:rPr>
              <w:t>inflammable ou toxique</w:t>
            </w:r>
            <w:r w:rsidRPr="0080464B">
              <w:rPr>
                <w:lang w:val="fr-FR"/>
              </w:rPr>
              <w:t>;</w:t>
            </w:r>
          </w:p>
        </w:tc>
        <w:tc>
          <w:tcPr>
            <w:tcW w:w="5454" w:type="dxa"/>
            <w:shd w:val="clear" w:color="auto" w:fill="auto"/>
          </w:tcPr>
          <w:p w:rsidR="0080464B" w:rsidRPr="0080464B" w:rsidRDefault="0080464B" w:rsidP="0080464B">
            <w:pPr>
              <w:tabs>
                <w:tab w:val="left" w:pos="288"/>
                <w:tab w:val="left" w:pos="576"/>
                <w:tab w:val="left" w:pos="864"/>
                <w:tab w:val="left" w:pos="1152"/>
              </w:tabs>
              <w:suppressAutoHyphens/>
              <w:spacing w:before="40" w:after="80"/>
              <w:ind w:right="115"/>
              <w:rPr>
                <w:b/>
                <w:lang w:val="fr-FR"/>
              </w:rPr>
            </w:pPr>
            <w:r w:rsidRPr="0080464B">
              <w:rPr>
                <w:b/>
                <w:lang w:val="fr-FR"/>
              </w:rPr>
              <w:t>Proposition</w:t>
            </w:r>
          </w:p>
          <w:p w:rsidR="0080464B" w:rsidRPr="0080464B" w:rsidRDefault="0080464B" w:rsidP="0080464B">
            <w:pPr>
              <w:tabs>
                <w:tab w:val="left" w:pos="288"/>
                <w:tab w:val="left" w:pos="576"/>
                <w:tab w:val="left" w:pos="864"/>
                <w:tab w:val="left" w:pos="1152"/>
              </w:tabs>
              <w:suppressAutoHyphens/>
              <w:spacing w:before="40" w:after="80"/>
              <w:ind w:right="115"/>
              <w:rPr>
                <w:lang w:val="fr-FR"/>
              </w:rPr>
            </w:pPr>
            <w:r w:rsidRPr="0080464B">
              <w:rPr>
                <w:lang w:val="fr-FR"/>
              </w:rPr>
              <w:t>Remplacer «</w:t>
            </w:r>
            <w:r w:rsidR="00DD49C1">
              <w:rPr>
                <w:lang w:val="fr-FR"/>
              </w:rPr>
              <w:t> </w:t>
            </w:r>
            <w:r w:rsidRPr="0080464B">
              <w:rPr>
                <w:lang w:val="fr-FR"/>
              </w:rPr>
              <w:t>dangereux</w:t>
            </w:r>
            <w:r w:rsidR="00DD49C1">
              <w:rPr>
                <w:lang w:val="fr-FR"/>
              </w:rPr>
              <w:t> </w:t>
            </w:r>
            <w:r w:rsidRPr="0080464B">
              <w:rPr>
                <w:lang w:val="fr-FR"/>
              </w:rPr>
              <w:t>» par «</w:t>
            </w:r>
            <w:r w:rsidR="00DD49C1">
              <w:rPr>
                <w:lang w:val="fr-FR"/>
              </w:rPr>
              <w:t> </w:t>
            </w:r>
            <w:r w:rsidRPr="0080464B">
              <w:rPr>
                <w:lang w:val="fr-FR"/>
              </w:rPr>
              <w:t>inflammable ou toxique</w:t>
            </w:r>
            <w:r w:rsidR="00DD49C1">
              <w:rPr>
                <w:lang w:val="fr-FR"/>
              </w:rPr>
              <w:t> </w:t>
            </w:r>
            <w:r w:rsidRPr="0080464B">
              <w:rPr>
                <w:lang w:val="fr-FR"/>
              </w:rPr>
              <w:t>».</w:t>
            </w:r>
          </w:p>
          <w:p w:rsidR="0080464B" w:rsidRPr="0080464B" w:rsidRDefault="0080464B" w:rsidP="0080464B">
            <w:pPr>
              <w:tabs>
                <w:tab w:val="left" w:pos="288"/>
                <w:tab w:val="left" w:pos="576"/>
                <w:tab w:val="left" w:pos="864"/>
                <w:tab w:val="left" w:pos="1152"/>
              </w:tabs>
              <w:suppressAutoHyphens/>
              <w:spacing w:before="40" w:after="80"/>
              <w:ind w:right="115"/>
              <w:rPr>
                <w:b/>
                <w:lang w:val="fr-FR"/>
              </w:rPr>
            </w:pPr>
            <w:r w:rsidRPr="0080464B">
              <w:rPr>
                <w:b/>
                <w:lang w:val="fr-FR"/>
              </w:rPr>
              <w:t>Justification</w:t>
            </w:r>
          </w:p>
          <w:p w:rsidR="007C14C8" w:rsidRPr="007C14C8" w:rsidRDefault="0080464B" w:rsidP="0080464B">
            <w:pPr>
              <w:tabs>
                <w:tab w:val="left" w:pos="288"/>
                <w:tab w:val="left" w:pos="576"/>
                <w:tab w:val="left" w:pos="864"/>
                <w:tab w:val="left" w:pos="1152"/>
              </w:tabs>
              <w:suppressAutoHyphens/>
              <w:spacing w:before="40" w:after="80"/>
              <w:ind w:right="115"/>
              <w:rPr>
                <w:lang w:val="fr-FR"/>
              </w:rPr>
            </w:pPr>
            <w:r w:rsidRPr="0080464B">
              <w:rPr>
                <w:lang w:val="fr-FR"/>
              </w:rPr>
              <w:t>On entend par gaz dangereux des gaz inflammables ou toxiques. Cette modification l’énonce plus clairement.</w:t>
            </w:r>
          </w:p>
        </w:tc>
      </w:tr>
      <w:tr w:rsidR="007C14C8" w:rsidRPr="00771661" w:rsidTr="00022E93">
        <w:tc>
          <w:tcPr>
            <w:tcW w:w="1437" w:type="dxa"/>
            <w:shd w:val="clear" w:color="auto" w:fill="auto"/>
          </w:tcPr>
          <w:p w:rsidR="007C14C8" w:rsidRPr="007C14C8" w:rsidRDefault="007C14C8" w:rsidP="007C14C8">
            <w:pPr>
              <w:tabs>
                <w:tab w:val="left" w:pos="288"/>
                <w:tab w:val="left" w:pos="576"/>
                <w:tab w:val="left" w:pos="864"/>
                <w:tab w:val="left" w:pos="1152"/>
              </w:tabs>
              <w:suppressAutoHyphens/>
              <w:spacing w:before="40" w:after="80"/>
              <w:ind w:right="115"/>
              <w:rPr>
                <w:lang w:val="fr-FR"/>
              </w:rPr>
            </w:pPr>
          </w:p>
        </w:tc>
        <w:tc>
          <w:tcPr>
            <w:tcW w:w="6291" w:type="dxa"/>
            <w:shd w:val="clear" w:color="auto" w:fill="auto"/>
          </w:tcPr>
          <w:p w:rsidR="00AB201F" w:rsidRPr="00AB201F" w:rsidRDefault="00AB201F" w:rsidP="00AB201F">
            <w:pPr>
              <w:tabs>
                <w:tab w:val="left" w:pos="288"/>
                <w:tab w:val="left" w:pos="576"/>
                <w:tab w:val="left" w:pos="864"/>
                <w:tab w:val="left" w:pos="1152"/>
              </w:tabs>
              <w:suppressAutoHyphens/>
              <w:spacing w:before="40" w:after="80"/>
              <w:ind w:right="115"/>
              <w:rPr>
                <w:b/>
                <w:u w:val="single"/>
                <w:lang w:val="fr-FR"/>
              </w:rPr>
            </w:pPr>
            <w:r w:rsidRPr="00AB201F">
              <w:rPr>
                <w:b/>
                <w:u w:val="single"/>
                <w:lang w:val="fr-FR"/>
              </w:rPr>
              <w:t>Dégazage dans l’atmosphère</w:t>
            </w:r>
            <w:r w:rsidRPr="00BF0050">
              <w:rPr>
                <w:b/>
                <w:lang w:val="fr-FR"/>
              </w:rPr>
              <w:t> :</w:t>
            </w:r>
          </w:p>
          <w:p w:rsidR="007C14C8" w:rsidRPr="007C14C8" w:rsidRDefault="00AB201F" w:rsidP="00366930">
            <w:pPr>
              <w:tabs>
                <w:tab w:val="left" w:pos="288"/>
                <w:tab w:val="left" w:pos="576"/>
                <w:tab w:val="left" w:pos="864"/>
                <w:tab w:val="left" w:pos="1152"/>
              </w:tabs>
              <w:suppressAutoHyphens/>
              <w:spacing w:before="40" w:after="80"/>
              <w:ind w:right="115"/>
              <w:rPr>
                <w:lang w:val="fr-FR"/>
              </w:rPr>
            </w:pPr>
            <w:r w:rsidRPr="00AB201F">
              <w:rPr>
                <w:u w:val="single"/>
                <w:lang w:val="fr-FR"/>
              </w:rPr>
              <w:t xml:space="preserve">une opération ayant pour but de diminuer la concentration de gaz dangereux dans une citerne à cargaison vide en émettant </w:t>
            </w:r>
            <w:r w:rsidR="00BF0050">
              <w:rPr>
                <w:u w:val="single"/>
                <w:lang w:val="fr-FR"/>
              </w:rPr>
              <w:br/>
            </w:r>
            <w:r w:rsidRPr="00AB201F">
              <w:rPr>
                <w:u w:val="single"/>
                <w:lang w:val="fr-FR"/>
              </w:rPr>
              <w:t>des vapeurs dans l’atmosphère</w:t>
            </w:r>
            <w:r w:rsidR="00910435">
              <w:rPr>
                <w:lang w:val="fr-FR"/>
              </w:rPr>
              <w:t>;</w:t>
            </w:r>
          </w:p>
        </w:tc>
        <w:tc>
          <w:tcPr>
            <w:tcW w:w="5454" w:type="dxa"/>
            <w:shd w:val="clear" w:color="auto" w:fill="auto"/>
          </w:tcPr>
          <w:p w:rsidR="00BF0050" w:rsidRPr="00BF0050" w:rsidRDefault="00BF0050" w:rsidP="00BF0050">
            <w:pPr>
              <w:tabs>
                <w:tab w:val="left" w:pos="288"/>
                <w:tab w:val="left" w:pos="576"/>
                <w:tab w:val="left" w:pos="864"/>
                <w:tab w:val="left" w:pos="1152"/>
              </w:tabs>
              <w:suppressAutoHyphens/>
              <w:spacing w:before="40" w:after="80"/>
              <w:ind w:right="115"/>
              <w:rPr>
                <w:b/>
                <w:lang w:val="fr-FR"/>
              </w:rPr>
            </w:pPr>
            <w:r w:rsidRPr="00BF0050">
              <w:rPr>
                <w:b/>
                <w:lang w:val="fr-FR"/>
              </w:rPr>
              <w:t>Proposition</w:t>
            </w:r>
          </w:p>
          <w:p w:rsidR="00BF0050" w:rsidRPr="00BF0050" w:rsidRDefault="00BF0050" w:rsidP="00BF0050">
            <w:pPr>
              <w:tabs>
                <w:tab w:val="left" w:pos="288"/>
                <w:tab w:val="left" w:pos="576"/>
                <w:tab w:val="left" w:pos="864"/>
                <w:tab w:val="left" w:pos="1152"/>
              </w:tabs>
              <w:suppressAutoHyphens/>
              <w:spacing w:before="40" w:after="80"/>
              <w:ind w:right="115"/>
              <w:rPr>
                <w:b/>
                <w:lang w:val="fr-FR"/>
              </w:rPr>
            </w:pPr>
            <w:r w:rsidRPr="00BF0050">
              <w:rPr>
                <w:lang w:val="fr-FR"/>
              </w:rPr>
              <w:t>Ajouter une nouvelle définition</w:t>
            </w:r>
            <w:r>
              <w:rPr>
                <w:lang w:val="fr-FR"/>
              </w:rPr>
              <w:t> </w:t>
            </w:r>
            <w:r w:rsidRPr="00BF0050">
              <w:rPr>
                <w:lang w:val="fr-FR"/>
              </w:rPr>
              <w:t>: «</w:t>
            </w:r>
            <w:r>
              <w:rPr>
                <w:lang w:val="fr-FR"/>
              </w:rPr>
              <w:t> </w:t>
            </w:r>
            <w:r w:rsidRPr="00BF0050">
              <w:rPr>
                <w:lang w:val="fr-FR"/>
              </w:rPr>
              <w:t>Dégazage dans l’atmosphère</w:t>
            </w:r>
            <w:r>
              <w:rPr>
                <w:lang w:val="fr-FR"/>
              </w:rPr>
              <w:t> </w:t>
            </w:r>
            <w:r w:rsidRPr="00BF0050">
              <w:rPr>
                <w:lang w:val="fr-FR"/>
              </w:rPr>
              <w:t>».</w:t>
            </w:r>
          </w:p>
          <w:p w:rsidR="00BF0050" w:rsidRPr="00BF0050" w:rsidRDefault="00BF0050" w:rsidP="00BF0050">
            <w:pPr>
              <w:tabs>
                <w:tab w:val="left" w:pos="288"/>
                <w:tab w:val="left" w:pos="576"/>
                <w:tab w:val="left" w:pos="864"/>
                <w:tab w:val="left" w:pos="1152"/>
              </w:tabs>
              <w:suppressAutoHyphens/>
              <w:spacing w:before="40" w:after="80"/>
              <w:ind w:right="115"/>
              <w:rPr>
                <w:b/>
                <w:lang w:val="fr-FR"/>
              </w:rPr>
            </w:pPr>
            <w:r w:rsidRPr="00BF0050">
              <w:rPr>
                <w:b/>
                <w:lang w:val="fr-FR"/>
              </w:rPr>
              <w:t>Justification</w:t>
            </w:r>
          </w:p>
          <w:p w:rsidR="00BF0050" w:rsidRPr="00BF0050" w:rsidRDefault="00BF0050" w:rsidP="00BF0050">
            <w:pPr>
              <w:tabs>
                <w:tab w:val="left" w:pos="288"/>
                <w:tab w:val="left" w:pos="576"/>
                <w:tab w:val="left" w:pos="864"/>
                <w:tab w:val="left" w:pos="1152"/>
              </w:tabs>
              <w:suppressAutoHyphens/>
              <w:spacing w:before="40" w:after="80"/>
              <w:ind w:right="115"/>
              <w:rPr>
                <w:lang w:val="fr-FR"/>
              </w:rPr>
            </w:pPr>
            <w:r w:rsidRPr="00BF0050">
              <w:rPr>
                <w:lang w:val="fr-FR"/>
              </w:rPr>
              <w:t>Conformément aux principes adoptés, il est proposé de remplacer «</w:t>
            </w:r>
            <w:r w:rsidR="007046FD">
              <w:rPr>
                <w:lang w:val="fr-FR"/>
              </w:rPr>
              <w:t> </w:t>
            </w:r>
            <w:proofErr w:type="spellStart"/>
            <w:r w:rsidRPr="00BF0050">
              <w:rPr>
                <w:lang w:val="fr-FR"/>
              </w:rPr>
              <w:t>gas</w:t>
            </w:r>
            <w:proofErr w:type="spellEnd"/>
            <w:r w:rsidRPr="00BF0050">
              <w:rPr>
                <w:lang w:val="fr-FR"/>
              </w:rPr>
              <w:t xml:space="preserve"> </w:t>
            </w:r>
            <w:proofErr w:type="spellStart"/>
            <w:r w:rsidRPr="00BF0050">
              <w:rPr>
                <w:lang w:val="fr-FR"/>
              </w:rPr>
              <w:t>freeing</w:t>
            </w:r>
            <w:proofErr w:type="spellEnd"/>
            <w:r w:rsidR="007046FD">
              <w:rPr>
                <w:lang w:val="fr-FR"/>
              </w:rPr>
              <w:t> </w:t>
            </w:r>
            <w:r w:rsidRPr="00BF0050">
              <w:rPr>
                <w:lang w:val="fr-FR"/>
              </w:rPr>
              <w:t>» par «</w:t>
            </w:r>
            <w:r w:rsidR="007046FD">
              <w:rPr>
                <w:lang w:val="fr-FR"/>
              </w:rPr>
              <w:t> </w:t>
            </w:r>
            <w:proofErr w:type="spellStart"/>
            <w:r w:rsidRPr="00BF0050">
              <w:rPr>
                <w:lang w:val="fr-FR"/>
              </w:rPr>
              <w:t>degassing</w:t>
            </w:r>
            <w:proofErr w:type="spellEnd"/>
            <w:r w:rsidR="007046FD">
              <w:rPr>
                <w:lang w:val="fr-FR"/>
              </w:rPr>
              <w:t> </w:t>
            </w:r>
            <w:r w:rsidRPr="00BF0050">
              <w:rPr>
                <w:lang w:val="fr-FR"/>
              </w:rPr>
              <w:t xml:space="preserve">» dans la version anglaise. </w:t>
            </w:r>
          </w:p>
          <w:p w:rsidR="007C14C8" w:rsidRPr="007C14C8" w:rsidRDefault="00BF0050" w:rsidP="00743048">
            <w:pPr>
              <w:tabs>
                <w:tab w:val="left" w:pos="288"/>
                <w:tab w:val="left" w:pos="576"/>
                <w:tab w:val="left" w:pos="864"/>
                <w:tab w:val="left" w:pos="1152"/>
              </w:tabs>
              <w:suppressAutoHyphens/>
              <w:spacing w:before="40" w:after="80"/>
              <w:ind w:right="115"/>
              <w:rPr>
                <w:lang w:val="fr-FR"/>
              </w:rPr>
            </w:pPr>
            <w:r w:rsidRPr="00BF0050">
              <w:rPr>
                <w:lang w:val="fr-FR"/>
              </w:rPr>
              <w:t>Indépendamment de cette modification, l’ADN ne contient pas de définition de «</w:t>
            </w:r>
            <w:r w:rsidR="007046FD">
              <w:rPr>
                <w:lang w:val="fr-FR"/>
              </w:rPr>
              <w:t> </w:t>
            </w:r>
            <w:r w:rsidRPr="00BF0050">
              <w:rPr>
                <w:lang w:val="fr-FR"/>
              </w:rPr>
              <w:t>dégazage</w:t>
            </w:r>
            <w:r w:rsidR="007046FD">
              <w:rPr>
                <w:lang w:val="fr-FR"/>
              </w:rPr>
              <w:t> </w:t>
            </w:r>
            <w:r w:rsidRPr="00BF0050">
              <w:rPr>
                <w:lang w:val="fr-FR"/>
              </w:rPr>
              <w:t>». Or, cette expression est souvent employée dans la section 7.2.3.7 (Dégazage des citernes à cargaison vides).</w:t>
            </w:r>
          </w:p>
        </w:tc>
      </w:tr>
      <w:tr w:rsidR="00926623" w:rsidRPr="00771661" w:rsidTr="00022E93">
        <w:tc>
          <w:tcPr>
            <w:tcW w:w="1437" w:type="dxa"/>
            <w:shd w:val="clear" w:color="auto" w:fill="auto"/>
          </w:tcPr>
          <w:p w:rsidR="00926623" w:rsidRPr="007C14C8" w:rsidRDefault="00926623" w:rsidP="007C14C8">
            <w:pPr>
              <w:tabs>
                <w:tab w:val="left" w:pos="288"/>
                <w:tab w:val="left" w:pos="576"/>
                <w:tab w:val="left" w:pos="864"/>
                <w:tab w:val="left" w:pos="1152"/>
              </w:tabs>
              <w:suppressAutoHyphens/>
              <w:spacing w:before="40" w:after="80"/>
              <w:ind w:right="115"/>
              <w:rPr>
                <w:lang w:val="fr-FR"/>
              </w:rPr>
            </w:pPr>
          </w:p>
        </w:tc>
        <w:tc>
          <w:tcPr>
            <w:tcW w:w="6291" w:type="dxa"/>
            <w:shd w:val="clear" w:color="auto" w:fill="auto"/>
          </w:tcPr>
          <w:p w:rsidR="00A82724" w:rsidRDefault="00910435" w:rsidP="00A0063D">
            <w:pPr>
              <w:tabs>
                <w:tab w:val="left" w:pos="288"/>
                <w:tab w:val="left" w:pos="576"/>
                <w:tab w:val="left" w:pos="864"/>
                <w:tab w:val="left" w:pos="1152"/>
              </w:tabs>
              <w:suppressAutoHyphens/>
              <w:spacing w:before="40" w:after="80"/>
              <w:ind w:right="115"/>
              <w:rPr>
                <w:lang w:val="fr-FR"/>
              </w:rPr>
            </w:pPr>
            <w:r w:rsidRPr="00910435">
              <w:rPr>
                <w:b/>
                <w:lang w:val="fr-FR"/>
              </w:rPr>
              <w:t xml:space="preserve">Détecteur de gaz </w:t>
            </w:r>
            <w:r w:rsidRPr="00910435">
              <w:rPr>
                <w:b/>
                <w:strike/>
                <w:lang w:val="fr-FR"/>
              </w:rPr>
              <w:t>inflammables</w:t>
            </w:r>
            <w:r w:rsidR="00A82724" w:rsidRPr="00A82724">
              <w:rPr>
                <w:b/>
                <w:lang w:val="fr-FR"/>
              </w:rPr>
              <w:t> </w:t>
            </w:r>
            <w:r w:rsidRPr="00910435">
              <w:rPr>
                <w:lang w:val="fr-FR"/>
              </w:rPr>
              <w:t>: un appareil permettant de mesurer toute concentration significative de gaz inflammables provenant de la</w:t>
            </w:r>
            <w:r w:rsidR="00A0063D">
              <w:rPr>
                <w:lang w:val="fr-FR"/>
              </w:rPr>
              <w:t> </w:t>
            </w:r>
            <w:r w:rsidRPr="00910435">
              <w:rPr>
                <w:lang w:val="fr-FR"/>
              </w:rPr>
              <w:t xml:space="preserve">cargaison, sous la limite inférieure </w:t>
            </w:r>
            <w:r w:rsidRPr="00910435">
              <w:rPr>
                <w:strike/>
                <w:lang w:val="fr-FR"/>
              </w:rPr>
              <w:t>d’explosion</w:t>
            </w:r>
            <w:r w:rsidRPr="00910435">
              <w:rPr>
                <w:lang w:val="fr-FR"/>
              </w:rPr>
              <w:t xml:space="preserve"> </w:t>
            </w:r>
            <w:r w:rsidRPr="00910435">
              <w:rPr>
                <w:u w:val="single"/>
                <w:lang w:val="fr-FR"/>
              </w:rPr>
              <w:t>d’explosivité (LIE)</w:t>
            </w:r>
            <w:r w:rsidRPr="00910435">
              <w:rPr>
                <w:lang w:val="fr-FR"/>
              </w:rPr>
              <w:t>, et indiquant clairement la présence de concentrations supérieures. Les</w:t>
            </w:r>
            <w:r w:rsidR="00A0063D">
              <w:rPr>
                <w:lang w:val="fr-FR"/>
              </w:rPr>
              <w:t> </w:t>
            </w:r>
            <w:r w:rsidRPr="00910435">
              <w:rPr>
                <w:lang w:val="fr-FR"/>
              </w:rPr>
              <w:t xml:space="preserve">détecteurs de gaz </w:t>
            </w:r>
            <w:r w:rsidRPr="00910435">
              <w:rPr>
                <w:strike/>
                <w:lang w:val="fr-FR"/>
              </w:rPr>
              <w:t>inflammables</w:t>
            </w:r>
            <w:r w:rsidRPr="00910435">
              <w:rPr>
                <w:lang w:val="fr-FR"/>
              </w:rPr>
              <w:t xml:space="preserve"> peuvent être conçus en tant que détecteurs individuels ou bien en tant qu’appareils de mesures combinés pour la mesure de gaz inflammables et d’oxygène. </w:t>
            </w:r>
          </w:p>
          <w:p w:rsidR="00926623" w:rsidRPr="00910435" w:rsidRDefault="00910435" w:rsidP="00FF60DE">
            <w:pPr>
              <w:tabs>
                <w:tab w:val="left" w:pos="288"/>
                <w:tab w:val="left" w:pos="576"/>
                <w:tab w:val="left" w:pos="864"/>
                <w:tab w:val="left" w:pos="1152"/>
              </w:tabs>
              <w:suppressAutoHyphens/>
              <w:spacing w:before="40" w:after="80"/>
              <w:ind w:right="115"/>
              <w:rPr>
                <w:lang w:val="fr-FR"/>
              </w:rPr>
            </w:pPr>
            <w:r w:rsidRPr="00910435">
              <w:rPr>
                <w:lang w:val="fr-FR"/>
              </w:rPr>
              <w:t>Cet appareil doit être conçu de manière à ce que les mesures puissent également être effectuées sans qu’il soit nécessaire de pénétrer dans les</w:t>
            </w:r>
            <w:r w:rsidR="00FF60DE">
              <w:rPr>
                <w:lang w:val="fr-FR"/>
              </w:rPr>
              <w:t> </w:t>
            </w:r>
            <w:r w:rsidRPr="00910435">
              <w:rPr>
                <w:lang w:val="fr-FR"/>
              </w:rPr>
              <w:t>locaux à contrôler;</w:t>
            </w:r>
          </w:p>
        </w:tc>
        <w:tc>
          <w:tcPr>
            <w:tcW w:w="5454" w:type="dxa"/>
            <w:shd w:val="clear" w:color="auto" w:fill="auto"/>
          </w:tcPr>
          <w:p w:rsidR="00A0063D" w:rsidRDefault="00A0063D" w:rsidP="00A0063D">
            <w:pPr>
              <w:tabs>
                <w:tab w:val="left" w:pos="288"/>
                <w:tab w:val="left" w:pos="576"/>
                <w:tab w:val="left" w:pos="864"/>
                <w:tab w:val="left" w:pos="1152"/>
              </w:tabs>
              <w:suppressAutoHyphens/>
              <w:spacing w:before="40" w:after="80"/>
              <w:ind w:right="115"/>
              <w:rPr>
                <w:b/>
                <w:lang w:val="fr-FR"/>
              </w:rPr>
            </w:pPr>
            <w:r w:rsidRPr="00A0063D">
              <w:rPr>
                <w:b/>
                <w:lang w:val="fr-FR"/>
              </w:rPr>
              <w:t>Proposition</w:t>
            </w:r>
          </w:p>
          <w:p w:rsidR="00A0063D" w:rsidRPr="00A0063D" w:rsidRDefault="00A0063D" w:rsidP="00A0063D">
            <w:pPr>
              <w:tabs>
                <w:tab w:val="left" w:pos="288"/>
                <w:tab w:val="left" w:pos="576"/>
                <w:tab w:val="left" w:pos="864"/>
                <w:tab w:val="left" w:pos="1152"/>
              </w:tabs>
              <w:suppressAutoHyphens/>
              <w:spacing w:before="40" w:after="80"/>
              <w:ind w:right="115"/>
              <w:rPr>
                <w:lang w:val="fr-FR"/>
              </w:rPr>
            </w:pPr>
            <w:r w:rsidRPr="00A0063D">
              <w:rPr>
                <w:lang w:val="fr-FR"/>
              </w:rPr>
              <w:t>Supprimer «</w:t>
            </w:r>
            <w:r>
              <w:rPr>
                <w:lang w:val="fr-FR"/>
              </w:rPr>
              <w:t> </w:t>
            </w:r>
            <w:r w:rsidRPr="00A0063D">
              <w:rPr>
                <w:lang w:val="fr-FR"/>
              </w:rPr>
              <w:t>inflammables</w:t>
            </w:r>
            <w:r>
              <w:rPr>
                <w:lang w:val="fr-FR"/>
              </w:rPr>
              <w:t> </w:t>
            </w:r>
            <w:r w:rsidRPr="00A0063D">
              <w:rPr>
                <w:lang w:val="fr-FR"/>
              </w:rPr>
              <w:t>» dans l’intitulé de la définition.</w:t>
            </w:r>
          </w:p>
          <w:p w:rsidR="00A0063D" w:rsidRPr="00A0063D" w:rsidRDefault="00A0063D" w:rsidP="00A0063D">
            <w:pPr>
              <w:tabs>
                <w:tab w:val="left" w:pos="288"/>
                <w:tab w:val="left" w:pos="576"/>
                <w:tab w:val="left" w:pos="864"/>
                <w:tab w:val="left" w:pos="1152"/>
              </w:tabs>
              <w:suppressAutoHyphens/>
              <w:spacing w:before="40" w:after="80"/>
              <w:ind w:right="115"/>
              <w:rPr>
                <w:b/>
                <w:lang w:val="fr-FR"/>
              </w:rPr>
            </w:pPr>
            <w:r w:rsidRPr="00A0063D">
              <w:rPr>
                <w:b/>
                <w:lang w:val="fr-FR"/>
              </w:rPr>
              <w:t>Justification</w:t>
            </w:r>
          </w:p>
          <w:p w:rsidR="00926623" w:rsidRPr="00BF0050" w:rsidRDefault="00A0063D" w:rsidP="00A0063D">
            <w:pPr>
              <w:tabs>
                <w:tab w:val="left" w:pos="288"/>
                <w:tab w:val="left" w:pos="576"/>
                <w:tab w:val="left" w:pos="864"/>
                <w:tab w:val="left" w:pos="1152"/>
              </w:tabs>
              <w:suppressAutoHyphens/>
              <w:spacing w:before="40" w:after="80"/>
              <w:ind w:right="115"/>
              <w:rPr>
                <w:b/>
                <w:lang w:val="fr-FR"/>
              </w:rPr>
            </w:pPr>
            <w:r w:rsidRPr="00A0063D">
              <w:rPr>
                <w:lang w:val="fr-FR"/>
              </w:rPr>
              <w:t>Les détecteurs de gaz inflammables peuvent être conçus pour mesurer à la fois les gaz inflammables et l’oxygène.</w:t>
            </w:r>
          </w:p>
        </w:tc>
      </w:tr>
      <w:tr w:rsidR="00926623" w:rsidRPr="00771661" w:rsidTr="00022E93">
        <w:tc>
          <w:tcPr>
            <w:tcW w:w="1437" w:type="dxa"/>
            <w:shd w:val="clear" w:color="auto" w:fill="auto"/>
          </w:tcPr>
          <w:p w:rsidR="00926623" w:rsidRPr="007C14C8" w:rsidRDefault="00926623" w:rsidP="007C14C8">
            <w:pPr>
              <w:tabs>
                <w:tab w:val="left" w:pos="288"/>
                <w:tab w:val="left" w:pos="576"/>
                <w:tab w:val="left" w:pos="864"/>
                <w:tab w:val="left" w:pos="1152"/>
              </w:tabs>
              <w:suppressAutoHyphens/>
              <w:spacing w:before="40" w:after="80"/>
              <w:ind w:right="115"/>
              <w:rPr>
                <w:lang w:val="fr-FR"/>
              </w:rPr>
            </w:pPr>
          </w:p>
        </w:tc>
        <w:tc>
          <w:tcPr>
            <w:tcW w:w="6291" w:type="dxa"/>
            <w:shd w:val="clear" w:color="auto" w:fill="auto"/>
          </w:tcPr>
          <w:p w:rsidR="00926623" w:rsidRPr="00AB201F" w:rsidRDefault="00A82724" w:rsidP="00DE0813">
            <w:pPr>
              <w:tabs>
                <w:tab w:val="left" w:pos="288"/>
                <w:tab w:val="left" w:pos="576"/>
                <w:tab w:val="left" w:pos="864"/>
                <w:tab w:val="left" w:pos="1152"/>
              </w:tabs>
              <w:suppressAutoHyphens/>
              <w:spacing w:before="40" w:after="80"/>
              <w:ind w:right="115"/>
              <w:rPr>
                <w:b/>
                <w:u w:val="single"/>
                <w:lang w:val="fr-FR"/>
              </w:rPr>
            </w:pPr>
            <w:r w:rsidRPr="007B1E03">
              <w:rPr>
                <w:b/>
                <w:lang w:val="fr-FR"/>
              </w:rPr>
              <w:t>Installation de détection de gaz</w:t>
            </w:r>
            <w:r>
              <w:rPr>
                <w:b/>
                <w:lang w:val="fr-FR"/>
              </w:rPr>
              <w:t> </w:t>
            </w:r>
            <w:r w:rsidRPr="007B1E03">
              <w:rPr>
                <w:b/>
                <w:lang w:val="fr-FR"/>
              </w:rPr>
              <w:t xml:space="preserve">: </w:t>
            </w:r>
            <w:r w:rsidRPr="007B1E03">
              <w:rPr>
                <w:lang w:val="fr-FR"/>
              </w:rPr>
              <w:t>une installation fixe permettant de</w:t>
            </w:r>
            <w:r w:rsidR="00DE0813">
              <w:rPr>
                <w:lang w:val="fr-FR"/>
              </w:rPr>
              <w:t xml:space="preserve"> </w:t>
            </w:r>
            <w:r w:rsidRPr="007B1E03">
              <w:rPr>
                <w:lang w:val="fr-FR"/>
              </w:rPr>
              <w:t>détecter à temps les concentrations significatives de gaz inflammables provenant de la cargaison, et ce sous la limite inférieure d’explosivité, et pouvant déclencher une alarme;</w:t>
            </w:r>
          </w:p>
        </w:tc>
        <w:tc>
          <w:tcPr>
            <w:tcW w:w="5454" w:type="dxa"/>
            <w:shd w:val="clear" w:color="auto" w:fill="auto"/>
          </w:tcPr>
          <w:p w:rsidR="00926623" w:rsidRPr="00BF0050" w:rsidRDefault="00926623" w:rsidP="00BF0050">
            <w:pPr>
              <w:tabs>
                <w:tab w:val="left" w:pos="288"/>
                <w:tab w:val="left" w:pos="576"/>
                <w:tab w:val="left" w:pos="864"/>
                <w:tab w:val="left" w:pos="1152"/>
              </w:tabs>
              <w:suppressAutoHyphens/>
              <w:spacing w:before="40" w:after="80"/>
              <w:ind w:right="115"/>
              <w:rPr>
                <w:b/>
                <w:lang w:val="fr-FR"/>
              </w:rPr>
            </w:pPr>
          </w:p>
        </w:tc>
      </w:tr>
      <w:tr w:rsidR="00926623" w:rsidRPr="00771661" w:rsidTr="00022E93">
        <w:tc>
          <w:tcPr>
            <w:tcW w:w="1437" w:type="dxa"/>
            <w:shd w:val="clear" w:color="auto" w:fill="auto"/>
          </w:tcPr>
          <w:p w:rsidR="00926623" w:rsidRPr="007C14C8" w:rsidRDefault="00926623" w:rsidP="007C14C8">
            <w:pPr>
              <w:tabs>
                <w:tab w:val="left" w:pos="288"/>
                <w:tab w:val="left" w:pos="576"/>
                <w:tab w:val="left" w:pos="864"/>
                <w:tab w:val="left" w:pos="1152"/>
              </w:tabs>
              <w:suppressAutoHyphens/>
              <w:spacing w:before="40" w:after="80"/>
              <w:ind w:right="115"/>
              <w:rPr>
                <w:lang w:val="fr-FR"/>
              </w:rPr>
            </w:pPr>
          </w:p>
        </w:tc>
        <w:tc>
          <w:tcPr>
            <w:tcW w:w="6291" w:type="dxa"/>
            <w:shd w:val="clear" w:color="auto" w:fill="auto"/>
          </w:tcPr>
          <w:p w:rsidR="00926623" w:rsidRPr="00AB201F" w:rsidRDefault="00A82724" w:rsidP="00DE0813">
            <w:pPr>
              <w:tabs>
                <w:tab w:val="left" w:pos="288"/>
                <w:tab w:val="left" w:pos="576"/>
                <w:tab w:val="left" w:pos="864"/>
                <w:tab w:val="left" w:pos="1152"/>
              </w:tabs>
              <w:suppressAutoHyphens/>
              <w:spacing w:before="40" w:after="80"/>
              <w:ind w:right="115"/>
              <w:rPr>
                <w:b/>
                <w:u w:val="single"/>
                <w:lang w:val="fr-FR"/>
              </w:rPr>
            </w:pPr>
            <w:r w:rsidRPr="007B1E03">
              <w:rPr>
                <w:b/>
                <w:u w:val="single"/>
                <w:lang w:val="fr-FR"/>
              </w:rPr>
              <w:t>Limite inférieure d’explosivité (LIE)</w:t>
            </w:r>
            <w:r w:rsidRPr="00D2248F">
              <w:rPr>
                <w:u w:val="single"/>
                <w:lang w:val="fr-FR"/>
              </w:rPr>
              <w:t> :</w:t>
            </w:r>
            <w:r w:rsidRPr="007B1E03">
              <w:rPr>
                <w:b/>
                <w:u w:val="single"/>
                <w:lang w:val="fr-FR"/>
              </w:rPr>
              <w:t xml:space="preserve"> </w:t>
            </w:r>
            <w:r w:rsidRPr="007B1E03">
              <w:rPr>
                <w:u w:val="single"/>
                <w:lang w:val="fr-FR"/>
              </w:rPr>
              <w:t>la concentration</w:t>
            </w:r>
            <w:r>
              <w:rPr>
                <w:u w:val="single"/>
                <w:lang w:val="fr-FR"/>
              </w:rPr>
              <w:t xml:space="preserve"> </w:t>
            </w:r>
            <w:r w:rsidR="0010384F">
              <w:rPr>
                <w:u w:val="single"/>
                <w:lang w:val="fr-FR"/>
              </w:rPr>
              <w:br/>
            </w:r>
            <w:r w:rsidRPr="007B1E03">
              <w:rPr>
                <w:u w:val="single"/>
                <w:lang w:val="fr-FR"/>
              </w:rPr>
              <w:t xml:space="preserve">(en pourcentage) la plus faible de gaz dans l’air susceptible </w:t>
            </w:r>
            <w:r w:rsidR="0010384F">
              <w:rPr>
                <w:u w:val="single"/>
                <w:lang w:val="fr-FR"/>
              </w:rPr>
              <w:br/>
            </w:r>
            <w:r w:rsidRPr="007B1E03">
              <w:rPr>
                <w:u w:val="single"/>
                <w:lang w:val="fr-FR"/>
              </w:rPr>
              <w:t xml:space="preserve">de produire une gerbe de feu en présence </w:t>
            </w:r>
            <w:r w:rsidR="0010384F">
              <w:rPr>
                <w:u w:val="single"/>
                <w:lang w:val="fr-FR"/>
              </w:rPr>
              <w:br/>
            </w:r>
            <w:r w:rsidRPr="007B1E03">
              <w:rPr>
                <w:u w:val="single"/>
                <w:lang w:val="fr-FR"/>
              </w:rPr>
              <w:t>d’une source d’inflammation</w:t>
            </w:r>
            <w:r w:rsidRPr="00D229B5">
              <w:rPr>
                <w:lang w:val="fr-FR"/>
              </w:rPr>
              <w:t>;</w:t>
            </w:r>
          </w:p>
        </w:tc>
        <w:tc>
          <w:tcPr>
            <w:tcW w:w="5454" w:type="dxa"/>
            <w:shd w:val="clear" w:color="auto" w:fill="auto"/>
          </w:tcPr>
          <w:p w:rsidR="008A4631" w:rsidRPr="008A4631" w:rsidRDefault="008A4631" w:rsidP="008A4631">
            <w:pPr>
              <w:tabs>
                <w:tab w:val="left" w:pos="288"/>
                <w:tab w:val="left" w:pos="576"/>
                <w:tab w:val="left" w:pos="864"/>
                <w:tab w:val="left" w:pos="1152"/>
              </w:tabs>
              <w:suppressAutoHyphens/>
              <w:spacing w:before="40" w:after="80"/>
              <w:ind w:right="115"/>
              <w:rPr>
                <w:b/>
                <w:lang w:val="fr-FR"/>
              </w:rPr>
            </w:pPr>
            <w:r w:rsidRPr="008A4631">
              <w:rPr>
                <w:b/>
                <w:lang w:val="fr-FR"/>
              </w:rPr>
              <w:t>Proposition</w:t>
            </w:r>
          </w:p>
          <w:p w:rsidR="008A4631" w:rsidRPr="008A4631" w:rsidRDefault="008A4631" w:rsidP="008A4631">
            <w:pPr>
              <w:tabs>
                <w:tab w:val="left" w:pos="288"/>
                <w:tab w:val="left" w:pos="576"/>
                <w:tab w:val="left" w:pos="864"/>
                <w:tab w:val="left" w:pos="1152"/>
              </w:tabs>
              <w:suppressAutoHyphens/>
              <w:spacing w:before="40" w:after="80"/>
              <w:ind w:right="115"/>
              <w:rPr>
                <w:lang w:val="fr-FR"/>
              </w:rPr>
            </w:pPr>
            <w:r w:rsidRPr="008A4631">
              <w:rPr>
                <w:lang w:val="fr-FR"/>
              </w:rPr>
              <w:t>Ajouter une nouvelle définition</w:t>
            </w:r>
            <w:r>
              <w:rPr>
                <w:lang w:val="fr-FR"/>
              </w:rPr>
              <w:t> </w:t>
            </w:r>
            <w:r w:rsidRPr="008A4631">
              <w:rPr>
                <w:lang w:val="fr-FR"/>
              </w:rPr>
              <w:t>: «</w:t>
            </w:r>
            <w:r>
              <w:rPr>
                <w:lang w:val="fr-FR"/>
              </w:rPr>
              <w:t> </w:t>
            </w:r>
            <w:r w:rsidRPr="008A4631">
              <w:rPr>
                <w:lang w:val="fr-FR"/>
              </w:rPr>
              <w:t>Limite inférieure d’explosivité</w:t>
            </w:r>
            <w:r>
              <w:rPr>
                <w:lang w:val="fr-FR"/>
              </w:rPr>
              <w:t> </w:t>
            </w:r>
            <w:r w:rsidRPr="008A4631">
              <w:rPr>
                <w:lang w:val="fr-FR"/>
              </w:rPr>
              <w:t>».</w:t>
            </w:r>
          </w:p>
          <w:p w:rsidR="008A4631" w:rsidRPr="008A4631" w:rsidRDefault="008A4631" w:rsidP="008A4631">
            <w:pPr>
              <w:tabs>
                <w:tab w:val="left" w:pos="288"/>
                <w:tab w:val="left" w:pos="576"/>
                <w:tab w:val="left" w:pos="864"/>
                <w:tab w:val="left" w:pos="1152"/>
              </w:tabs>
              <w:suppressAutoHyphens/>
              <w:spacing w:before="40" w:after="80"/>
              <w:ind w:right="115"/>
              <w:rPr>
                <w:b/>
                <w:lang w:val="fr-FR"/>
              </w:rPr>
            </w:pPr>
            <w:r w:rsidRPr="008A4631">
              <w:rPr>
                <w:b/>
                <w:lang w:val="fr-FR"/>
              </w:rPr>
              <w:t>Justification</w:t>
            </w:r>
          </w:p>
          <w:p w:rsidR="00926623" w:rsidRPr="008A4631" w:rsidRDefault="008A4631" w:rsidP="00DE0813">
            <w:pPr>
              <w:tabs>
                <w:tab w:val="left" w:pos="288"/>
                <w:tab w:val="left" w:pos="576"/>
                <w:tab w:val="left" w:pos="864"/>
                <w:tab w:val="left" w:pos="1152"/>
              </w:tabs>
              <w:suppressAutoHyphens/>
              <w:spacing w:before="40" w:after="80"/>
              <w:ind w:right="115"/>
              <w:rPr>
                <w:lang w:val="fr-FR"/>
              </w:rPr>
            </w:pPr>
            <w:r w:rsidRPr="008A4631">
              <w:rPr>
                <w:lang w:val="fr-FR"/>
              </w:rPr>
              <w:t>Cette expression est souvent utilisée dans l’ADN mais elle</w:t>
            </w:r>
            <w:r w:rsidR="00DE0813">
              <w:rPr>
                <w:lang w:val="fr-FR"/>
              </w:rPr>
              <w:t> </w:t>
            </w:r>
            <w:r w:rsidRPr="008A4631">
              <w:rPr>
                <w:lang w:val="fr-FR"/>
              </w:rPr>
              <w:t>n’est pas définie dans la section 1.2.1.</w:t>
            </w:r>
          </w:p>
        </w:tc>
      </w:tr>
      <w:tr w:rsidR="008A4631" w:rsidRPr="00771661" w:rsidTr="00022E93">
        <w:tc>
          <w:tcPr>
            <w:tcW w:w="1437" w:type="dxa"/>
            <w:shd w:val="clear" w:color="auto" w:fill="auto"/>
          </w:tcPr>
          <w:p w:rsidR="008A4631" w:rsidRPr="007C14C8" w:rsidRDefault="008A4631" w:rsidP="007C14C8">
            <w:pPr>
              <w:tabs>
                <w:tab w:val="left" w:pos="288"/>
                <w:tab w:val="left" w:pos="576"/>
                <w:tab w:val="left" w:pos="864"/>
                <w:tab w:val="left" w:pos="1152"/>
              </w:tabs>
              <w:suppressAutoHyphens/>
              <w:spacing w:before="40" w:after="80"/>
              <w:ind w:right="115"/>
              <w:rPr>
                <w:lang w:val="fr-FR"/>
              </w:rPr>
            </w:pPr>
          </w:p>
        </w:tc>
        <w:tc>
          <w:tcPr>
            <w:tcW w:w="6291" w:type="dxa"/>
            <w:shd w:val="clear" w:color="auto" w:fill="auto"/>
          </w:tcPr>
          <w:p w:rsidR="008A4631" w:rsidRPr="00126DB0" w:rsidRDefault="003854A0" w:rsidP="00472198">
            <w:pPr>
              <w:tabs>
                <w:tab w:val="left" w:pos="288"/>
                <w:tab w:val="left" w:pos="576"/>
                <w:tab w:val="left" w:pos="864"/>
                <w:tab w:val="left" w:pos="1152"/>
              </w:tabs>
              <w:suppressAutoHyphens/>
              <w:spacing w:before="40" w:after="80"/>
              <w:ind w:right="115"/>
              <w:rPr>
                <w:lang w:val="fr-FR"/>
              </w:rPr>
            </w:pPr>
            <w:proofErr w:type="spellStart"/>
            <w:r w:rsidRPr="00126DB0">
              <w:rPr>
                <w:b/>
                <w:lang w:val="fr-FR"/>
              </w:rPr>
              <w:t>Toximètre</w:t>
            </w:r>
            <w:proofErr w:type="spellEnd"/>
            <w:r w:rsidR="00126DB0">
              <w:rPr>
                <w:lang w:val="fr-FR"/>
              </w:rPr>
              <w:t> </w:t>
            </w:r>
            <w:r w:rsidRPr="00126DB0">
              <w:rPr>
                <w:lang w:val="fr-FR"/>
              </w:rPr>
              <w:t>: un appareil permettant de mesurer toute concentration significative de gaz toxiques dégagés par la cargaison. Cet appareil doit être conçu de manière à ce que les mesures puissent également être effectuées sans qu’il soit nécessaire de pénétrer dans les locaux à</w:t>
            </w:r>
            <w:r w:rsidR="00472198">
              <w:rPr>
                <w:lang w:val="fr-FR"/>
              </w:rPr>
              <w:t> </w:t>
            </w:r>
            <w:r w:rsidRPr="00126DB0">
              <w:rPr>
                <w:lang w:val="fr-FR"/>
              </w:rPr>
              <w:t>contrôler;</w:t>
            </w:r>
          </w:p>
        </w:tc>
        <w:tc>
          <w:tcPr>
            <w:tcW w:w="5454" w:type="dxa"/>
            <w:shd w:val="clear" w:color="auto" w:fill="auto"/>
          </w:tcPr>
          <w:p w:rsidR="00D633CE" w:rsidRPr="0074713F" w:rsidRDefault="00D633CE" w:rsidP="00D633CE">
            <w:pPr>
              <w:tabs>
                <w:tab w:val="left" w:pos="288"/>
                <w:tab w:val="left" w:pos="576"/>
                <w:tab w:val="left" w:pos="864"/>
                <w:tab w:val="left" w:pos="1152"/>
              </w:tabs>
              <w:suppressAutoHyphens/>
              <w:spacing w:before="40" w:after="80"/>
              <w:ind w:right="115"/>
              <w:rPr>
                <w:b/>
                <w:lang w:val="en-GB"/>
              </w:rPr>
            </w:pPr>
            <w:r w:rsidRPr="0074713F">
              <w:rPr>
                <w:b/>
                <w:lang w:val="en-GB"/>
              </w:rPr>
              <w:t>Proposition</w:t>
            </w:r>
          </w:p>
          <w:p w:rsidR="00D633CE" w:rsidRPr="0074713F" w:rsidRDefault="00D633CE" w:rsidP="00D633CE">
            <w:pPr>
              <w:tabs>
                <w:tab w:val="left" w:pos="288"/>
                <w:tab w:val="left" w:pos="576"/>
                <w:tab w:val="left" w:pos="864"/>
                <w:tab w:val="left" w:pos="1152"/>
              </w:tabs>
              <w:suppressAutoHyphens/>
              <w:spacing w:before="40" w:after="80"/>
              <w:ind w:right="115"/>
              <w:rPr>
                <w:lang w:val="en-GB"/>
              </w:rPr>
            </w:pPr>
            <w:proofErr w:type="spellStart"/>
            <w:r w:rsidRPr="0074713F">
              <w:rPr>
                <w:lang w:val="en-GB"/>
              </w:rPr>
              <w:t>Ajouter</w:t>
            </w:r>
            <w:proofErr w:type="spellEnd"/>
            <w:r w:rsidRPr="0074713F">
              <w:rPr>
                <w:lang w:val="en-GB"/>
              </w:rPr>
              <w:t xml:space="preserve"> « </w:t>
            </w:r>
            <w:r w:rsidRPr="0074713F">
              <w:rPr>
                <w:i/>
                <w:lang w:val="en-GB"/>
              </w:rPr>
              <w:t>This device shall be so designed that measurements are possible without the necessity of entering the spaces to be checked.</w:t>
            </w:r>
            <w:r w:rsidRPr="0074713F">
              <w:rPr>
                <w:lang w:val="en-GB"/>
              </w:rPr>
              <w:t xml:space="preserve"> » </w:t>
            </w:r>
            <w:proofErr w:type="spellStart"/>
            <w:r w:rsidRPr="0074713F">
              <w:rPr>
                <w:lang w:val="en-GB"/>
              </w:rPr>
              <w:t>dans</w:t>
            </w:r>
            <w:proofErr w:type="spellEnd"/>
            <w:r w:rsidRPr="0074713F">
              <w:rPr>
                <w:lang w:val="en-GB"/>
              </w:rPr>
              <w:t xml:space="preserve"> la version </w:t>
            </w:r>
            <w:proofErr w:type="spellStart"/>
            <w:r w:rsidRPr="0074713F">
              <w:rPr>
                <w:lang w:val="en-GB"/>
              </w:rPr>
              <w:t>anglaise</w:t>
            </w:r>
            <w:proofErr w:type="spellEnd"/>
            <w:r w:rsidRPr="0074713F">
              <w:rPr>
                <w:lang w:val="en-GB"/>
              </w:rPr>
              <w:t>.</w:t>
            </w:r>
          </w:p>
          <w:p w:rsidR="00D633CE" w:rsidRPr="00D633CE" w:rsidRDefault="00D633CE" w:rsidP="00D633CE">
            <w:pPr>
              <w:tabs>
                <w:tab w:val="left" w:pos="288"/>
                <w:tab w:val="left" w:pos="576"/>
                <w:tab w:val="left" w:pos="864"/>
                <w:tab w:val="left" w:pos="1152"/>
              </w:tabs>
              <w:suppressAutoHyphens/>
              <w:spacing w:before="40" w:after="80"/>
              <w:ind w:right="115"/>
              <w:rPr>
                <w:b/>
                <w:lang w:val="fr-FR"/>
              </w:rPr>
            </w:pPr>
            <w:r w:rsidRPr="00D633CE">
              <w:rPr>
                <w:b/>
                <w:lang w:val="fr-FR"/>
              </w:rPr>
              <w:t>Justification</w:t>
            </w:r>
          </w:p>
          <w:p w:rsidR="008A4631" w:rsidRPr="008A4631" w:rsidRDefault="00D633CE" w:rsidP="004D00C0">
            <w:pPr>
              <w:tabs>
                <w:tab w:val="left" w:pos="288"/>
                <w:tab w:val="left" w:pos="576"/>
                <w:tab w:val="left" w:pos="864"/>
                <w:tab w:val="left" w:pos="1152"/>
              </w:tabs>
              <w:suppressAutoHyphens/>
              <w:spacing w:before="40" w:after="80"/>
              <w:ind w:right="115"/>
              <w:rPr>
                <w:b/>
                <w:lang w:val="fr-FR"/>
              </w:rPr>
            </w:pPr>
            <w:r w:rsidRPr="007B1E03">
              <w:rPr>
                <w:lang w:val="fr-FR"/>
              </w:rPr>
              <w:t xml:space="preserve">Cette phrase figure déjà dans les versions allemande </w:t>
            </w:r>
            <w:r w:rsidR="004D00C0">
              <w:rPr>
                <w:lang w:val="fr-FR"/>
              </w:rPr>
              <w:br/>
            </w:r>
            <w:r w:rsidRPr="007B1E03">
              <w:rPr>
                <w:lang w:val="fr-FR"/>
              </w:rPr>
              <w:t xml:space="preserve">et française de l’ADN 2015 mais est absente </w:t>
            </w:r>
            <w:r w:rsidR="004D00C0">
              <w:rPr>
                <w:lang w:val="fr-FR"/>
              </w:rPr>
              <w:br/>
            </w:r>
            <w:r w:rsidRPr="007B1E03">
              <w:rPr>
                <w:lang w:val="fr-FR"/>
              </w:rPr>
              <w:t>de la version anglaise.</w:t>
            </w:r>
          </w:p>
        </w:tc>
      </w:tr>
      <w:tr w:rsidR="009F3B80" w:rsidRPr="00771661" w:rsidTr="00022E93">
        <w:tc>
          <w:tcPr>
            <w:tcW w:w="13182" w:type="dxa"/>
            <w:gridSpan w:val="3"/>
            <w:shd w:val="clear" w:color="auto" w:fill="auto"/>
          </w:tcPr>
          <w:p w:rsidR="009F3B80" w:rsidRPr="008A4631" w:rsidRDefault="009F3B80" w:rsidP="00DA0044">
            <w:pPr>
              <w:keepNext/>
              <w:tabs>
                <w:tab w:val="left" w:pos="288"/>
                <w:tab w:val="left" w:pos="576"/>
                <w:tab w:val="left" w:pos="864"/>
                <w:tab w:val="left" w:pos="1152"/>
              </w:tabs>
              <w:suppressAutoHyphens/>
              <w:spacing w:before="40" w:after="80"/>
              <w:ind w:right="115"/>
              <w:rPr>
                <w:b/>
                <w:lang w:val="fr-FR"/>
              </w:rPr>
            </w:pPr>
            <w:r w:rsidRPr="009F3B80">
              <w:rPr>
                <w:b/>
                <w:bCs/>
                <w:iCs/>
                <w:lang w:val="fr-FR"/>
              </w:rPr>
              <w:t>7.1.3.1 Accès aux cales, espaces de double coque et doubles fonds; contrôles</w:t>
            </w:r>
          </w:p>
        </w:tc>
      </w:tr>
      <w:tr w:rsidR="008A4631" w:rsidRPr="00771661" w:rsidTr="00022E93">
        <w:tc>
          <w:tcPr>
            <w:tcW w:w="1437" w:type="dxa"/>
            <w:shd w:val="clear" w:color="auto" w:fill="auto"/>
          </w:tcPr>
          <w:p w:rsidR="008A4631" w:rsidRPr="007C14C8" w:rsidRDefault="00132799" w:rsidP="0028007B">
            <w:pPr>
              <w:keepNext/>
              <w:tabs>
                <w:tab w:val="left" w:pos="288"/>
                <w:tab w:val="left" w:pos="576"/>
                <w:tab w:val="left" w:pos="864"/>
                <w:tab w:val="left" w:pos="1152"/>
              </w:tabs>
              <w:suppressAutoHyphens/>
              <w:spacing w:before="40" w:after="80"/>
              <w:ind w:right="115"/>
              <w:rPr>
                <w:lang w:val="fr-FR"/>
              </w:rPr>
            </w:pPr>
            <w:r>
              <w:rPr>
                <w:lang w:val="fr-FR"/>
              </w:rPr>
              <w:t>7.1.3.1.</w:t>
            </w:r>
            <w:r w:rsidR="00DA0044" w:rsidRPr="00DA0044">
              <w:rPr>
                <w:lang w:val="fr-FR"/>
              </w:rPr>
              <w:t>4</w:t>
            </w:r>
            <w:r w:rsidR="0028007B">
              <w:rPr>
                <w:lang w:val="fr-FR"/>
              </w:rPr>
              <w:t xml:space="preserve"> </w:t>
            </w:r>
            <w:r w:rsidR="00DA0044" w:rsidRPr="00DA0044">
              <w:rPr>
                <w:lang w:val="fr-FR"/>
              </w:rPr>
              <w:t>(actuel 7.1.3.1.7)</w:t>
            </w:r>
          </w:p>
        </w:tc>
        <w:tc>
          <w:tcPr>
            <w:tcW w:w="6291" w:type="dxa"/>
            <w:shd w:val="clear" w:color="auto" w:fill="auto"/>
          </w:tcPr>
          <w:p w:rsidR="00DA0044" w:rsidRPr="00DA0044" w:rsidRDefault="00DA0044" w:rsidP="00DA0044">
            <w:pPr>
              <w:keepNext/>
              <w:tabs>
                <w:tab w:val="left" w:pos="288"/>
                <w:tab w:val="left" w:pos="576"/>
                <w:tab w:val="left" w:pos="864"/>
                <w:tab w:val="left" w:pos="1152"/>
              </w:tabs>
              <w:suppressAutoHyphens/>
              <w:spacing w:before="40" w:after="80"/>
              <w:ind w:right="115"/>
              <w:rPr>
                <w:b/>
                <w:u w:val="single"/>
                <w:lang w:val="fr-FR"/>
              </w:rPr>
            </w:pPr>
            <w:r w:rsidRPr="00DA0044">
              <w:rPr>
                <w:b/>
                <w:u w:val="single"/>
                <w:lang w:val="fr-FR"/>
              </w:rPr>
              <w:t>Transport de marchandises en vrac ou sans emballage</w:t>
            </w:r>
          </w:p>
          <w:p w:rsidR="00DA0044" w:rsidRPr="00DA0044" w:rsidRDefault="00DA0044" w:rsidP="00F60883">
            <w:pPr>
              <w:keepNext/>
              <w:tabs>
                <w:tab w:val="left" w:pos="288"/>
                <w:tab w:val="left" w:pos="576"/>
                <w:tab w:val="left" w:pos="864"/>
                <w:tab w:val="left" w:pos="1152"/>
              </w:tabs>
              <w:suppressAutoHyphens/>
              <w:spacing w:before="40" w:after="80" w:line="220" w:lineRule="exact"/>
              <w:ind w:right="115"/>
              <w:rPr>
                <w:lang w:val="fr-FR"/>
              </w:rPr>
            </w:pPr>
            <w:r w:rsidRPr="00DA0044">
              <w:rPr>
                <w:lang w:val="fr-FR"/>
              </w:rPr>
              <w:t xml:space="preserve">En cas de transport de marchandises dangereuses en vrac ou sans emballage, l’entrée dans les cales ainsi que l’entrée dans les espaces </w:t>
            </w:r>
            <w:r w:rsidR="00696DD4">
              <w:rPr>
                <w:lang w:val="fr-FR"/>
              </w:rPr>
              <w:br/>
            </w:r>
            <w:r w:rsidRPr="00DA0044">
              <w:rPr>
                <w:lang w:val="fr-FR"/>
              </w:rPr>
              <w:t>de double coque et les doubles fonds n’est autorisée que</w:t>
            </w:r>
            <w:r>
              <w:rPr>
                <w:lang w:val="fr-FR"/>
              </w:rPr>
              <w:t> </w:t>
            </w:r>
            <w:r w:rsidRPr="00DA0044">
              <w:rPr>
                <w:lang w:val="fr-FR"/>
              </w:rPr>
              <w:t>:</w:t>
            </w:r>
          </w:p>
          <w:p w:rsidR="00DA0044" w:rsidRPr="00DA0044" w:rsidRDefault="00DA0044" w:rsidP="00F60883">
            <w:pPr>
              <w:keepNext/>
              <w:tabs>
                <w:tab w:val="left" w:pos="288"/>
                <w:tab w:val="left" w:pos="576"/>
                <w:tab w:val="left" w:pos="864"/>
                <w:tab w:val="left" w:pos="1152"/>
              </w:tabs>
              <w:suppressAutoHyphens/>
              <w:spacing w:before="40" w:after="80" w:line="220" w:lineRule="exact"/>
              <w:ind w:right="115"/>
              <w:rPr>
                <w:u w:val="single"/>
                <w:lang w:val="fr-FR"/>
              </w:rPr>
            </w:pPr>
            <w:r>
              <w:rPr>
                <w:lang w:val="fr-FR"/>
              </w:rPr>
              <w:t>–</w:t>
            </w:r>
            <w:r w:rsidRPr="00DA0044">
              <w:rPr>
                <w:lang w:val="fr-FR"/>
              </w:rPr>
              <w:t xml:space="preserve"> si </w:t>
            </w:r>
            <w:r w:rsidRPr="00DA0044">
              <w:rPr>
                <w:u w:val="single"/>
                <w:lang w:val="fr-FR"/>
              </w:rPr>
              <w:t>la concentration de gaz inflammables dans la cale, l’espace de</w:t>
            </w:r>
            <w:r w:rsidR="00696DD4">
              <w:rPr>
                <w:u w:val="single"/>
                <w:lang w:val="fr-FR"/>
              </w:rPr>
              <w:t> </w:t>
            </w:r>
            <w:r w:rsidRPr="00DA0044">
              <w:rPr>
                <w:u w:val="single"/>
                <w:lang w:val="fr-FR"/>
              </w:rPr>
              <w:t>double coque ou le double fond est inférieure à 10</w:t>
            </w:r>
            <w:r>
              <w:rPr>
                <w:u w:val="single"/>
                <w:lang w:val="fr-FR"/>
              </w:rPr>
              <w:t> </w:t>
            </w:r>
            <w:r w:rsidRPr="00DA0044">
              <w:rPr>
                <w:u w:val="single"/>
                <w:lang w:val="fr-FR"/>
              </w:rPr>
              <w:t>% de la LIE, la</w:t>
            </w:r>
            <w:r w:rsidR="00696DD4">
              <w:rPr>
                <w:u w:val="single"/>
                <w:lang w:val="fr-FR"/>
              </w:rPr>
              <w:t> </w:t>
            </w:r>
            <w:r w:rsidRPr="00DA0044">
              <w:rPr>
                <w:u w:val="single"/>
                <w:lang w:val="fr-FR"/>
              </w:rPr>
              <w:t xml:space="preserve">concentration de gaz toxiques n’est pas significative et la teneur </w:t>
            </w:r>
            <w:r w:rsidR="00696DD4">
              <w:rPr>
                <w:u w:val="single"/>
                <w:lang w:val="fr-FR"/>
              </w:rPr>
              <w:br/>
            </w:r>
            <w:r w:rsidRPr="00DA0044">
              <w:rPr>
                <w:u w:val="single"/>
                <w:lang w:val="fr-FR"/>
              </w:rPr>
              <w:t>en oxygène est supérieure ou égale à 20</w:t>
            </w:r>
            <w:r>
              <w:rPr>
                <w:u w:val="single"/>
                <w:lang w:val="fr-FR"/>
              </w:rPr>
              <w:t> </w:t>
            </w:r>
            <w:r w:rsidRPr="00DA0044">
              <w:rPr>
                <w:u w:val="single"/>
                <w:lang w:val="fr-FR"/>
              </w:rPr>
              <w:t>% en volume</w:t>
            </w:r>
            <w:r w:rsidRPr="00DA0044">
              <w:rPr>
                <w:lang w:val="fr-FR"/>
              </w:rPr>
              <w:t>.</w:t>
            </w:r>
          </w:p>
          <w:p w:rsidR="00DA0044" w:rsidRPr="00DA0044" w:rsidRDefault="00DA0044" w:rsidP="00F60883">
            <w:pPr>
              <w:keepNext/>
              <w:tabs>
                <w:tab w:val="left" w:pos="288"/>
                <w:tab w:val="left" w:pos="576"/>
                <w:tab w:val="left" w:pos="864"/>
                <w:tab w:val="left" w:pos="1152"/>
              </w:tabs>
              <w:suppressAutoHyphens/>
              <w:spacing w:before="40" w:after="80" w:line="220" w:lineRule="exact"/>
              <w:ind w:right="115"/>
              <w:rPr>
                <w:i/>
                <w:lang w:val="fr-FR"/>
              </w:rPr>
            </w:pPr>
            <w:r w:rsidRPr="00DA0044">
              <w:rPr>
                <w:i/>
                <w:lang w:val="fr-FR"/>
              </w:rPr>
              <w:t>ou</w:t>
            </w:r>
          </w:p>
          <w:p w:rsidR="00DA0044" w:rsidRPr="00DA0044" w:rsidRDefault="00DA0044" w:rsidP="00F60883">
            <w:pPr>
              <w:keepNext/>
              <w:tabs>
                <w:tab w:val="left" w:pos="288"/>
                <w:tab w:val="left" w:pos="576"/>
                <w:tab w:val="left" w:pos="864"/>
                <w:tab w:val="left" w:pos="1152"/>
              </w:tabs>
              <w:suppressAutoHyphens/>
              <w:spacing w:before="40" w:after="80" w:line="220" w:lineRule="exact"/>
              <w:ind w:right="115"/>
              <w:rPr>
                <w:u w:val="single"/>
                <w:lang w:val="fr-FR"/>
              </w:rPr>
            </w:pPr>
            <w:r w:rsidRPr="00DA0044">
              <w:rPr>
                <w:lang w:val="fr-FR"/>
              </w:rPr>
              <w:t xml:space="preserve">– </w:t>
            </w:r>
            <w:r w:rsidRPr="00DA0044">
              <w:rPr>
                <w:u w:val="single"/>
                <w:lang w:val="fr-FR"/>
              </w:rPr>
              <w:t>si la concentration de gaz inflammables est inférieure à 10</w:t>
            </w:r>
            <w:r>
              <w:rPr>
                <w:u w:val="single"/>
                <w:lang w:val="fr-FR"/>
              </w:rPr>
              <w:t> </w:t>
            </w:r>
            <w:r w:rsidRPr="00DA0044">
              <w:rPr>
                <w:u w:val="single"/>
                <w:lang w:val="fr-FR"/>
              </w:rPr>
              <w:t xml:space="preserve">% </w:t>
            </w:r>
            <w:r w:rsidR="00696DD4">
              <w:rPr>
                <w:u w:val="single"/>
                <w:lang w:val="fr-FR"/>
              </w:rPr>
              <w:br/>
            </w:r>
            <w:r w:rsidRPr="00DA0044">
              <w:rPr>
                <w:u w:val="single"/>
                <w:lang w:val="fr-FR"/>
              </w:rPr>
              <w:t xml:space="preserve">de la LIE </w:t>
            </w:r>
            <w:r w:rsidRPr="00DA0044">
              <w:rPr>
                <w:lang w:val="fr-FR"/>
              </w:rPr>
              <w:t>et la personne qui y pénètre porte un appareil respiratoire autonome et les autres équipements de protection et de secours nécessaires et si elle est assurée par une corde. L’entrée dans ces locaux n’est autorisée que si cette opération est surveillée par une deuxième personne ayant à sa disposition immédiate le même équipement. Deux autres personnes capables de prêter assistance en</w:t>
            </w:r>
            <w:r w:rsidR="00696DD4">
              <w:rPr>
                <w:lang w:val="fr-FR"/>
              </w:rPr>
              <w:t> </w:t>
            </w:r>
            <w:r w:rsidRPr="00DA0044">
              <w:rPr>
                <w:lang w:val="fr-FR"/>
              </w:rPr>
              <w:t>cas d’urgence doivent être sur le bateau à portée de voix.</w:t>
            </w:r>
          </w:p>
          <w:p w:rsidR="008A4631" w:rsidRPr="007B1E03" w:rsidRDefault="00DA0044" w:rsidP="00F60883">
            <w:pPr>
              <w:keepNext/>
              <w:tabs>
                <w:tab w:val="left" w:pos="288"/>
                <w:tab w:val="left" w:pos="576"/>
                <w:tab w:val="left" w:pos="864"/>
                <w:tab w:val="left" w:pos="1152"/>
              </w:tabs>
              <w:suppressAutoHyphens/>
              <w:spacing w:before="40" w:after="80" w:line="220" w:lineRule="exact"/>
              <w:ind w:right="115"/>
              <w:rPr>
                <w:b/>
                <w:u w:val="single"/>
                <w:lang w:val="fr-FR"/>
              </w:rPr>
            </w:pPr>
            <w:r w:rsidRPr="00DA0044">
              <w:rPr>
                <w:u w:val="single"/>
                <w:lang w:val="fr-FR"/>
              </w:rPr>
              <w:t>Contrairement à ce que dispose le 1.1.4.6, la législation nationale relative à l’accès aux cales l’emporte sur l’ADN.</w:t>
            </w:r>
          </w:p>
        </w:tc>
        <w:tc>
          <w:tcPr>
            <w:tcW w:w="5454" w:type="dxa"/>
            <w:shd w:val="clear" w:color="auto" w:fill="auto"/>
          </w:tcPr>
          <w:p w:rsidR="007D0A73" w:rsidRPr="007D0A73" w:rsidRDefault="007D0A73" w:rsidP="007D0A73">
            <w:pPr>
              <w:keepNext/>
              <w:tabs>
                <w:tab w:val="left" w:pos="288"/>
                <w:tab w:val="left" w:pos="576"/>
                <w:tab w:val="left" w:pos="864"/>
                <w:tab w:val="left" w:pos="1152"/>
              </w:tabs>
              <w:suppressAutoHyphens/>
              <w:spacing w:before="40" w:after="80"/>
              <w:ind w:right="115"/>
              <w:rPr>
                <w:b/>
                <w:lang w:val="fr-FR"/>
              </w:rPr>
            </w:pPr>
            <w:r w:rsidRPr="007D0A73">
              <w:rPr>
                <w:b/>
                <w:lang w:val="fr-FR"/>
              </w:rPr>
              <w:t>Proposition</w:t>
            </w:r>
          </w:p>
          <w:p w:rsidR="007D0A73" w:rsidRPr="007D0A73" w:rsidRDefault="007D0A73" w:rsidP="007D0A73">
            <w:pPr>
              <w:keepNext/>
              <w:tabs>
                <w:tab w:val="left" w:pos="288"/>
                <w:tab w:val="left" w:pos="576"/>
                <w:tab w:val="left" w:pos="864"/>
                <w:tab w:val="left" w:pos="1152"/>
              </w:tabs>
              <w:suppressAutoHyphens/>
              <w:spacing w:before="40" w:after="80"/>
              <w:ind w:right="115"/>
              <w:rPr>
                <w:lang w:val="fr-FR"/>
              </w:rPr>
            </w:pPr>
            <w:r>
              <w:rPr>
                <w:lang w:val="fr-FR"/>
              </w:rPr>
              <w:t xml:space="preserve">– </w:t>
            </w:r>
            <w:r w:rsidRPr="007D0A73">
              <w:rPr>
                <w:lang w:val="fr-FR"/>
              </w:rPr>
              <w:t>Modifier l’ordre actuel des dispositions et ajouter des titres. Ces titres permettent de mieux faire la distinction entre «</w:t>
            </w:r>
            <w:r>
              <w:rPr>
                <w:lang w:val="fr-FR"/>
              </w:rPr>
              <w:t> </w:t>
            </w:r>
            <w:r w:rsidRPr="007D0A73">
              <w:rPr>
                <w:lang w:val="fr-FR"/>
              </w:rPr>
              <w:t>Transport de marchandises en vrac ou sans emballage</w:t>
            </w:r>
            <w:r>
              <w:rPr>
                <w:lang w:val="fr-FR"/>
              </w:rPr>
              <w:t> </w:t>
            </w:r>
            <w:r w:rsidRPr="007D0A73">
              <w:rPr>
                <w:lang w:val="fr-FR"/>
              </w:rPr>
              <w:t>» et «</w:t>
            </w:r>
            <w:r>
              <w:rPr>
                <w:lang w:val="fr-FR"/>
              </w:rPr>
              <w:t> </w:t>
            </w:r>
            <w:r w:rsidRPr="007D0A73">
              <w:rPr>
                <w:lang w:val="fr-FR"/>
              </w:rPr>
              <w:t>Transport en colis</w:t>
            </w:r>
            <w:r>
              <w:rPr>
                <w:lang w:val="fr-FR"/>
              </w:rPr>
              <w:t> </w:t>
            </w:r>
            <w:r w:rsidRPr="007D0A73">
              <w:rPr>
                <w:lang w:val="fr-FR"/>
              </w:rPr>
              <w:t>»;</w:t>
            </w:r>
          </w:p>
          <w:p w:rsidR="007D0A73" w:rsidRPr="007D0A73" w:rsidRDefault="00893C34" w:rsidP="007D0A73">
            <w:pPr>
              <w:keepNext/>
              <w:tabs>
                <w:tab w:val="left" w:pos="288"/>
                <w:tab w:val="left" w:pos="576"/>
                <w:tab w:val="left" w:pos="864"/>
                <w:tab w:val="left" w:pos="1152"/>
              </w:tabs>
              <w:suppressAutoHyphens/>
              <w:spacing w:before="40" w:after="80"/>
              <w:ind w:right="115"/>
              <w:rPr>
                <w:lang w:val="fr-FR"/>
              </w:rPr>
            </w:pPr>
            <w:r>
              <w:rPr>
                <w:lang w:val="fr-FR"/>
              </w:rPr>
              <w:t xml:space="preserve">– </w:t>
            </w:r>
            <w:r w:rsidR="007D0A73" w:rsidRPr="007D0A73">
              <w:rPr>
                <w:lang w:val="fr-FR"/>
              </w:rPr>
              <w:t>Inclure les trois principaux facteurs, à savoir le</w:t>
            </w:r>
            <w:r>
              <w:rPr>
                <w:lang w:val="fr-FR"/>
              </w:rPr>
              <w:t> </w:t>
            </w:r>
            <w:r w:rsidR="007D0A73" w:rsidRPr="007D0A73">
              <w:rPr>
                <w:lang w:val="fr-FR"/>
              </w:rPr>
              <w:t>% de gaz inflammables, de gaz toxiques et d’oxygène;</w:t>
            </w:r>
          </w:p>
          <w:p w:rsidR="007D0A73" w:rsidRPr="007D0A73" w:rsidRDefault="00893C34" w:rsidP="007D0A73">
            <w:pPr>
              <w:keepNext/>
              <w:tabs>
                <w:tab w:val="left" w:pos="288"/>
                <w:tab w:val="left" w:pos="576"/>
                <w:tab w:val="left" w:pos="864"/>
                <w:tab w:val="left" w:pos="1152"/>
              </w:tabs>
              <w:suppressAutoHyphens/>
              <w:spacing w:before="40" w:after="80"/>
              <w:ind w:right="115"/>
              <w:rPr>
                <w:lang w:val="fr-FR"/>
              </w:rPr>
            </w:pPr>
            <w:r>
              <w:rPr>
                <w:lang w:val="fr-FR"/>
              </w:rPr>
              <w:t xml:space="preserve">– </w:t>
            </w:r>
            <w:r w:rsidR="007D0A73" w:rsidRPr="007D0A73">
              <w:rPr>
                <w:lang w:val="fr-FR"/>
              </w:rPr>
              <w:t xml:space="preserve">Mentionner l’existence éventuelle d’une législation nationale sur l’accès aux espaces clos. Si elle existe, la législation nationale prévaut; </w:t>
            </w:r>
          </w:p>
          <w:p w:rsidR="007D0A73" w:rsidRPr="007D0A73" w:rsidRDefault="00893C34" w:rsidP="007D0A73">
            <w:pPr>
              <w:keepNext/>
              <w:tabs>
                <w:tab w:val="left" w:pos="288"/>
                <w:tab w:val="left" w:pos="576"/>
                <w:tab w:val="left" w:pos="864"/>
                <w:tab w:val="left" w:pos="1152"/>
              </w:tabs>
              <w:suppressAutoHyphens/>
              <w:spacing w:before="40" w:after="80"/>
              <w:ind w:right="115"/>
              <w:rPr>
                <w:lang w:val="fr-FR"/>
              </w:rPr>
            </w:pPr>
            <w:r>
              <w:rPr>
                <w:lang w:val="fr-FR"/>
              </w:rPr>
              <w:t xml:space="preserve">– </w:t>
            </w:r>
            <w:r w:rsidR="007D0A73" w:rsidRPr="007D0A73">
              <w:rPr>
                <w:lang w:val="fr-FR"/>
              </w:rPr>
              <w:t>Dans la version anglaise, supprimer la double négation «</w:t>
            </w:r>
            <w:r>
              <w:rPr>
                <w:lang w:val="fr-FR"/>
              </w:rPr>
              <w:t> </w:t>
            </w:r>
            <w:r w:rsidR="007D0A73" w:rsidRPr="007D0A73">
              <w:rPr>
                <w:lang w:val="fr-FR"/>
              </w:rPr>
              <w:t xml:space="preserve">not </w:t>
            </w:r>
            <w:proofErr w:type="spellStart"/>
            <w:r w:rsidR="007D0A73" w:rsidRPr="007D0A73">
              <w:rPr>
                <w:lang w:val="fr-FR"/>
              </w:rPr>
              <w:t>permitted</w:t>
            </w:r>
            <w:proofErr w:type="spellEnd"/>
            <w:r w:rsidR="007D0A73" w:rsidRPr="007D0A73">
              <w:rPr>
                <w:lang w:val="fr-FR"/>
              </w:rPr>
              <w:t xml:space="preserve"> </w:t>
            </w:r>
            <w:proofErr w:type="spellStart"/>
            <w:r w:rsidR="007D0A73" w:rsidRPr="007D0A73">
              <w:rPr>
                <w:lang w:val="fr-FR"/>
              </w:rPr>
              <w:t>except</w:t>
            </w:r>
            <w:proofErr w:type="spellEnd"/>
            <w:r>
              <w:rPr>
                <w:lang w:val="fr-FR"/>
              </w:rPr>
              <w:t> </w:t>
            </w:r>
            <w:r w:rsidR="007D0A73" w:rsidRPr="007D0A73">
              <w:rPr>
                <w:lang w:val="fr-FR"/>
              </w:rPr>
              <w:t>»;</w:t>
            </w:r>
          </w:p>
          <w:p w:rsidR="008A4631" w:rsidRPr="008A4631" w:rsidRDefault="00893C34" w:rsidP="00784E92">
            <w:pPr>
              <w:keepNext/>
              <w:tabs>
                <w:tab w:val="left" w:pos="288"/>
                <w:tab w:val="left" w:pos="576"/>
                <w:tab w:val="left" w:pos="864"/>
                <w:tab w:val="left" w:pos="1152"/>
              </w:tabs>
              <w:suppressAutoHyphens/>
              <w:spacing w:before="40" w:after="80"/>
              <w:ind w:right="115"/>
              <w:rPr>
                <w:b/>
                <w:lang w:val="fr-FR"/>
              </w:rPr>
            </w:pPr>
            <w:r>
              <w:rPr>
                <w:lang w:val="fr-FR"/>
              </w:rPr>
              <w:t>–</w:t>
            </w:r>
            <w:r w:rsidR="001F143D">
              <w:rPr>
                <w:lang w:val="fr-FR"/>
              </w:rPr>
              <w:t xml:space="preserve"> </w:t>
            </w:r>
            <w:r w:rsidR="007D0A73" w:rsidRPr="007D0A73">
              <w:rPr>
                <w:lang w:val="fr-FR"/>
              </w:rPr>
              <w:t xml:space="preserve">Ajouter un renvoi au 1.1.4.6.1; cette disposition vise à ce que la législation nationale, si elle existe, l’emporte sur l’ADN. </w:t>
            </w:r>
          </w:p>
        </w:tc>
      </w:tr>
      <w:tr w:rsidR="007E074C" w:rsidRPr="00771661" w:rsidTr="00022E93">
        <w:tc>
          <w:tcPr>
            <w:tcW w:w="1437" w:type="dxa"/>
            <w:shd w:val="clear" w:color="auto" w:fill="auto"/>
          </w:tcPr>
          <w:p w:rsidR="007E074C" w:rsidRPr="00DA0044" w:rsidRDefault="007E472C" w:rsidP="0028007B">
            <w:pPr>
              <w:keepNext/>
              <w:tabs>
                <w:tab w:val="left" w:pos="288"/>
                <w:tab w:val="left" w:pos="576"/>
                <w:tab w:val="left" w:pos="864"/>
                <w:tab w:val="left" w:pos="1152"/>
              </w:tabs>
              <w:suppressAutoHyphens/>
              <w:spacing w:before="40" w:after="80"/>
              <w:ind w:right="115"/>
              <w:rPr>
                <w:lang w:val="fr-FR"/>
              </w:rPr>
            </w:pPr>
            <w:r w:rsidRPr="007E472C">
              <w:rPr>
                <w:lang w:val="fr-FR"/>
              </w:rPr>
              <w:t>7.1.3.1.5</w:t>
            </w:r>
            <w:r w:rsidR="0028007B">
              <w:rPr>
                <w:lang w:val="fr-FR"/>
              </w:rPr>
              <w:t xml:space="preserve"> </w:t>
            </w:r>
            <w:r w:rsidRPr="007E472C">
              <w:rPr>
                <w:lang w:val="fr-FR"/>
              </w:rPr>
              <w:t>(numérotation inchangée)</w:t>
            </w:r>
          </w:p>
        </w:tc>
        <w:tc>
          <w:tcPr>
            <w:tcW w:w="6291" w:type="dxa"/>
            <w:shd w:val="clear" w:color="auto" w:fill="auto"/>
          </w:tcPr>
          <w:p w:rsidR="003854A0" w:rsidRPr="007A74D2" w:rsidRDefault="003854A0" w:rsidP="007A74D2">
            <w:pPr>
              <w:keepNext/>
              <w:tabs>
                <w:tab w:val="left" w:pos="288"/>
                <w:tab w:val="left" w:pos="576"/>
                <w:tab w:val="left" w:pos="864"/>
                <w:tab w:val="left" w:pos="1152"/>
              </w:tabs>
              <w:suppressAutoHyphens/>
              <w:spacing w:before="40" w:after="80"/>
              <w:ind w:right="115"/>
              <w:rPr>
                <w:b/>
                <w:u w:val="single"/>
                <w:lang w:val="fr-FR"/>
              </w:rPr>
            </w:pPr>
            <w:r w:rsidRPr="007A74D2">
              <w:rPr>
                <w:b/>
                <w:u w:val="single"/>
                <w:lang w:val="fr-FR"/>
              </w:rPr>
              <w:t>Transport de marchandises en vrac ou sans emballage</w:t>
            </w:r>
          </w:p>
          <w:p w:rsidR="007E074C" w:rsidRPr="00DA0044" w:rsidRDefault="003854A0" w:rsidP="007A74D2">
            <w:pPr>
              <w:keepNext/>
              <w:tabs>
                <w:tab w:val="left" w:pos="288"/>
                <w:tab w:val="left" w:pos="576"/>
                <w:tab w:val="left" w:pos="864"/>
                <w:tab w:val="left" w:pos="1152"/>
              </w:tabs>
              <w:suppressAutoHyphens/>
              <w:spacing w:before="40" w:after="80"/>
              <w:ind w:right="115"/>
              <w:rPr>
                <w:b/>
                <w:u w:val="single"/>
                <w:lang w:val="fr-FR"/>
              </w:rPr>
            </w:pPr>
            <w:r w:rsidRPr="007A74D2">
              <w:rPr>
                <w:lang w:val="fr-FR"/>
              </w:rPr>
              <w:t xml:space="preserve">Avant que quiconque ne pénètre dans des cales contenant des marchandises dangereuses en vrac ou sans emballages pour lesquelles la mention EX et/ou TOX figure à la colonne (9) du tableau A du chapitre 3.2, la concentration de gaz </w:t>
            </w:r>
            <w:r w:rsidRPr="007A74D2">
              <w:rPr>
                <w:u w:val="single"/>
                <w:lang w:val="fr-FR"/>
              </w:rPr>
              <w:t>inflammables ou toxiques</w:t>
            </w:r>
            <w:r w:rsidRPr="007A74D2">
              <w:rPr>
                <w:lang w:val="fr-FR"/>
              </w:rPr>
              <w:t xml:space="preserve"> doit être mesurée dans ces cales ainsi que dans les cales contiguës</w:t>
            </w:r>
            <w:r w:rsidR="007155D3">
              <w:rPr>
                <w:lang w:val="fr-FR"/>
              </w:rPr>
              <w:t>.</w:t>
            </w:r>
          </w:p>
        </w:tc>
        <w:tc>
          <w:tcPr>
            <w:tcW w:w="5454" w:type="dxa"/>
            <w:shd w:val="clear" w:color="auto" w:fill="auto"/>
          </w:tcPr>
          <w:p w:rsidR="00D54B5E" w:rsidRPr="00D54B5E" w:rsidRDefault="00D54B5E" w:rsidP="00D54B5E">
            <w:pPr>
              <w:keepNext/>
              <w:tabs>
                <w:tab w:val="left" w:pos="288"/>
                <w:tab w:val="left" w:pos="576"/>
                <w:tab w:val="left" w:pos="864"/>
                <w:tab w:val="left" w:pos="1152"/>
              </w:tabs>
              <w:suppressAutoHyphens/>
              <w:spacing w:before="40" w:after="80"/>
              <w:ind w:right="115"/>
              <w:rPr>
                <w:b/>
                <w:lang w:val="fr-FR"/>
              </w:rPr>
            </w:pPr>
            <w:r>
              <w:rPr>
                <w:b/>
                <w:lang w:val="fr-FR"/>
              </w:rPr>
              <w:t>Proposition</w:t>
            </w:r>
          </w:p>
          <w:p w:rsidR="00D54B5E" w:rsidRPr="007B1E03" w:rsidRDefault="00D54B5E" w:rsidP="00510E92">
            <w:pPr>
              <w:keepNext/>
              <w:tabs>
                <w:tab w:val="left" w:pos="288"/>
                <w:tab w:val="left" w:pos="576"/>
                <w:tab w:val="left" w:pos="864"/>
                <w:tab w:val="left" w:pos="1152"/>
              </w:tabs>
              <w:suppressAutoHyphens/>
              <w:spacing w:before="40" w:after="80" w:line="220" w:lineRule="exact"/>
              <w:ind w:right="115"/>
              <w:rPr>
                <w:lang w:val="fr-FR"/>
              </w:rPr>
            </w:pPr>
            <w:r>
              <w:rPr>
                <w:lang w:val="fr-FR"/>
              </w:rPr>
              <w:t xml:space="preserve">– </w:t>
            </w:r>
            <w:r w:rsidRPr="007B1E03">
              <w:rPr>
                <w:lang w:val="fr-FR"/>
              </w:rPr>
              <w:t>Remplacer «</w:t>
            </w:r>
            <w:r>
              <w:rPr>
                <w:lang w:val="fr-FR"/>
              </w:rPr>
              <w:t> </w:t>
            </w:r>
            <w:r w:rsidRPr="007B1E03">
              <w:rPr>
                <w:lang w:val="fr-FR"/>
              </w:rPr>
              <w:t>concentration de gaz</w:t>
            </w:r>
            <w:r>
              <w:rPr>
                <w:lang w:val="fr-FR"/>
              </w:rPr>
              <w:t> </w:t>
            </w:r>
            <w:r w:rsidRPr="007B1E03">
              <w:rPr>
                <w:lang w:val="fr-FR"/>
              </w:rPr>
              <w:t>» par «</w:t>
            </w:r>
            <w:r>
              <w:rPr>
                <w:lang w:val="fr-FR"/>
              </w:rPr>
              <w:t> </w:t>
            </w:r>
            <w:r w:rsidRPr="007B1E03">
              <w:rPr>
                <w:lang w:val="fr-FR"/>
              </w:rPr>
              <w:t>concentration de gaz inflammables ou toxiques</w:t>
            </w:r>
            <w:r>
              <w:rPr>
                <w:lang w:val="fr-FR"/>
              </w:rPr>
              <w:t> </w:t>
            </w:r>
            <w:r w:rsidRPr="007B1E03">
              <w:rPr>
                <w:lang w:val="fr-FR"/>
              </w:rPr>
              <w:t>».</w:t>
            </w:r>
          </w:p>
          <w:p w:rsidR="00D54B5E" w:rsidRPr="00D54B5E" w:rsidRDefault="00D54B5E" w:rsidP="00D54B5E">
            <w:pPr>
              <w:keepNext/>
              <w:tabs>
                <w:tab w:val="left" w:pos="288"/>
                <w:tab w:val="left" w:pos="576"/>
                <w:tab w:val="left" w:pos="864"/>
                <w:tab w:val="left" w:pos="1152"/>
              </w:tabs>
              <w:suppressAutoHyphens/>
              <w:spacing w:before="40" w:after="80"/>
              <w:ind w:right="115"/>
              <w:rPr>
                <w:b/>
                <w:lang w:val="fr-FR"/>
              </w:rPr>
            </w:pPr>
            <w:r w:rsidRPr="00D54B5E">
              <w:rPr>
                <w:b/>
                <w:lang w:val="fr-FR"/>
              </w:rPr>
              <w:t>Justification</w:t>
            </w:r>
          </w:p>
          <w:p w:rsidR="007E074C" w:rsidRPr="007D0A73" w:rsidRDefault="00D54B5E" w:rsidP="00510E92">
            <w:pPr>
              <w:keepNext/>
              <w:tabs>
                <w:tab w:val="left" w:pos="288"/>
                <w:tab w:val="left" w:pos="576"/>
                <w:tab w:val="left" w:pos="864"/>
                <w:tab w:val="left" w:pos="1152"/>
              </w:tabs>
              <w:suppressAutoHyphens/>
              <w:spacing w:before="40" w:after="80" w:line="220" w:lineRule="exact"/>
              <w:ind w:right="115"/>
              <w:rPr>
                <w:lang w:val="fr-FR"/>
              </w:rPr>
            </w:pPr>
            <w:r w:rsidRPr="007B1E03">
              <w:rPr>
                <w:lang w:val="fr-FR"/>
              </w:rPr>
              <w:t>La modification proposée précise plus clairement qu’il peut s’agir de gaz inflammables ou toxiques.</w:t>
            </w:r>
          </w:p>
        </w:tc>
      </w:tr>
      <w:tr w:rsidR="007E074C" w:rsidRPr="00771661" w:rsidTr="00F60883">
        <w:tc>
          <w:tcPr>
            <w:tcW w:w="1437" w:type="dxa"/>
            <w:shd w:val="clear" w:color="auto" w:fill="auto"/>
          </w:tcPr>
          <w:p w:rsidR="007E074C" w:rsidRPr="009642F0" w:rsidRDefault="003854A0" w:rsidP="004F35A8">
            <w:pPr>
              <w:tabs>
                <w:tab w:val="left" w:pos="288"/>
                <w:tab w:val="left" w:pos="576"/>
                <w:tab w:val="left" w:pos="864"/>
                <w:tab w:val="left" w:pos="1152"/>
              </w:tabs>
              <w:suppressAutoHyphens/>
              <w:spacing w:before="40" w:after="80"/>
              <w:ind w:right="115"/>
              <w:rPr>
                <w:lang w:val="fr-FR"/>
              </w:rPr>
            </w:pPr>
            <w:r w:rsidRPr="009642F0">
              <w:rPr>
                <w:lang w:val="fr-FR"/>
              </w:rPr>
              <w:t>7.1.3.1.6 (actuel 7.1.3.1.4)</w:t>
            </w:r>
          </w:p>
        </w:tc>
        <w:tc>
          <w:tcPr>
            <w:tcW w:w="6291" w:type="dxa"/>
            <w:shd w:val="clear" w:color="auto" w:fill="auto"/>
          </w:tcPr>
          <w:p w:rsidR="003854A0" w:rsidRPr="009642F0" w:rsidRDefault="003854A0" w:rsidP="004F35A8">
            <w:pPr>
              <w:tabs>
                <w:tab w:val="left" w:pos="288"/>
                <w:tab w:val="left" w:pos="576"/>
                <w:tab w:val="left" w:pos="864"/>
                <w:tab w:val="left" w:pos="1152"/>
              </w:tabs>
              <w:suppressAutoHyphens/>
              <w:spacing w:before="40" w:after="80"/>
              <w:ind w:right="115"/>
              <w:rPr>
                <w:b/>
                <w:u w:val="single"/>
                <w:lang w:val="fr-FR"/>
              </w:rPr>
            </w:pPr>
            <w:r w:rsidRPr="009642F0">
              <w:rPr>
                <w:b/>
                <w:u w:val="single"/>
                <w:lang w:val="fr-FR"/>
              </w:rPr>
              <w:t>Transport en colis</w:t>
            </w:r>
          </w:p>
          <w:p w:rsidR="007E074C" w:rsidRPr="009642F0" w:rsidRDefault="003854A0" w:rsidP="00510E92">
            <w:pPr>
              <w:tabs>
                <w:tab w:val="left" w:pos="288"/>
                <w:tab w:val="left" w:pos="576"/>
                <w:tab w:val="left" w:pos="864"/>
                <w:tab w:val="left" w:pos="1152"/>
              </w:tabs>
              <w:suppressAutoHyphens/>
              <w:spacing w:before="40" w:after="80" w:line="220" w:lineRule="exact"/>
              <w:ind w:right="115"/>
              <w:rPr>
                <w:lang w:val="fr-FR"/>
              </w:rPr>
            </w:pPr>
            <w:r w:rsidRPr="009642F0">
              <w:rPr>
                <w:lang w:val="fr-FR"/>
              </w:rPr>
              <w:t>Avant que quiconque ne pénètre dans des cales contenant des</w:t>
            </w:r>
            <w:r w:rsidR="001834CA">
              <w:rPr>
                <w:lang w:val="fr-FR"/>
              </w:rPr>
              <w:t> </w:t>
            </w:r>
            <w:r w:rsidRPr="009642F0">
              <w:rPr>
                <w:lang w:val="fr-FR"/>
              </w:rPr>
              <w:t>marchandises dangereuses des classes 2, 3, 5.2, 6.1 et 8 pour lesquelles la mention EX et/ou TOX figure à la colonne (9) du</w:t>
            </w:r>
            <w:r w:rsidR="00DD2714">
              <w:rPr>
                <w:lang w:val="fr-FR"/>
              </w:rPr>
              <w:t xml:space="preserve"> </w:t>
            </w:r>
            <w:r w:rsidRPr="009642F0">
              <w:rPr>
                <w:lang w:val="fr-FR"/>
              </w:rPr>
              <w:t xml:space="preserve">tableau A du chapitre 3.2, la concentration de gaz </w:t>
            </w:r>
            <w:r w:rsidRPr="009642F0">
              <w:rPr>
                <w:u w:val="single"/>
                <w:lang w:val="fr-FR"/>
              </w:rPr>
              <w:t>inflammables ou toxiques</w:t>
            </w:r>
            <w:r w:rsidRPr="009642F0">
              <w:rPr>
                <w:lang w:val="fr-FR"/>
              </w:rPr>
              <w:t xml:space="preserve"> doit être mesurée dans ces cales si l’on soupçonne que des colis </w:t>
            </w:r>
            <w:r w:rsidR="001834CA">
              <w:rPr>
                <w:lang w:val="fr-FR"/>
              </w:rPr>
              <w:br/>
            </w:r>
            <w:r w:rsidRPr="009642F0">
              <w:rPr>
                <w:lang w:val="fr-FR"/>
              </w:rPr>
              <w:t>ont été endommagés.</w:t>
            </w:r>
          </w:p>
        </w:tc>
        <w:tc>
          <w:tcPr>
            <w:tcW w:w="5454" w:type="dxa"/>
            <w:shd w:val="clear" w:color="auto" w:fill="auto"/>
          </w:tcPr>
          <w:p w:rsidR="003854A0" w:rsidRPr="004F35A8" w:rsidRDefault="003854A0" w:rsidP="004F35A8">
            <w:pPr>
              <w:tabs>
                <w:tab w:val="left" w:pos="288"/>
                <w:tab w:val="left" w:pos="576"/>
                <w:tab w:val="left" w:pos="864"/>
                <w:tab w:val="left" w:pos="1152"/>
              </w:tabs>
              <w:suppressAutoHyphens/>
              <w:spacing w:before="40" w:after="80"/>
              <w:ind w:right="115"/>
              <w:rPr>
                <w:b/>
                <w:lang w:val="fr-FR"/>
              </w:rPr>
            </w:pPr>
            <w:r w:rsidRPr="004F35A8">
              <w:rPr>
                <w:b/>
                <w:lang w:val="fr-FR"/>
              </w:rPr>
              <w:t xml:space="preserve">Proposition </w:t>
            </w:r>
          </w:p>
          <w:p w:rsidR="003854A0" w:rsidRPr="004F35A8" w:rsidRDefault="00956954" w:rsidP="004F35A8">
            <w:pPr>
              <w:tabs>
                <w:tab w:val="left" w:pos="288"/>
                <w:tab w:val="left" w:pos="576"/>
                <w:tab w:val="left" w:pos="864"/>
                <w:tab w:val="left" w:pos="1152"/>
              </w:tabs>
              <w:suppressAutoHyphens/>
              <w:spacing w:before="40" w:after="80"/>
              <w:ind w:right="115"/>
              <w:rPr>
                <w:lang w:val="fr-FR"/>
              </w:rPr>
            </w:pPr>
            <w:r>
              <w:rPr>
                <w:lang w:val="fr-FR"/>
              </w:rPr>
              <w:t xml:space="preserve">– </w:t>
            </w:r>
            <w:r w:rsidR="003854A0" w:rsidRPr="004F35A8">
              <w:rPr>
                <w:lang w:val="fr-FR"/>
              </w:rPr>
              <w:t>Remplacer «</w:t>
            </w:r>
            <w:r w:rsidR="004F35A8">
              <w:rPr>
                <w:lang w:val="fr-FR"/>
              </w:rPr>
              <w:t> </w:t>
            </w:r>
            <w:r w:rsidR="003854A0" w:rsidRPr="004F35A8">
              <w:rPr>
                <w:lang w:val="fr-FR"/>
              </w:rPr>
              <w:t>concentration de gaz</w:t>
            </w:r>
            <w:r w:rsidR="004F35A8">
              <w:rPr>
                <w:lang w:val="fr-FR"/>
              </w:rPr>
              <w:t> </w:t>
            </w:r>
            <w:r w:rsidR="003854A0" w:rsidRPr="004F35A8">
              <w:rPr>
                <w:lang w:val="fr-FR"/>
              </w:rPr>
              <w:t>» par «</w:t>
            </w:r>
            <w:r w:rsidR="004F35A8">
              <w:rPr>
                <w:lang w:val="fr-FR"/>
              </w:rPr>
              <w:t> </w:t>
            </w:r>
            <w:r w:rsidR="003854A0" w:rsidRPr="004F35A8">
              <w:rPr>
                <w:lang w:val="fr-FR"/>
              </w:rPr>
              <w:t>concentration de</w:t>
            </w:r>
            <w:r w:rsidR="00784E92">
              <w:rPr>
                <w:lang w:val="fr-FR"/>
              </w:rPr>
              <w:t xml:space="preserve"> </w:t>
            </w:r>
            <w:r w:rsidR="003854A0" w:rsidRPr="004F35A8">
              <w:rPr>
                <w:lang w:val="fr-FR"/>
              </w:rPr>
              <w:t>gaz inflammables ou toxiques</w:t>
            </w:r>
            <w:r w:rsidR="004F35A8">
              <w:rPr>
                <w:lang w:val="fr-FR"/>
              </w:rPr>
              <w:t> </w:t>
            </w:r>
            <w:r w:rsidR="003854A0" w:rsidRPr="004F35A8">
              <w:rPr>
                <w:lang w:val="fr-FR"/>
              </w:rPr>
              <w:t>».</w:t>
            </w:r>
          </w:p>
          <w:p w:rsidR="003854A0" w:rsidRPr="004F35A8" w:rsidRDefault="003854A0" w:rsidP="004F35A8">
            <w:pPr>
              <w:tabs>
                <w:tab w:val="left" w:pos="288"/>
                <w:tab w:val="left" w:pos="576"/>
                <w:tab w:val="left" w:pos="864"/>
                <w:tab w:val="left" w:pos="1152"/>
              </w:tabs>
              <w:suppressAutoHyphens/>
              <w:spacing w:before="40" w:after="80"/>
              <w:ind w:right="115"/>
              <w:rPr>
                <w:b/>
                <w:lang w:val="fr-FR"/>
              </w:rPr>
            </w:pPr>
            <w:r w:rsidRPr="004F35A8">
              <w:rPr>
                <w:b/>
                <w:lang w:val="fr-FR"/>
              </w:rPr>
              <w:t>Justification</w:t>
            </w:r>
          </w:p>
          <w:p w:rsidR="007E074C" w:rsidRPr="009642F0" w:rsidRDefault="003854A0" w:rsidP="00510E92">
            <w:pPr>
              <w:tabs>
                <w:tab w:val="left" w:pos="288"/>
                <w:tab w:val="left" w:pos="576"/>
                <w:tab w:val="left" w:pos="864"/>
                <w:tab w:val="left" w:pos="1152"/>
              </w:tabs>
              <w:suppressAutoHyphens/>
              <w:spacing w:before="40" w:after="80" w:line="220" w:lineRule="exact"/>
              <w:ind w:right="115"/>
              <w:rPr>
                <w:lang w:val="fr-FR"/>
              </w:rPr>
            </w:pPr>
            <w:r w:rsidRPr="004F35A8">
              <w:rPr>
                <w:lang w:val="fr-FR"/>
              </w:rPr>
              <w:t>La modification proposée précise plus clairement qu’il peut s’agir de gaz inflammables ou toxiques.</w:t>
            </w:r>
          </w:p>
        </w:tc>
      </w:tr>
      <w:tr w:rsidR="008C541C" w:rsidRPr="00771661" w:rsidTr="00022E93">
        <w:tc>
          <w:tcPr>
            <w:tcW w:w="1437" w:type="dxa"/>
            <w:shd w:val="clear" w:color="auto" w:fill="auto"/>
          </w:tcPr>
          <w:p w:rsidR="008C541C" w:rsidRPr="008C541C" w:rsidRDefault="003854A0" w:rsidP="0028007B">
            <w:pPr>
              <w:tabs>
                <w:tab w:val="left" w:pos="288"/>
                <w:tab w:val="left" w:pos="576"/>
                <w:tab w:val="left" w:pos="864"/>
                <w:tab w:val="left" w:pos="1152"/>
              </w:tabs>
              <w:suppressAutoHyphens/>
              <w:spacing w:before="40" w:after="80"/>
              <w:ind w:right="115"/>
              <w:rPr>
                <w:lang w:val="fr-FR"/>
              </w:rPr>
            </w:pPr>
            <w:r w:rsidRPr="0028007B">
              <w:rPr>
                <w:lang w:val="fr-FR"/>
              </w:rPr>
              <w:t xml:space="preserve">7.1.3.1.7 </w:t>
            </w:r>
            <w:r w:rsidR="0028007B">
              <w:rPr>
                <w:lang w:val="fr-FR"/>
              </w:rPr>
              <w:br/>
            </w:r>
            <w:r w:rsidRPr="0028007B">
              <w:rPr>
                <w:lang w:val="fr-FR"/>
              </w:rPr>
              <w:t>(actuel 7.1.3.1.6)</w:t>
            </w:r>
          </w:p>
        </w:tc>
        <w:tc>
          <w:tcPr>
            <w:tcW w:w="6291" w:type="dxa"/>
            <w:shd w:val="clear" w:color="auto" w:fill="auto"/>
          </w:tcPr>
          <w:p w:rsidR="003854A0" w:rsidRPr="0028007B" w:rsidRDefault="003854A0" w:rsidP="0028007B">
            <w:pPr>
              <w:tabs>
                <w:tab w:val="left" w:pos="288"/>
                <w:tab w:val="left" w:pos="576"/>
                <w:tab w:val="left" w:pos="864"/>
                <w:tab w:val="left" w:pos="1152"/>
              </w:tabs>
              <w:suppressAutoHyphens/>
              <w:spacing w:before="40" w:after="80"/>
              <w:ind w:right="115"/>
              <w:rPr>
                <w:b/>
                <w:u w:val="single"/>
                <w:lang w:val="fr-FR"/>
              </w:rPr>
            </w:pPr>
            <w:r w:rsidRPr="0028007B">
              <w:rPr>
                <w:b/>
                <w:u w:val="single"/>
                <w:lang w:val="fr-FR"/>
              </w:rPr>
              <w:t>Transport en colis</w:t>
            </w:r>
          </w:p>
          <w:p w:rsidR="003854A0" w:rsidRPr="0028007B" w:rsidRDefault="003854A0" w:rsidP="0028007B">
            <w:pPr>
              <w:tabs>
                <w:tab w:val="left" w:pos="288"/>
                <w:tab w:val="left" w:pos="576"/>
                <w:tab w:val="left" w:pos="864"/>
                <w:tab w:val="left" w:pos="1152"/>
              </w:tabs>
              <w:suppressAutoHyphens/>
              <w:spacing w:before="40" w:after="80"/>
              <w:ind w:right="115"/>
              <w:rPr>
                <w:lang w:val="fr-FR"/>
              </w:rPr>
            </w:pPr>
            <w:r w:rsidRPr="0028007B">
              <w:rPr>
                <w:lang w:val="fr-FR"/>
              </w:rPr>
              <w:t xml:space="preserve">En cas de transport de marchandises dangereuses des classes 2, 3, </w:t>
            </w:r>
            <w:r w:rsidR="0041591F">
              <w:rPr>
                <w:lang w:val="fr-FR"/>
              </w:rPr>
              <w:br/>
            </w:r>
            <w:r w:rsidRPr="0028007B">
              <w:rPr>
                <w:lang w:val="fr-FR"/>
              </w:rPr>
              <w:t xml:space="preserve">5.2, 6.1 et 8 et si l’on soupçonne que des colis ont été endommagés, l’entrée dans les cales ainsi que dans les espaces de double coque </w:t>
            </w:r>
            <w:r w:rsidR="0028007B">
              <w:rPr>
                <w:lang w:val="fr-FR"/>
              </w:rPr>
              <w:br/>
            </w:r>
            <w:r w:rsidRPr="0028007B">
              <w:rPr>
                <w:lang w:val="fr-FR"/>
              </w:rPr>
              <w:t>et les doubles fonds n’est autorisée que</w:t>
            </w:r>
            <w:r w:rsidR="0028007B">
              <w:rPr>
                <w:lang w:val="fr-FR"/>
              </w:rPr>
              <w:t> </w:t>
            </w:r>
            <w:r w:rsidRPr="0028007B">
              <w:rPr>
                <w:lang w:val="fr-FR"/>
              </w:rPr>
              <w:t xml:space="preserve">: </w:t>
            </w:r>
          </w:p>
          <w:p w:rsidR="003854A0" w:rsidRPr="0028007B" w:rsidRDefault="0028007B" w:rsidP="0028007B">
            <w:pPr>
              <w:tabs>
                <w:tab w:val="left" w:pos="288"/>
                <w:tab w:val="left" w:pos="576"/>
                <w:tab w:val="left" w:pos="864"/>
                <w:tab w:val="left" w:pos="1152"/>
              </w:tabs>
              <w:suppressAutoHyphens/>
              <w:spacing w:before="40" w:after="80"/>
              <w:ind w:right="115"/>
              <w:rPr>
                <w:lang w:val="fr-FR"/>
              </w:rPr>
            </w:pPr>
            <w:r w:rsidRPr="0028007B">
              <w:rPr>
                <w:strike/>
                <w:lang w:val="fr-FR"/>
              </w:rPr>
              <w:t xml:space="preserve">– </w:t>
            </w:r>
            <w:r w:rsidR="003854A0" w:rsidRPr="0028007B">
              <w:rPr>
                <w:strike/>
                <w:lang w:val="fr-FR"/>
              </w:rPr>
              <w:t xml:space="preserve">si la concentration en oxygène est suffisante et s’il n’y a pas de concentration dangereuse mesurable de substances dangereuses; </w:t>
            </w:r>
            <w:r w:rsidRPr="0028007B">
              <w:rPr>
                <w:strike/>
                <w:lang w:val="fr-FR"/>
              </w:rPr>
              <w:t>ou</w:t>
            </w:r>
          </w:p>
          <w:p w:rsidR="003854A0" w:rsidRPr="0028007B" w:rsidRDefault="003854A0" w:rsidP="0028007B">
            <w:pPr>
              <w:tabs>
                <w:tab w:val="left" w:pos="288"/>
                <w:tab w:val="left" w:pos="576"/>
                <w:tab w:val="left" w:pos="864"/>
                <w:tab w:val="left" w:pos="1152"/>
              </w:tabs>
              <w:suppressAutoHyphens/>
              <w:spacing w:before="40" w:after="80"/>
              <w:ind w:right="115"/>
              <w:rPr>
                <w:lang w:val="fr-FR"/>
              </w:rPr>
            </w:pPr>
            <w:r w:rsidRPr="0028007B">
              <w:rPr>
                <w:lang w:val="fr-FR"/>
              </w:rPr>
              <w:t xml:space="preserve">– </w:t>
            </w:r>
            <w:r w:rsidRPr="0028007B">
              <w:rPr>
                <w:u w:val="single"/>
                <w:lang w:val="fr-FR"/>
              </w:rPr>
              <w:t>si la concentration de gaz inflammables dans la cale, l’espace de double coque ou le double fond est inférieure à 10</w:t>
            </w:r>
            <w:r w:rsidR="005B6754">
              <w:rPr>
                <w:u w:val="single"/>
                <w:lang w:val="fr-FR"/>
              </w:rPr>
              <w:t> </w:t>
            </w:r>
            <w:r w:rsidRPr="0028007B">
              <w:rPr>
                <w:u w:val="single"/>
                <w:lang w:val="fr-FR"/>
              </w:rPr>
              <w:t>% de la LIE, la concentration de gaz toxiques n’est pas significative et la teneur en oxygène est supérieure ou égale à 20</w:t>
            </w:r>
            <w:r w:rsidR="005B6754">
              <w:rPr>
                <w:u w:val="single"/>
                <w:lang w:val="fr-FR"/>
              </w:rPr>
              <w:t> </w:t>
            </w:r>
            <w:r w:rsidRPr="0028007B">
              <w:rPr>
                <w:u w:val="single"/>
                <w:lang w:val="fr-FR"/>
              </w:rPr>
              <w:t>% en volume</w:t>
            </w:r>
            <w:r w:rsidRPr="0028007B">
              <w:rPr>
                <w:lang w:val="fr-FR"/>
              </w:rPr>
              <w:t xml:space="preserve">; </w:t>
            </w:r>
          </w:p>
          <w:p w:rsidR="003854A0" w:rsidRPr="005B6754" w:rsidRDefault="00E55F02" w:rsidP="0028007B">
            <w:pPr>
              <w:tabs>
                <w:tab w:val="left" w:pos="288"/>
                <w:tab w:val="left" w:pos="576"/>
                <w:tab w:val="left" w:pos="864"/>
                <w:tab w:val="left" w:pos="1152"/>
              </w:tabs>
              <w:suppressAutoHyphens/>
              <w:spacing w:before="40" w:after="80"/>
              <w:ind w:right="115"/>
              <w:rPr>
                <w:i/>
                <w:lang w:val="fr-FR"/>
              </w:rPr>
            </w:pPr>
            <w:r>
              <w:rPr>
                <w:i/>
                <w:lang w:val="fr-FR"/>
              </w:rPr>
              <w:t>ou</w:t>
            </w:r>
          </w:p>
          <w:p w:rsidR="003854A0" w:rsidRPr="0028007B" w:rsidRDefault="00640CEF" w:rsidP="0028007B">
            <w:pPr>
              <w:tabs>
                <w:tab w:val="left" w:pos="288"/>
                <w:tab w:val="left" w:pos="576"/>
                <w:tab w:val="left" w:pos="864"/>
                <w:tab w:val="left" w:pos="1152"/>
              </w:tabs>
              <w:suppressAutoHyphens/>
              <w:spacing w:before="40" w:after="80"/>
              <w:ind w:right="115"/>
              <w:rPr>
                <w:lang w:val="fr-FR"/>
              </w:rPr>
            </w:pPr>
            <w:r>
              <w:rPr>
                <w:lang w:val="fr-FR"/>
              </w:rPr>
              <w:t xml:space="preserve">– </w:t>
            </w:r>
            <w:r w:rsidR="003854A0" w:rsidRPr="0028007B">
              <w:rPr>
                <w:lang w:val="fr-FR"/>
              </w:rPr>
              <w:t xml:space="preserve">si </w:t>
            </w:r>
            <w:r w:rsidR="003854A0" w:rsidRPr="0028007B">
              <w:rPr>
                <w:u w:val="single"/>
                <w:lang w:val="fr-FR"/>
              </w:rPr>
              <w:t>la concentration de gaz inflammables dans la cale est inférieure à 10</w:t>
            </w:r>
            <w:r>
              <w:rPr>
                <w:u w:val="single"/>
                <w:lang w:val="fr-FR"/>
              </w:rPr>
              <w:t> </w:t>
            </w:r>
            <w:r w:rsidR="003854A0" w:rsidRPr="0028007B">
              <w:rPr>
                <w:u w:val="single"/>
                <w:lang w:val="fr-FR"/>
              </w:rPr>
              <w:t>% de la LIE et</w:t>
            </w:r>
            <w:r w:rsidR="003854A0" w:rsidRPr="0028007B">
              <w:rPr>
                <w:lang w:val="fr-FR"/>
              </w:rPr>
              <w:t xml:space="preserve"> la personne qui y pénètre porte un appareil respiratoire autonome et les autres équipements de protection et de secours nécessaires et si elle est assurée par une corde. L’entrée dans ces locaux n’est autorisée que si cette opération est surveillée par une deuxième personne ayant à sa disposition immédiate le même équipement. Deux autres personnes capables de prêter assistance en cas d’urgence doivent être sur le bateau à portée de voix. </w:t>
            </w:r>
          </w:p>
          <w:p w:rsidR="008C541C" w:rsidRPr="008C541C" w:rsidRDefault="003854A0" w:rsidP="0028007B">
            <w:pPr>
              <w:tabs>
                <w:tab w:val="left" w:pos="288"/>
                <w:tab w:val="left" w:pos="576"/>
                <w:tab w:val="left" w:pos="864"/>
                <w:tab w:val="left" w:pos="1152"/>
              </w:tabs>
              <w:suppressAutoHyphens/>
              <w:spacing w:before="40" w:after="80"/>
              <w:ind w:right="115"/>
              <w:rPr>
                <w:lang w:val="fr-FR"/>
              </w:rPr>
            </w:pPr>
            <w:r w:rsidRPr="0028007B">
              <w:rPr>
                <w:u w:val="single"/>
                <w:lang w:val="fr-FR"/>
              </w:rPr>
              <w:t>Contrairement à ce que dispose le 1.1.4.6, la législation nationale relative à l’accès aux cales l’emporte sur l’ADN</w:t>
            </w:r>
            <w:r w:rsidRPr="0028007B">
              <w:rPr>
                <w:lang w:val="fr-FR"/>
              </w:rPr>
              <w:t>.</w:t>
            </w:r>
          </w:p>
        </w:tc>
        <w:tc>
          <w:tcPr>
            <w:tcW w:w="5454" w:type="dxa"/>
            <w:shd w:val="clear" w:color="auto" w:fill="auto"/>
          </w:tcPr>
          <w:p w:rsidR="003854A0" w:rsidRPr="0028007B" w:rsidRDefault="003854A0" w:rsidP="0028007B">
            <w:pPr>
              <w:tabs>
                <w:tab w:val="left" w:pos="288"/>
                <w:tab w:val="left" w:pos="576"/>
                <w:tab w:val="left" w:pos="864"/>
                <w:tab w:val="left" w:pos="1152"/>
              </w:tabs>
              <w:suppressAutoHyphens/>
              <w:spacing w:before="40" w:after="80"/>
              <w:ind w:right="115"/>
              <w:rPr>
                <w:b/>
                <w:lang w:val="fr-FR"/>
              </w:rPr>
            </w:pPr>
            <w:r w:rsidRPr="0028007B">
              <w:rPr>
                <w:b/>
                <w:lang w:val="fr-FR"/>
              </w:rPr>
              <w:t>Proposition</w:t>
            </w:r>
          </w:p>
          <w:p w:rsidR="003854A0" w:rsidRPr="0028007B" w:rsidRDefault="00956954" w:rsidP="0028007B">
            <w:pPr>
              <w:tabs>
                <w:tab w:val="left" w:pos="288"/>
                <w:tab w:val="left" w:pos="576"/>
                <w:tab w:val="left" w:pos="864"/>
                <w:tab w:val="left" w:pos="1152"/>
              </w:tabs>
              <w:suppressAutoHyphens/>
              <w:spacing w:before="40" w:after="80"/>
              <w:ind w:right="115"/>
              <w:rPr>
                <w:lang w:val="fr-FR"/>
              </w:rPr>
            </w:pPr>
            <w:r>
              <w:rPr>
                <w:lang w:val="fr-FR"/>
              </w:rPr>
              <w:t xml:space="preserve">– </w:t>
            </w:r>
            <w:r w:rsidR="003854A0" w:rsidRPr="0028007B">
              <w:rPr>
                <w:lang w:val="fr-FR"/>
              </w:rPr>
              <w:t xml:space="preserve">Introduire un seuil pour l’oxygène et les gaz inflammables au-dessus duquel l’entrée dans un espace clos n’est pas autorisée. </w:t>
            </w:r>
          </w:p>
          <w:p w:rsidR="003854A0" w:rsidRPr="0028007B" w:rsidRDefault="003854A0" w:rsidP="0028007B">
            <w:pPr>
              <w:tabs>
                <w:tab w:val="left" w:pos="288"/>
                <w:tab w:val="left" w:pos="576"/>
                <w:tab w:val="left" w:pos="864"/>
                <w:tab w:val="left" w:pos="1152"/>
              </w:tabs>
              <w:suppressAutoHyphens/>
              <w:spacing w:before="40" w:after="80"/>
              <w:ind w:right="115"/>
              <w:rPr>
                <w:lang w:val="fr-FR"/>
              </w:rPr>
            </w:pPr>
            <w:r w:rsidRPr="0028007B">
              <w:rPr>
                <w:lang w:val="fr-FR"/>
              </w:rPr>
              <w:t>Aucun seuil n’est fixé pour les gaz toxiques en raison des</w:t>
            </w:r>
            <w:r w:rsidR="00170E3B">
              <w:rPr>
                <w:lang w:val="fr-FR"/>
              </w:rPr>
              <w:t> </w:t>
            </w:r>
            <w:r w:rsidRPr="0028007B">
              <w:rPr>
                <w:lang w:val="fr-FR"/>
              </w:rPr>
              <w:t>écarts entre les seuils utilisés dans la législation nationale de différents États Parties contractantes à l’ADN.</w:t>
            </w:r>
          </w:p>
          <w:p w:rsidR="003854A0" w:rsidRPr="0028007B" w:rsidRDefault="00956954" w:rsidP="0028007B">
            <w:pPr>
              <w:tabs>
                <w:tab w:val="left" w:pos="288"/>
                <w:tab w:val="left" w:pos="576"/>
                <w:tab w:val="left" w:pos="864"/>
                <w:tab w:val="left" w:pos="1152"/>
              </w:tabs>
              <w:suppressAutoHyphens/>
              <w:spacing w:before="40" w:after="80"/>
              <w:ind w:right="115"/>
              <w:rPr>
                <w:lang w:val="fr-FR"/>
              </w:rPr>
            </w:pPr>
            <w:r>
              <w:rPr>
                <w:lang w:val="fr-FR"/>
              </w:rPr>
              <w:t xml:space="preserve">– </w:t>
            </w:r>
            <w:r w:rsidR="003854A0" w:rsidRPr="0028007B">
              <w:rPr>
                <w:lang w:val="fr-FR"/>
              </w:rPr>
              <w:t>Ajouter un renvoi au 1.1.4.6.1; cette disposition vise à ce que la législation nationale prévale, si elle existe.</w:t>
            </w:r>
          </w:p>
          <w:p w:rsidR="003854A0" w:rsidRPr="0028007B" w:rsidRDefault="003854A0" w:rsidP="0028007B">
            <w:pPr>
              <w:tabs>
                <w:tab w:val="left" w:pos="288"/>
                <w:tab w:val="left" w:pos="576"/>
                <w:tab w:val="left" w:pos="864"/>
                <w:tab w:val="left" w:pos="1152"/>
              </w:tabs>
              <w:suppressAutoHyphens/>
              <w:spacing w:before="40" w:after="80"/>
              <w:ind w:right="115"/>
              <w:rPr>
                <w:b/>
                <w:lang w:val="fr-FR"/>
              </w:rPr>
            </w:pPr>
            <w:r w:rsidRPr="0028007B">
              <w:rPr>
                <w:b/>
                <w:lang w:val="fr-FR"/>
              </w:rPr>
              <w:t>Justification</w:t>
            </w:r>
          </w:p>
          <w:p w:rsidR="008C541C" w:rsidRPr="008C541C" w:rsidRDefault="003854A0" w:rsidP="00814722">
            <w:pPr>
              <w:tabs>
                <w:tab w:val="left" w:pos="288"/>
                <w:tab w:val="left" w:pos="576"/>
                <w:tab w:val="left" w:pos="864"/>
                <w:tab w:val="left" w:pos="1152"/>
              </w:tabs>
              <w:suppressAutoHyphens/>
              <w:spacing w:before="40" w:after="80"/>
              <w:ind w:right="115"/>
              <w:rPr>
                <w:lang w:val="fr-FR"/>
              </w:rPr>
            </w:pPr>
            <w:r w:rsidRPr="0028007B">
              <w:rPr>
                <w:lang w:val="fr-FR"/>
              </w:rPr>
              <w:t>Cette proposition fixe un seuil précis pour les gaz inflammables et l’oxygène, en remplacement des dispositions actuelles plus vagues.</w:t>
            </w:r>
          </w:p>
        </w:tc>
      </w:tr>
      <w:tr w:rsidR="008E5112" w:rsidRPr="008C541C" w:rsidTr="00022E93">
        <w:tc>
          <w:tcPr>
            <w:tcW w:w="13182" w:type="dxa"/>
            <w:gridSpan w:val="3"/>
            <w:shd w:val="clear" w:color="auto" w:fill="auto"/>
          </w:tcPr>
          <w:p w:rsidR="008E5112" w:rsidRPr="008C541C" w:rsidRDefault="008E5112" w:rsidP="001869F3">
            <w:pPr>
              <w:tabs>
                <w:tab w:val="left" w:pos="288"/>
                <w:tab w:val="left" w:pos="576"/>
                <w:tab w:val="left" w:pos="864"/>
                <w:tab w:val="left" w:pos="1152"/>
              </w:tabs>
              <w:suppressAutoHyphens/>
              <w:spacing w:before="40" w:after="80"/>
              <w:ind w:right="115"/>
              <w:rPr>
                <w:lang w:val="fr-FR"/>
              </w:rPr>
            </w:pPr>
            <w:r w:rsidRPr="008E5112">
              <w:rPr>
                <w:b/>
                <w:lang w:val="fr-FR"/>
              </w:rPr>
              <w:t>Ventilation</w:t>
            </w:r>
          </w:p>
        </w:tc>
      </w:tr>
      <w:tr w:rsidR="008E5112" w:rsidRPr="00771661" w:rsidTr="00022E93">
        <w:tc>
          <w:tcPr>
            <w:tcW w:w="1437" w:type="dxa"/>
            <w:shd w:val="clear" w:color="auto" w:fill="auto"/>
          </w:tcPr>
          <w:p w:rsidR="008E5112" w:rsidRPr="008C541C" w:rsidRDefault="003854A0" w:rsidP="001869F3">
            <w:pPr>
              <w:tabs>
                <w:tab w:val="left" w:pos="288"/>
                <w:tab w:val="left" w:pos="576"/>
                <w:tab w:val="left" w:pos="864"/>
                <w:tab w:val="left" w:pos="1152"/>
              </w:tabs>
              <w:suppressAutoHyphens/>
              <w:spacing w:before="40" w:after="80"/>
              <w:ind w:right="115"/>
              <w:rPr>
                <w:lang w:val="fr-FR"/>
              </w:rPr>
            </w:pPr>
            <w:r w:rsidRPr="005C3D69">
              <w:rPr>
                <w:lang w:val="fr-FR"/>
              </w:rPr>
              <w:t>7.1.4.12.2</w:t>
            </w:r>
          </w:p>
        </w:tc>
        <w:tc>
          <w:tcPr>
            <w:tcW w:w="6291" w:type="dxa"/>
            <w:shd w:val="clear" w:color="auto" w:fill="auto"/>
          </w:tcPr>
          <w:p w:rsidR="008E5112" w:rsidRPr="008C541C" w:rsidRDefault="003854A0" w:rsidP="001869F3">
            <w:pPr>
              <w:tabs>
                <w:tab w:val="left" w:pos="288"/>
                <w:tab w:val="left" w:pos="576"/>
                <w:tab w:val="left" w:pos="864"/>
                <w:tab w:val="left" w:pos="1152"/>
              </w:tabs>
              <w:suppressAutoHyphens/>
              <w:spacing w:before="40" w:after="80"/>
              <w:ind w:right="115"/>
              <w:rPr>
                <w:lang w:val="fr-FR"/>
              </w:rPr>
            </w:pPr>
            <w:r w:rsidRPr="005C3D69">
              <w:rPr>
                <w:lang w:val="fr-FR"/>
              </w:rPr>
              <w:t xml:space="preserve">… Si l’on soupçonne des dégâts aux conteneurs ou si l’on soupçonne que le contenu s’est répandu à l’intérieur des conteneurs, les cales doivent être ventilées afin de réduire la concentration des gaz </w:t>
            </w:r>
            <w:r w:rsidRPr="005C3D69">
              <w:rPr>
                <w:u w:val="single"/>
                <w:lang w:val="fr-FR"/>
              </w:rPr>
              <w:t>inflammables</w:t>
            </w:r>
            <w:r w:rsidRPr="005C3D69">
              <w:rPr>
                <w:lang w:val="fr-FR"/>
              </w:rPr>
              <w:t xml:space="preserve"> émis par la cargaison à moins de 10</w:t>
            </w:r>
            <w:r w:rsidR="005C3D69">
              <w:rPr>
                <w:lang w:val="fr-FR"/>
              </w:rPr>
              <w:t> </w:t>
            </w:r>
            <w:r w:rsidRPr="005C3D69">
              <w:rPr>
                <w:lang w:val="fr-FR"/>
              </w:rPr>
              <w:t xml:space="preserve">% de la </w:t>
            </w:r>
            <w:r w:rsidRPr="005C3D69">
              <w:rPr>
                <w:u w:val="single"/>
                <w:lang w:val="fr-FR"/>
              </w:rPr>
              <w:t>LIE</w:t>
            </w:r>
            <w:r w:rsidRPr="005C3D69">
              <w:rPr>
                <w:lang w:val="fr-FR"/>
              </w:rPr>
              <w:t xml:space="preserve"> </w:t>
            </w:r>
            <w:r w:rsidRPr="008F5EE7">
              <w:rPr>
                <w:strike/>
                <w:lang w:val="fr-FR"/>
              </w:rPr>
              <w:t>limite inférieure d’explosibilité</w:t>
            </w:r>
            <w:r w:rsidR="0072320E">
              <w:rPr>
                <w:lang w:val="fr-FR"/>
              </w:rPr>
              <w:t xml:space="preserve"> ou en cas de gaz toxiques, en </w:t>
            </w:r>
            <w:r w:rsidRPr="005C3D69">
              <w:rPr>
                <w:lang w:val="fr-FR"/>
              </w:rPr>
              <w:t>dessous de toute concentration significative.</w:t>
            </w:r>
          </w:p>
        </w:tc>
        <w:tc>
          <w:tcPr>
            <w:tcW w:w="5454" w:type="dxa"/>
            <w:shd w:val="clear" w:color="auto" w:fill="auto"/>
          </w:tcPr>
          <w:p w:rsidR="008E5112" w:rsidRPr="008C541C" w:rsidRDefault="008E5112" w:rsidP="001869F3">
            <w:pPr>
              <w:tabs>
                <w:tab w:val="left" w:pos="288"/>
                <w:tab w:val="left" w:pos="576"/>
                <w:tab w:val="left" w:pos="864"/>
                <w:tab w:val="left" w:pos="1152"/>
              </w:tabs>
              <w:suppressAutoHyphens/>
              <w:spacing w:before="40" w:after="80"/>
              <w:ind w:right="115"/>
              <w:rPr>
                <w:lang w:val="fr-FR"/>
              </w:rPr>
            </w:pPr>
          </w:p>
        </w:tc>
      </w:tr>
      <w:tr w:rsidR="00266D00" w:rsidRPr="008C541C" w:rsidTr="00022E93">
        <w:tc>
          <w:tcPr>
            <w:tcW w:w="1437" w:type="dxa"/>
            <w:shd w:val="clear" w:color="auto" w:fill="auto"/>
          </w:tcPr>
          <w:p w:rsidR="00266D00" w:rsidRPr="005C3D69" w:rsidRDefault="00266D00" w:rsidP="00783630">
            <w:pPr>
              <w:keepNext/>
              <w:tabs>
                <w:tab w:val="left" w:pos="288"/>
                <w:tab w:val="left" w:pos="576"/>
                <w:tab w:val="left" w:pos="864"/>
                <w:tab w:val="left" w:pos="1152"/>
              </w:tabs>
              <w:suppressAutoHyphens/>
              <w:spacing w:before="40" w:after="80"/>
              <w:ind w:right="115"/>
              <w:rPr>
                <w:lang w:val="fr-FR"/>
              </w:rPr>
            </w:pPr>
            <w:r w:rsidRPr="00B54024">
              <w:rPr>
                <w:lang w:val="fr-FR"/>
              </w:rPr>
              <w:t>7.1.6.12</w:t>
            </w:r>
          </w:p>
        </w:tc>
        <w:tc>
          <w:tcPr>
            <w:tcW w:w="6291" w:type="dxa"/>
            <w:shd w:val="clear" w:color="auto" w:fill="auto"/>
          </w:tcPr>
          <w:p w:rsidR="00266D00" w:rsidRDefault="00266D00" w:rsidP="005C3D69">
            <w:pPr>
              <w:keepNext/>
              <w:tabs>
                <w:tab w:val="left" w:pos="288"/>
                <w:tab w:val="left" w:pos="576"/>
                <w:tab w:val="left" w:pos="864"/>
                <w:tab w:val="left" w:pos="1152"/>
              </w:tabs>
              <w:suppressAutoHyphens/>
              <w:spacing w:before="40" w:after="80"/>
              <w:ind w:right="115"/>
              <w:rPr>
                <w:b/>
                <w:i/>
                <w:lang w:val="fr-FR"/>
              </w:rPr>
            </w:pPr>
            <w:r w:rsidRPr="00477B72">
              <w:rPr>
                <w:b/>
                <w:i/>
                <w:lang w:val="fr-FR"/>
              </w:rPr>
              <w:t>Ventilation</w:t>
            </w:r>
          </w:p>
          <w:p w:rsidR="00266D00" w:rsidRPr="00B54024" w:rsidRDefault="00266D00" w:rsidP="00266D00">
            <w:pPr>
              <w:tabs>
                <w:tab w:val="left" w:pos="288"/>
                <w:tab w:val="left" w:pos="576"/>
                <w:tab w:val="left" w:pos="864"/>
                <w:tab w:val="left" w:pos="1152"/>
              </w:tabs>
              <w:suppressAutoHyphens/>
              <w:spacing w:before="40" w:after="80"/>
              <w:ind w:right="115"/>
              <w:rPr>
                <w:lang w:val="fr-FR"/>
              </w:rPr>
            </w:pPr>
            <w:r w:rsidRPr="00B54024">
              <w:rPr>
                <w:lang w:val="fr-FR"/>
              </w:rPr>
              <w:t xml:space="preserve">Les prescriptions supplémentaires suivantes doivent être remplies lorsqu’elles sont indiquées à la colonne (10) du tableau A </w:t>
            </w:r>
            <w:r>
              <w:rPr>
                <w:lang w:val="fr-FR"/>
              </w:rPr>
              <w:br/>
            </w:r>
            <w:r w:rsidRPr="00B54024">
              <w:rPr>
                <w:lang w:val="fr-FR"/>
              </w:rPr>
              <w:t>du chapitre 3.2</w:t>
            </w:r>
            <w:r>
              <w:rPr>
                <w:lang w:val="fr-FR"/>
              </w:rPr>
              <w:t> </w:t>
            </w:r>
            <w:r w:rsidRPr="00B54024">
              <w:rPr>
                <w:lang w:val="fr-FR"/>
              </w:rPr>
              <w:t>:</w:t>
            </w:r>
          </w:p>
          <w:p w:rsidR="00266D00" w:rsidRPr="005C3D69" w:rsidRDefault="00266D00" w:rsidP="00876100">
            <w:pPr>
              <w:keepNext/>
              <w:tabs>
                <w:tab w:val="left" w:pos="288"/>
                <w:tab w:val="left" w:pos="576"/>
                <w:tab w:val="left" w:pos="864"/>
                <w:tab w:val="left" w:pos="1152"/>
              </w:tabs>
              <w:suppressAutoHyphens/>
              <w:spacing w:before="40" w:after="80"/>
              <w:ind w:right="115"/>
              <w:rPr>
                <w:lang w:val="fr-FR"/>
              </w:rPr>
            </w:pPr>
            <w:r w:rsidRPr="00477B72">
              <w:rPr>
                <w:i/>
                <w:lang w:val="fr-FR"/>
              </w:rPr>
              <w:t>VE01</w:t>
            </w:r>
            <w:r>
              <w:rPr>
                <w:lang w:val="fr-FR"/>
              </w:rPr>
              <w:t> </w:t>
            </w:r>
            <w:r w:rsidRPr="00B54024">
              <w:rPr>
                <w:lang w:val="fr-FR"/>
              </w:rPr>
              <w:t xml:space="preserve">: Les cales contenant ces matières doivent être ventilées, l’équipement de ventilation fonctionnant à plein rendement, lorsque l’on constate après une mesure que la concentration de gaz </w:t>
            </w:r>
            <w:r w:rsidRPr="00B54024">
              <w:rPr>
                <w:u w:val="single"/>
                <w:lang w:val="fr-FR"/>
              </w:rPr>
              <w:t>inflammables</w:t>
            </w:r>
            <w:r w:rsidRPr="00477B72">
              <w:rPr>
                <w:lang w:val="fr-FR"/>
              </w:rPr>
              <w:t xml:space="preserve"> </w:t>
            </w:r>
            <w:r w:rsidRPr="00B54024">
              <w:rPr>
                <w:lang w:val="fr-FR"/>
              </w:rPr>
              <w:t>provenant de la cargaison est supérieure à 10</w:t>
            </w:r>
            <w:r>
              <w:rPr>
                <w:lang w:val="fr-FR"/>
              </w:rPr>
              <w:t> </w:t>
            </w:r>
            <w:r w:rsidRPr="00B54024">
              <w:rPr>
                <w:lang w:val="fr-FR"/>
              </w:rPr>
              <w:t xml:space="preserve">% de la </w:t>
            </w:r>
            <w:r w:rsidRPr="00B54024">
              <w:rPr>
                <w:u w:val="single"/>
                <w:lang w:val="fr-FR"/>
              </w:rPr>
              <w:t>LIE</w:t>
            </w:r>
            <w:r w:rsidRPr="00B54024">
              <w:rPr>
                <w:lang w:val="fr-FR"/>
              </w:rPr>
              <w:t xml:space="preserve"> </w:t>
            </w:r>
            <w:r w:rsidRPr="00477B72">
              <w:rPr>
                <w:strike/>
                <w:lang w:val="fr-FR"/>
              </w:rPr>
              <w:t>limite inférieure d’explosibilité</w:t>
            </w:r>
            <w:r w:rsidRPr="00B54024">
              <w:rPr>
                <w:lang w:val="fr-FR"/>
              </w:rPr>
              <w:t>. Ces mesures doivent être effectuées immédiatement après le chargement. Une mesure de contrôle doit être répétée une heure plus tard. Les résultats des mesures doivent être consignés par écrit</w:t>
            </w:r>
            <w:r>
              <w:rPr>
                <w:lang w:val="fr-FR"/>
              </w:rPr>
              <w:t>.</w:t>
            </w:r>
          </w:p>
        </w:tc>
        <w:tc>
          <w:tcPr>
            <w:tcW w:w="5454" w:type="dxa"/>
            <w:shd w:val="clear" w:color="auto" w:fill="auto"/>
          </w:tcPr>
          <w:p w:rsidR="00266D00" w:rsidRPr="008C541C" w:rsidRDefault="00266D00" w:rsidP="00783630">
            <w:pPr>
              <w:keepNext/>
              <w:tabs>
                <w:tab w:val="left" w:pos="288"/>
                <w:tab w:val="left" w:pos="576"/>
                <w:tab w:val="left" w:pos="864"/>
                <w:tab w:val="left" w:pos="1152"/>
              </w:tabs>
              <w:suppressAutoHyphens/>
              <w:spacing w:before="40" w:after="80"/>
              <w:ind w:right="115"/>
              <w:rPr>
                <w:lang w:val="fr-FR"/>
              </w:rPr>
            </w:pPr>
          </w:p>
        </w:tc>
      </w:tr>
      <w:tr w:rsidR="008C541C" w:rsidRPr="00771661" w:rsidTr="00CD26A7">
        <w:trPr>
          <w:cantSplit/>
        </w:trPr>
        <w:tc>
          <w:tcPr>
            <w:tcW w:w="1437" w:type="dxa"/>
            <w:shd w:val="clear" w:color="auto" w:fill="auto"/>
          </w:tcPr>
          <w:p w:rsidR="008C541C" w:rsidRPr="008C541C" w:rsidRDefault="008C541C" w:rsidP="00CD26A7">
            <w:pPr>
              <w:tabs>
                <w:tab w:val="left" w:pos="288"/>
                <w:tab w:val="left" w:pos="576"/>
                <w:tab w:val="left" w:pos="864"/>
                <w:tab w:val="left" w:pos="1152"/>
              </w:tabs>
              <w:suppressAutoHyphens/>
              <w:spacing w:before="40" w:after="80"/>
              <w:ind w:right="115"/>
              <w:rPr>
                <w:lang w:val="fr-FR"/>
              </w:rPr>
            </w:pPr>
          </w:p>
        </w:tc>
        <w:tc>
          <w:tcPr>
            <w:tcW w:w="6291" w:type="dxa"/>
            <w:shd w:val="clear" w:color="auto" w:fill="auto"/>
          </w:tcPr>
          <w:p w:rsidR="008C541C" w:rsidRPr="008C541C" w:rsidRDefault="003854A0" w:rsidP="00CD26A7">
            <w:pPr>
              <w:tabs>
                <w:tab w:val="left" w:pos="288"/>
                <w:tab w:val="left" w:pos="576"/>
                <w:tab w:val="left" w:pos="864"/>
                <w:tab w:val="left" w:pos="1152"/>
              </w:tabs>
              <w:suppressAutoHyphens/>
              <w:spacing w:before="40" w:after="80"/>
              <w:ind w:right="115"/>
              <w:rPr>
                <w:lang w:val="fr-FR"/>
              </w:rPr>
            </w:pPr>
            <w:r w:rsidRPr="002B3B4A">
              <w:rPr>
                <w:i/>
                <w:lang w:val="fr-FR"/>
              </w:rPr>
              <w:t>VE02</w:t>
            </w:r>
            <w:r w:rsidR="002B3B4A">
              <w:rPr>
                <w:lang w:val="fr-FR"/>
              </w:rPr>
              <w:t> </w:t>
            </w:r>
            <w:r w:rsidRPr="00B54024">
              <w:rPr>
                <w:lang w:val="fr-FR"/>
              </w:rPr>
              <w:t xml:space="preserve">: Les cales contenant ces matières doivent être ventilées, l’équipement de ventilation fonctionnant à plein rendement, lorsque l’on constate après une mesure que les cales ne sont pas </w:t>
            </w:r>
            <w:proofErr w:type="gramStart"/>
            <w:r w:rsidRPr="00B54024">
              <w:rPr>
                <w:lang w:val="fr-FR"/>
              </w:rPr>
              <w:t>exemptes</w:t>
            </w:r>
            <w:proofErr w:type="gramEnd"/>
            <w:r w:rsidRPr="00B54024">
              <w:rPr>
                <w:lang w:val="fr-FR"/>
              </w:rPr>
              <w:t xml:space="preserve"> </w:t>
            </w:r>
            <w:r w:rsidR="00FA4E21">
              <w:rPr>
                <w:lang w:val="fr-FR"/>
              </w:rPr>
              <w:br/>
            </w:r>
            <w:r w:rsidRPr="00B54024">
              <w:rPr>
                <w:lang w:val="fr-FR"/>
              </w:rPr>
              <w:t xml:space="preserve">de gaz </w:t>
            </w:r>
            <w:r w:rsidRPr="00B54024">
              <w:rPr>
                <w:u w:val="single"/>
                <w:lang w:val="fr-FR"/>
              </w:rPr>
              <w:t>toxiques</w:t>
            </w:r>
            <w:r w:rsidRPr="00B54024">
              <w:rPr>
                <w:lang w:val="fr-FR"/>
              </w:rPr>
              <w:t xml:space="preserve"> provenant de la cargaison. Ces mesures doivent être effectuées immédiatement après le chargement. Une mesure de contrôle doit être répétée une heure plus tard. Les résultats des mesures doivent être consignés par écrit. Alternativement, à bord des bateaux qui ne transportent ces marchandises que dans des conteneurs dans des</w:t>
            </w:r>
            <w:r w:rsidR="00A86435">
              <w:rPr>
                <w:lang w:val="fr-FR"/>
              </w:rPr>
              <w:t xml:space="preserve"> </w:t>
            </w:r>
            <w:r w:rsidRPr="00B54024">
              <w:rPr>
                <w:lang w:val="fr-FR"/>
              </w:rPr>
              <w:t xml:space="preserve">cales ouvertes, les cales contenant ces conteneurs peuvent n’être ventilées, l’équipement de ventilations fonctionnant à plein rendement, que si l’on soupçonne que les cales ne sont pas exemptes de gaz </w:t>
            </w:r>
            <w:r w:rsidRPr="00B54024">
              <w:rPr>
                <w:u w:val="single"/>
                <w:lang w:val="fr-FR"/>
              </w:rPr>
              <w:t>toxiques</w:t>
            </w:r>
            <w:r w:rsidRPr="00B54024">
              <w:rPr>
                <w:lang w:val="fr-FR"/>
              </w:rPr>
              <w:t xml:space="preserve"> provenant de la cargaison. Avant le déchargement, le</w:t>
            </w:r>
            <w:r w:rsidR="0012253E">
              <w:rPr>
                <w:lang w:val="fr-FR"/>
              </w:rPr>
              <w:t> </w:t>
            </w:r>
            <w:r w:rsidRPr="00B54024">
              <w:rPr>
                <w:lang w:val="fr-FR"/>
              </w:rPr>
              <w:t>déchargeur doit être informé de ces soupçons</w:t>
            </w:r>
            <w:r w:rsidR="00A86435">
              <w:rPr>
                <w:lang w:val="fr-FR"/>
              </w:rPr>
              <w:t>.</w:t>
            </w:r>
          </w:p>
        </w:tc>
        <w:tc>
          <w:tcPr>
            <w:tcW w:w="5454" w:type="dxa"/>
            <w:shd w:val="clear" w:color="auto" w:fill="auto"/>
          </w:tcPr>
          <w:p w:rsidR="008C541C" w:rsidRPr="008C541C" w:rsidRDefault="003854A0" w:rsidP="00CD26A7">
            <w:pPr>
              <w:tabs>
                <w:tab w:val="left" w:pos="288"/>
                <w:tab w:val="left" w:pos="576"/>
                <w:tab w:val="left" w:pos="864"/>
                <w:tab w:val="left" w:pos="1152"/>
              </w:tabs>
              <w:suppressAutoHyphens/>
              <w:spacing w:before="40" w:after="80"/>
              <w:ind w:right="115"/>
              <w:rPr>
                <w:lang w:val="fr-FR"/>
              </w:rPr>
            </w:pPr>
            <w:r w:rsidRPr="00BE2790">
              <w:rPr>
                <w:lang w:val="fr-FR"/>
              </w:rPr>
              <w:t>La prescription VE02 ne vaut que si des gaz toxiques sont transportés. Afin que cela soit plus clair et pour mieux faire la distinction entre VE01 et VE02, le mot «</w:t>
            </w:r>
            <w:r w:rsidR="00BE2790">
              <w:rPr>
                <w:lang w:val="fr-FR"/>
              </w:rPr>
              <w:t> </w:t>
            </w:r>
            <w:r w:rsidRPr="00BE2790">
              <w:rPr>
                <w:lang w:val="fr-FR"/>
              </w:rPr>
              <w:t>toxiques</w:t>
            </w:r>
            <w:r w:rsidR="00BE2790">
              <w:rPr>
                <w:lang w:val="fr-FR"/>
              </w:rPr>
              <w:t> </w:t>
            </w:r>
            <w:r w:rsidRPr="00BE2790">
              <w:rPr>
                <w:lang w:val="fr-FR"/>
              </w:rPr>
              <w:t>» est ajouté.</w:t>
            </w:r>
          </w:p>
        </w:tc>
      </w:tr>
      <w:tr w:rsidR="00266D00" w:rsidRPr="008C541C" w:rsidTr="00CD26A7">
        <w:trPr>
          <w:cantSplit/>
        </w:trPr>
        <w:tc>
          <w:tcPr>
            <w:tcW w:w="1437" w:type="dxa"/>
            <w:shd w:val="clear" w:color="auto" w:fill="auto"/>
          </w:tcPr>
          <w:p w:rsidR="00266D00" w:rsidRPr="00B54024" w:rsidRDefault="00266D00" w:rsidP="00CD26A7">
            <w:pPr>
              <w:tabs>
                <w:tab w:val="left" w:pos="288"/>
                <w:tab w:val="left" w:pos="576"/>
                <w:tab w:val="left" w:pos="864"/>
                <w:tab w:val="left" w:pos="1152"/>
              </w:tabs>
              <w:suppressAutoHyphens/>
              <w:spacing w:before="40" w:after="80"/>
              <w:ind w:right="115"/>
              <w:rPr>
                <w:lang w:val="fr-FR"/>
              </w:rPr>
            </w:pPr>
          </w:p>
        </w:tc>
        <w:tc>
          <w:tcPr>
            <w:tcW w:w="6291" w:type="dxa"/>
            <w:shd w:val="clear" w:color="auto" w:fill="auto"/>
          </w:tcPr>
          <w:p w:rsidR="0000157E" w:rsidRPr="00B54024" w:rsidRDefault="0000157E" w:rsidP="00CD26A7">
            <w:pPr>
              <w:tabs>
                <w:tab w:val="left" w:pos="288"/>
                <w:tab w:val="left" w:pos="576"/>
                <w:tab w:val="left" w:pos="864"/>
                <w:tab w:val="left" w:pos="1152"/>
              </w:tabs>
              <w:suppressAutoHyphens/>
              <w:spacing w:before="40" w:after="80"/>
              <w:ind w:right="115"/>
              <w:rPr>
                <w:lang w:val="fr-FR"/>
              </w:rPr>
            </w:pPr>
            <w:r w:rsidRPr="00733DAE">
              <w:rPr>
                <w:i/>
                <w:lang w:val="fr-FR"/>
              </w:rPr>
              <w:t>VE03</w:t>
            </w:r>
            <w:r>
              <w:rPr>
                <w:lang w:val="fr-FR"/>
              </w:rPr>
              <w:t> </w:t>
            </w:r>
            <w:r w:rsidRPr="00B54024">
              <w:rPr>
                <w:lang w:val="fr-FR"/>
              </w:rPr>
              <w:t>: Les locaux tels que les cales, les logements et les salles des</w:t>
            </w:r>
            <w:r w:rsidR="008E6BE5">
              <w:rPr>
                <w:lang w:val="fr-FR"/>
              </w:rPr>
              <w:t xml:space="preserve"> </w:t>
            </w:r>
            <w:r w:rsidRPr="00B54024">
              <w:rPr>
                <w:lang w:val="fr-FR"/>
              </w:rPr>
              <w:t>machines, contigus aux cales contenant ces matières doivent être ventilés. Après le déchargement les cales ayant contenu ces matières doivent être soumises à une ventilation forcée. Après la ventilation la</w:t>
            </w:r>
            <w:r w:rsidR="008E6BE5">
              <w:rPr>
                <w:lang w:val="fr-FR"/>
              </w:rPr>
              <w:t xml:space="preserve"> </w:t>
            </w:r>
            <w:r w:rsidRPr="00B54024">
              <w:rPr>
                <w:lang w:val="fr-FR"/>
              </w:rPr>
              <w:t xml:space="preserve">concentration de gaz </w:t>
            </w:r>
            <w:r w:rsidRPr="00B54024">
              <w:rPr>
                <w:u w:val="single"/>
                <w:lang w:val="fr-FR"/>
              </w:rPr>
              <w:t>inflammables ou toxiques</w:t>
            </w:r>
            <w:r w:rsidRPr="00B54024">
              <w:rPr>
                <w:lang w:val="fr-FR"/>
              </w:rPr>
              <w:t xml:space="preserve"> dans ces cales doit être mesurée. Les résultats des mesures doivent être consignés par écrit. </w:t>
            </w:r>
          </w:p>
          <w:p w:rsidR="00266D00" w:rsidRPr="00477B72" w:rsidRDefault="0000157E" w:rsidP="00CD26A7">
            <w:pPr>
              <w:tabs>
                <w:tab w:val="left" w:pos="288"/>
                <w:tab w:val="left" w:pos="576"/>
                <w:tab w:val="left" w:pos="864"/>
                <w:tab w:val="left" w:pos="1152"/>
              </w:tabs>
              <w:suppressAutoHyphens/>
              <w:spacing w:before="40" w:after="80"/>
              <w:ind w:right="115"/>
              <w:rPr>
                <w:b/>
                <w:i/>
                <w:lang w:val="fr-FR"/>
              </w:rPr>
            </w:pPr>
            <w:r w:rsidRPr="00B54024">
              <w:rPr>
                <w:lang w:val="fr-FR"/>
              </w:rPr>
              <w:t>(…)</w:t>
            </w:r>
          </w:p>
        </w:tc>
        <w:tc>
          <w:tcPr>
            <w:tcW w:w="5454" w:type="dxa"/>
            <w:shd w:val="clear" w:color="auto" w:fill="auto"/>
          </w:tcPr>
          <w:p w:rsidR="00266D00" w:rsidRPr="008C541C" w:rsidRDefault="00266D00" w:rsidP="00CD26A7">
            <w:pPr>
              <w:tabs>
                <w:tab w:val="left" w:pos="288"/>
                <w:tab w:val="left" w:pos="576"/>
                <w:tab w:val="left" w:pos="864"/>
                <w:tab w:val="left" w:pos="1152"/>
              </w:tabs>
              <w:suppressAutoHyphens/>
              <w:spacing w:before="40" w:after="80"/>
              <w:ind w:right="115"/>
              <w:rPr>
                <w:lang w:val="fr-FR"/>
              </w:rPr>
            </w:pPr>
          </w:p>
        </w:tc>
      </w:tr>
      <w:tr w:rsidR="008C541C" w:rsidRPr="00771661" w:rsidTr="00022E93">
        <w:tc>
          <w:tcPr>
            <w:tcW w:w="1437" w:type="dxa"/>
            <w:shd w:val="clear" w:color="auto" w:fill="auto"/>
          </w:tcPr>
          <w:p w:rsidR="008C541C" w:rsidRPr="008C541C" w:rsidRDefault="003854A0" w:rsidP="00CD26A7">
            <w:pPr>
              <w:keepNext/>
              <w:tabs>
                <w:tab w:val="left" w:pos="288"/>
                <w:tab w:val="left" w:pos="576"/>
                <w:tab w:val="left" w:pos="864"/>
                <w:tab w:val="left" w:pos="1152"/>
              </w:tabs>
              <w:suppressAutoHyphens/>
              <w:spacing w:before="40" w:after="80"/>
              <w:ind w:right="115"/>
              <w:rPr>
                <w:lang w:val="fr-FR"/>
              </w:rPr>
            </w:pPr>
            <w:r w:rsidRPr="00482EC6">
              <w:rPr>
                <w:lang w:val="fr-FR"/>
              </w:rPr>
              <w:t>7.1.6.16</w:t>
            </w:r>
          </w:p>
        </w:tc>
        <w:tc>
          <w:tcPr>
            <w:tcW w:w="6291" w:type="dxa"/>
            <w:shd w:val="clear" w:color="auto" w:fill="auto"/>
          </w:tcPr>
          <w:p w:rsidR="008C541C" w:rsidRPr="00BA7CE7" w:rsidRDefault="003854A0" w:rsidP="00CD26A7">
            <w:pPr>
              <w:keepNext/>
              <w:tabs>
                <w:tab w:val="left" w:pos="288"/>
                <w:tab w:val="left" w:pos="576"/>
                <w:tab w:val="left" w:pos="864"/>
                <w:tab w:val="left" w:pos="1152"/>
              </w:tabs>
              <w:suppressAutoHyphens/>
              <w:spacing w:before="40" w:after="80"/>
              <w:ind w:right="115"/>
              <w:rPr>
                <w:i/>
                <w:lang w:val="fr-FR"/>
              </w:rPr>
            </w:pPr>
            <w:r w:rsidRPr="00BA7CE7">
              <w:rPr>
                <w:b/>
                <w:i/>
                <w:lang w:val="fr-FR"/>
              </w:rPr>
              <w:t>Mesures à prendre pendant le chargement, le transport, le</w:t>
            </w:r>
            <w:r w:rsidR="00A64D79">
              <w:rPr>
                <w:b/>
                <w:i/>
                <w:lang w:val="fr-FR"/>
              </w:rPr>
              <w:t> </w:t>
            </w:r>
            <w:r w:rsidRPr="00BA7CE7">
              <w:rPr>
                <w:b/>
                <w:i/>
                <w:lang w:val="fr-FR"/>
              </w:rPr>
              <w:t>déchargement et la manutention de la cargaison</w:t>
            </w:r>
          </w:p>
        </w:tc>
        <w:tc>
          <w:tcPr>
            <w:tcW w:w="5454" w:type="dxa"/>
            <w:shd w:val="clear" w:color="auto" w:fill="auto"/>
          </w:tcPr>
          <w:p w:rsidR="008C541C" w:rsidRPr="008C541C" w:rsidRDefault="008C541C" w:rsidP="00CD26A7">
            <w:pPr>
              <w:keepNext/>
              <w:tabs>
                <w:tab w:val="left" w:pos="288"/>
                <w:tab w:val="left" w:pos="576"/>
                <w:tab w:val="left" w:pos="864"/>
                <w:tab w:val="left" w:pos="1152"/>
              </w:tabs>
              <w:suppressAutoHyphens/>
              <w:spacing w:before="40" w:after="80"/>
              <w:ind w:right="115"/>
              <w:rPr>
                <w:lang w:val="fr-FR"/>
              </w:rPr>
            </w:pPr>
          </w:p>
        </w:tc>
      </w:tr>
      <w:tr w:rsidR="008C541C" w:rsidRPr="00771661" w:rsidTr="00022E93">
        <w:tc>
          <w:tcPr>
            <w:tcW w:w="1437" w:type="dxa"/>
            <w:shd w:val="clear" w:color="auto" w:fill="auto"/>
          </w:tcPr>
          <w:p w:rsidR="008C541C" w:rsidRPr="008C541C" w:rsidRDefault="008C541C" w:rsidP="00CD26A7">
            <w:pPr>
              <w:keepNext/>
              <w:tabs>
                <w:tab w:val="left" w:pos="288"/>
                <w:tab w:val="left" w:pos="576"/>
                <w:tab w:val="left" w:pos="864"/>
                <w:tab w:val="left" w:pos="1152"/>
              </w:tabs>
              <w:suppressAutoHyphens/>
              <w:spacing w:before="40" w:after="80"/>
              <w:ind w:right="115"/>
              <w:rPr>
                <w:lang w:val="fr-FR"/>
              </w:rPr>
            </w:pPr>
          </w:p>
        </w:tc>
        <w:tc>
          <w:tcPr>
            <w:tcW w:w="6291" w:type="dxa"/>
            <w:shd w:val="clear" w:color="auto" w:fill="auto"/>
          </w:tcPr>
          <w:p w:rsidR="008C541C" w:rsidRPr="008C541C" w:rsidRDefault="003854A0" w:rsidP="00CD26A7">
            <w:pPr>
              <w:keepNext/>
              <w:tabs>
                <w:tab w:val="left" w:pos="288"/>
                <w:tab w:val="left" w:pos="576"/>
                <w:tab w:val="left" w:pos="864"/>
                <w:tab w:val="left" w:pos="1152"/>
              </w:tabs>
              <w:suppressAutoHyphens/>
              <w:spacing w:before="40" w:after="80"/>
              <w:ind w:right="115"/>
              <w:rPr>
                <w:lang w:val="fr-FR"/>
              </w:rPr>
            </w:pPr>
            <w:r w:rsidRPr="00A64D79">
              <w:rPr>
                <w:lang w:val="fr-FR"/>
              </w:rPr>
              <w:t xml:space="preserve">Les prescriptions supplémentaires suivantes doivent être remplies lorsqu’elles sont indiquées à la colonne (11) du tableau A </w:t>
            </w:r>
            <w:r w:rsidR="00A64D79">
              <w:rPr>
                <w:lang w:val="fr-FR"/>
              </w:rPr>
              <w:br/>
            </w:r>
            <w:r w:rsidRPr="00A64D79">
              <w:rPr>
                <w:lang w:val="fr-FR"/>
              </w:rPr>
              <w:t>du chapitre 3.2</w:t>
            </w:r>
            <w:r w:rsidR="003D2BAD">
              <w:rPr>
                <w:lang w:val="fr-FR"/>
              </w:rPr>
              <w:t> </w:t>
            </w:r>
            <w:r w:rsidRPr="00A64D79">
              <w:rPr>
                <w:lang w:val="fr-FR"/>
              </w:rPr>
              <w:t xml:space="preserve">: </w:t>
            </w:r>
          </w:p>
        </w:tc>
        <w:tc>
          <w:tcPr>
            <w:tcW w:w="5454" w:type="dxa"/>
            <w:shd w:val="clear" w:color="auto" w:fill="auto"/>
          </w:tcPr>
          <w:p w:rsidR="003854A0" w:rsidRPr="003D2BAD" w:rsidRDefault="003854A0" w:rsidP="00CD26A7">
            <w:pPr>
              <w:keepNext/>
              <w:tabs>
                <w:tab w:val="left" w:pos="288"/>
                <w:tab w:val="left" w:pos="576"/>
                <w:tab w:val="left" w:pos="864"/>
                <w:tab w:val="left" w:pos="1152"/>
              </w:tabs>
              <w:suppressAutoHyphens/>
              <w:spacing w:before="40" w:after="80"/>
              <w:ind w:right="115"/>
              <w:rPr>
                <w:b/>
                <w:lang w:val="fr-FR"/>
              </w:rPr>
            </w:pPr>
            <w:r w:rsidRPr="003D2BAD">
              <w:rPr>
                <w:b/>
                <w:lang w:val="fr-FR"/>
              </w:rPr>
              <w:t>Proposition</w:t>
            </w:r>
          </w:p>
          <w:p w:rsidR="008C541C" w:rsidRPr="008C541C" w:rsidRDefault="003854A0" w:rsidP="00CD26A7">
            <w:pPr>
              <w:keepNext/>
              <w:tabs>
                <w:tab w:val="left" w:pos="288"/>
                <w:tab w:val="left" w:pos="576"/>
                <w:tab w:val="left" w:pos="864"/>
                <w:tab w:val="left" w:pos="1152"/>
              </w:tabs>
              <w:suppressAutoHyphens/>
              <w:spacing w:before="40" w:after="80"/>
              <w:ind w:right="115"/>
              <w:rPr>
                <w:lang w:val="fr-FR"/>
              </w:rPr>
            </w:pPr>
            <w:r w:rsidRPr="003D2BAD">
              <w:rPr>
                <w:lang w:val="fr-FR"/>
              </w:rPr>
              <w:t>Ajouter «</w:t>
            </w:r>
            <w:r w:rsidR="00B2383D">
              <w:rPr>
                <w:lang w:val="fr-FR"/>
              </w:rPr>
              <w:t> </w:t>
            </w:r>
            <w:r w:rsidRPr="003D2BAD">
              <w:rPr>
                <w:lang w:val="fr-FR"/>
              </w:rPr>
              <w:t>inflammables</w:t>
            </w:r>
            <w:r w:rsidR="008B4290">
              <w:rPr>
                <w:lang w:val="fr-FR"/>
              </w:rPr>
              <w:t> </w:t>
            </w:r>
            <w:r w:rsidRPr="003D2BAD">
              <w:rPr>
                <w:lang w:val="fr-FR"/>
              </w:rPr>
              <w:t>» et «</w:t>
            </w:r>
            <w:r w:rsidR="008B4290">
              <w:rPr>
                <w:lang w:val="fr-FR"/>
              </w:rPr>
              <w:t> </w:t>
            </w:r>
            <w:r w:rsidRPr="003D2BAD">
              <w:rPr>
                <w:lang w:val="fr-FR"/>
              </w:rPr>
              <w:t>toxiques</w:t>
            </w:r>
            <w:r w:rsidR="00B2383D">
              <w:rPr>
                <w:lang w:val="fr-FR"/>
              </w:rPr>
              <w:t> </w:t>
            </w:r>
            <w:r w:rsidRPr="003D2BAD">
              <w:rPr>
                <w:lang w:val="fr-FR"/>
              </w:rPr>
              <w:t>».</w:t>
            </w:r>
          </w:p>
        </w:tc>
      </w:tr>
      <w:tr w:rsidR="003D2BAD" w:rsidRPr="00771661" w:rsidTr="00022E93">
        <w:tc>
          <w:tcPr>
            <w:tcW w:w="1437" w:type="dxa"/>
            <w:shd w:val="clear" w:color="auto" w:fill="auto"/>
          </w:tcPr>
          <w:p w:rsidR="003D2BAD" w:rsidRPr="008C541C" w:rsidRDefault="003D2BAD" w:rsidP="004F35A8">
            <w:pPr>
              <w:tabs>
                <w:tab w:val="left" w:pos="288"/>
                <w:tab w:val="left" w:pos="576"/>
                <w:tab w:val="left" w:pos="864"/>
                <w:tab w:val="left" w:pos="1152"/>
              </w:tabs>
              <w:suppressAutoHyphens/>
              <w:spacing w:before="40" w:after="80"/>
              <w:ind w:right="115"/>
              <w:rPr>
                <w:lang w:val="fr-FR"/>
              </w:rPr>
            </w:pPr>
          </w:p>
        </w:tc>
        <w:tc>
          <w:tcPr>
            <w:tcW w:w="6291" w:type="dxa"/>
            <w:shd w:val="clear" w:color="auto" w:fill="auto"/>
          </w:tcPr>
          <w:p w:rsidR="003D2BAD" w:rsidRPr="003D2BAD" w:rsidRDefault="003D2BAD" w:rsidP="003D2BAD">
            <w:pPr>
              <w:tabs>
                <w:tab w:val="left" w:pos="288"/>
                <w:tab w:val="left" w:pos="576"/>
                <w:tab w:val="left" w:pos="864"/>
                <w:tab w:val="left" w:pos="1152"/>
              </w:tabs>
              <w:suppressAutoHyphens/>
              <w:spacing w:before="40" w:after="80"/>
              <w:ind w:right="115"/>
              <w:rPr>
                <w:lang w:val="fr-FR"/>
              </w:rPr>
            </w:pPr>
            <w:r w:rsidRPr="003D2BAD">
              <w:rPr>
                <w:i/>
                <w:lang w:val="fr-FR"/>
              </w:rPr>
              <w:t>IN01</w:t>
            </w:r>
            <w:r w:rsidRPr="003D2BAD">
              <w:rPr>
                <w:lang w:val="fr-FR"/>
              </w:rPr>
              <w:t xml:space="preserve"> : Après chargement ou déchargement de ces matières en vrac ou sans emballage et avant de quitter le lieu de transbordement, la concentration des gaz </w:t>
            </w:r>
            <w:r w:rsidRPr="003D2BAD">
              <w:rPr>
                <w:u w:val="single"/>
                <w:lang w:val="fr-FR"/>
              </w:rPr>
              <w:t>inflammables</w:t>
            </w:r>
            <w:r w:rsidRPr="003D2BAD">
              <w:rPr>
                <w:lang w:val="fr-FR"/>
              </w:rPr>
              <w:t xml:space="preserve"> dans les logements, les salles des machines et les cales contiguës doit être mesurée par l’expéditeur ou le destinataire au moyen d’un détecteur de gaz inflammable.</w:t>
            </w:r>
          </w:p>
          <w:p w:rsidR="003D2BAD" w:rsidRPr="003D2BAD" w:rsidRDefault="003D2BAD" w:rsidP="003D2BAD">
            <w:pPr>
              <w:tabs>
                <w:tab w:val="left" w:pos="288"/>
                <w:tab w:val="left" w:pos="576"/>
                <w:tab w:val="left" w:pos="864"/>
                <w:tab w:val="left" w:pos="1152"/>
              </w:tabs>
              <w:suppressAutoHyphens/>
              <w:spacing w:before="40" w:after="80"/>
              <w:ind w:right="115"/>
              <w:rPr>
                <w:lang w:val="fr-FR"/>
              </w:rPr>
            </w:pPr>
            <w:r w:rsidRPr="003D2BAD">
              <w:rPr>
                <w:lang w:val="fr-FR"/>
              </w:rPr>
              <w:t xml:space="preserve">Avant que quiconque entre dans une cale et avant le déchargement, la concentration des gaz </w:t>
            </w:r>
            <w:r w:rsidRPr="003D2BAD">
              <w:rPr>
                <w:u w:val="single"/>
                <w:lang w:val="fr-FR"/>
              </w:rPr>
              <w:t>inflammables</w:t>
            </w:r>
            <w:r w:rsidRPr="003D2BAD">
              <w:rPr>
                <w:lang w:val="fr-FR"/>
              </w:rPr>
              <w:t xml:space="preserve"> doit être mesurée par le destinataire de la cargaison.</w:t>
            </w:r>
          </w:p>
          <w:p w:rsidR="003D2BAD" w:rsidRPr="003D2BAD" w:rsidRDefault="003D2BAD" w:rsidP="008306C1">
            <w:pPr>
              <w:tabs>
                <w:tab w:val="left" w:pos="288"/>
                <w:tab w:val="left" w:pos="576"/>
                <w:tab w:val="left" w:pos="864"/>
                <w:tab w:val="left" w:pos="1152"/>
              </w:tabs>
              <w:suppressAutoHyphens/>
              <w:spacing w:before="40" w:after="60" w:line="220" w:lineRule="exact"/>
              <w:ind w:right="115"/>
              <w:rPr>
                <w:lang w:val="fr-FR"/>
              </w:rPr>
            </w:pPr>
            <w:r w:rsidRPr="003D2BAD">
              <w:rPr>
                <w:lang w:val="fr-FR"/>
              </w:rPr>
              <w:t xml:space="preserve">Il est interdit d’entrer dans la cale ou de commencer à décharger tant que la concentration des gaz </w:t>
            </w:r>
            <w:r w:rsidRPr="003D2BAD">
              <w:rPr>
                <w:u w:val="single"/>
                <w:lang w:val="fr-FR"/>
              </w:rPr>
              <w:t xml:space="preserve">inflammables </w:t>
            </w:r>
            <w:r w:rsidRPr="003D2BAD">
              <w:rPr>
                <w:lang w:val="fr-FR"/>
              </w:rPr>
              <w:t xml:space="preserve">dans l’espace libre au-dessus de la cargaison n’est pas inférieure à 50 % de la </w:t>
            </w:r>
            <w:r w:rsidRPr="003D2BAD">
              <w:rPr>
                <w:u w:val="single"/>
                <w:lang w:val="fr-FR"/>
              </w:rPr>
              <w:t>LIE</w:t>
            </w:r>
            <w:r w:rsidRPr="003D2BAD">
              <w:rPr>
                <w:lang w:val="fr-FR"/>
              </w:rPr>
              <w:t xml:space="preserve"> </w:t>
            </w:r>
            <w:r w:rsidRPr="0011543F">
              <w:rPr>
                <w:strike/>
                <w:lang w:val="fr-FR"/>
              </w:rPr>
              <w:t>limite inférieure d’explosibilité</w:t>
            </w:r>
            <w:r w:rsidRPr="003D2BAD">
              <w:rPr>
                <w:lang w:val="fr-FR"/>
              </w:rPr>
              <w:t>.</w:t>
            </w:r>
          </w:p>
          <w:p w:rsidR="003D2BAD" w:rsidRPr="00A64D79" w:rsidRDefault="003D2BAD" w:rsidP="003D2BAD">
            <w:pPr>
              <w:tabs>
                <w:tab w:val="left" w:pos="288"/>
                <w:tab w:val="left" w:pos="576"/>
                <w:tab w:val="left" w:pos="864"/>
                <w:tab w:val="left" w:pos="1152"/>
              </w:tabs>
              <w:suppressAutoHyphens/>
              <w:spacing w:before="40" w:after="80"/>
              <w:ind w:right="115"/>
              <w:rPr>
                <w:lang w:val="fr-FR"/>
              </w:rPr>
            </w:pPr>
            <w:r w:rsidRPr="003D2BAD">
              <w:rPr>
                <w:lang w:val="fr-FR"/>
              </w:rPr>
              <w:t xml:space="preserve">Si des concentrations significatives de gaz </w:t>
            </w:r>
            <w:r w:rsidRPr="003D2BAD">
              <w:rPr>
                <w:u w:val="single"/>
                <w:lang w:val="fr-FR"/>
              </w:rPr>
              <w:t>inflammables</w:t>
            </w:r>
            <w:r w:rsidRPr="003D2BAD">
              <w:rPr>
                <w:lang w:val="fr-FR"/>
              </w:rPr>
              <w:t xml:space="preserve"> sont constatées dans ces locaux, des mesures de sécurité appropriées doivent être prises immédiatement par l’expéditeur ou le destinataire.</w:t>
            </w:r>
          </w:p>
        </w:tc>
        <w:tc>
          <w:tcPr>
            <w:tcW w:w="5454" w:type="dxa"/>
            <w:shd w:val="clear" w:color="auto" w:fill="auto"/>
          </w:tcPr>
          <w:p w:rsidR="003D2BAD" w:rsidRPr="003D2BAD" w:rsidRDefault="003D2BAD" w:rsidP="003D2BAD">
            <w:pPr>
              <w:tabs>
                <w:tab w:val="left" w:pos="288"/>
                <w:tab w:val="left" w:pos="576"/>
                <w:tab w:val="left" w:pos="864"/>
                <w:tab w:val="left" w:pos="1152"/>
              </w:tabs>
              <w:suppressAutoHyphens/>
              <w:spacing w:before="40" w:after="80"/>
              <w:ind w:right="115"/>
              <w:rPr>
                <w:b/>
                <w:lang w:val="fr-FR"/>
              </w:rPr>
            </w:pPr>
            <w:r w:rsidRPr="003D2BAD">
              <w:rPr>
                <w:b/>
                <w:lang w:val="fr-FR"/>
              </w:rPr>
              <w:t>Justification</w:t>
            </w:r>
          </w:p>
          <w:p w:rsidR="003D2BAD" w:rsidRPr="003D2BAD" w:rsidRDefault="003D2BAD" w:rsidP="003D2BAD">
            <w:pPr>
              <w:tabs>
                <w:tab w:val="left" w:pos="288"/>
                <w:tab w:val="left" w:pos="576"/>
                <w:tab w:val="left" w:pos="864"/>
                <w:tab w:val="left" w:pos="1152"/>
              </w:tabs>
              <w:suppressAutoHyphens/>
              <w:spacing w:before="40" w:after="80"/>
              <w:ind w:right="115"/>
              <w:rPr>
                <w:b/>
                <w:lang w:val="fr-FR"/>
              </w:rPr>
            </w:pPr>
            <w:r w:rsidRPr="003D2BAD">
              <w:rPr>
                <w:lang w:val="fr-FR"/>
              </w:rPr>
              <w:t xml:space="preserve">Cet ajout permet de mieux préciser quel type de gaz doit être mesuré. Actuellement, il est entendu implicitement qu’il s’agit de gaz inflammables ou toxiques selon qu’on doit utiliser un détecteur de gaz inflammable ou un </w:t>
            </w:r>
            <w:proofErr w:type="spellStart"/>
            <w:r w:rsidRPr="003D2BAD">
              <w:rPr>
                <w:lang w:val="fr-FR"/>
              </w:rPr>
              <w:t>toximètre</w:t>
            </w:r>
            <w:proofErr w:type="spellEnd"/>
            <w:r w:rsidRPr="003D2BAD">
              <w:rPr>
                <w:lang w:val="fr-FR"/>
              </w:rPr>
              <w:t>.</w:t>
            </w:r>
          </w:p>
        </w:tc>
      </w:tr>
      <w:tr w:rsidR="00A64D79" w:rsidRPr="008C541C" w:rsidTr="00022E93">
        <w:tc>
          <w:tcPr>
            <w:tcW w:w="1437" w:type="dxa"/>
            <w:shd w:val="clear" w:color="auto" w:fill="auto"/>
          </w:tcPr>
          <w:p w:rsidR="00A64D79" w:rsidRPr="008C541C" w:rsidRDefault="00A64D79" w:rsidP="004F35A8">
            <w:pPr>
              <w:tabs>
                <w:tab w:val="left" w:pos="288"/>
                <w:tab w:val="left" w:pos="576"/>
                <w:tab w:val="left" w:pos="864"/>
                <w:tab w:val="left" w:pos="1152"/>
              </w:tabs>
              <w:suppressAutoHyphens/>
              <w:spacing w:before="40" w:after="80"/>
              <w:ind w:right="115"/>
              <w:rPr>
                <w:lang w:val="fr-FR"/>
              </w:rPr>
            </w:pPr>
          </w:p>
        </w:tc>
        <w:tc>
          <w:tcPr>
            <w:tcW w:w="6291" w:type="dxa"/>
            <w:shd w:val="clear" w:color="auto" w:fill="auto"/>
          </w:tcPr>
          <w:p w:rsidR="00A64D79" w:rsidRDefault="00A64D79" w:rsidP="00A64D79">
            <w:pPr>
              <w:tabs>
                <w:tab w:val="left" w:pos="288"/>
                <w:tab w:val="left" w:pos="576"/>
                <w:tab w:val="left" w:pos="864"/>
                <w:tab w:val="left" w:pos="1152"/>
              </w:tabs>
              <w:suppressAutoHyphens/>
              <w:spacing w:before="40" w:after="80"/>
              <w:ind w:right="115"/>
              <w:rPr>
                <w:lang w:val="fr-FR"/>
              </w:rPr>
            </w:pPr>
            <w:r w:rsidRPr="00A64D79">
              <w:rPr>
                <w:i/>
                <w:lang w:val="fr-FR"/>
              </w:rPr>
              <w:t>IN02</w:t>
            </w:r>
            <w:r>
              <w:rPr>
                <w:lang w:val="fr-FR"/>
              </w:rPr>
              <w:t> </w:t>
            </w:r>
            <w:r w:rsidRPr="00A64D79">
              <w:rPr>
                <w:lang w:val="fr-FR"/>
              </w:rPr>
              <w:t>: Si une cale contient ces matières en vrac ou sans emballage, la</w:t>
            </w:r>
            <w:r>
              <w:rPr>
                <w:lang w:val="fr-FR"/>
              </w:rPr>
              <w:t> </w:t>
            </w:r>
            <w:r w:rsidRPr="00A64D79">
              <w:rPr>
                <w:lang w:val="fr-FR"/>
              </w:rPr>
              <w:t xml:space="preserve">concentration de gaz </w:t>
            </w:r>
            <w:r w:rsidRPr="00A64D79">
              <w:rPr>
                <w:u w:val="single"/>
                <w:lang w:val="fr-FR"/>
              </w:rPr>
              <w:t>toxiques</w:t>
            </w:r>
            <w:r w:rsidRPr="00A64D79">
              <w:rPr>
                <w:lang w:val="fr-FR"/>
              </w:rPr>
              <w:t xml:space="preserve"> doit être mesurée une fois au moins toutes les huit heures au moyen d’un </w:t>
            </w:r>
            <w:proofErr w:type="spellStart"/>
            <w:r w:rsidRPr="00A64D79">
              <w:rPr>
                <w:lang w:val="fr-FR"/>
              </w:rPr>
              <w:t>toximètre</w:t>
            </w:r>
            <w:proofErr w:type="spellEnd"/>
            <w:r w:rsidRPr="00A64D79">
              <w:rPr>
                <w:lang w:val="fr-FR"/>
              </w:rPr>
              <w:t xml:space="preserve"> dans tous les autres locaux fréquentés par les membres de l’équipage. Les résultats des</w:t>
            </w:r>
            <w:r>
              <w:rPr>
                <w:lang w:val="fr-FR"/>
              </w:rPr>
              <w:t> </w:t>
            </w:r>
            <w:r w:rsidRPr="00A64D79">
              <w:rPr>
                <w:lang w:val="fr-FR"/>
              </w:rPr>
              <w:t>mesures doivent être consignés par écrit</w:t>
            </w:r>
            <w:r>
              <w:rPr>
                <w:lang w:val="fr-FR"/>
              </w:rPr>
              <w:t>.</w:t>
            </w:r>
          </w:p>
          <w:p w:rsidR="008E6BE5" w:rsidRPr="00A64D79" w:rsidRDefault="008E6BE5" w:rsidP="00A64D79">
            <w:pPr>
              <w:tabs>
                <w:tab w:val="left" w:pos="288"/>
                <w:tab w:val="left" w:pos="576"/>
                <w:tab w:val="left" w:pos="864"/>
                <w:tab w:val="left" w:pos="1152"/>
              </w:tabs>
              <w:suppressAutoHyphens/>
              <w:spacing w:before="40" w:after="80"/>
              <w:ind w:right="115"/>
              <w:rPr>
                <w:lang w:val="fr-FR"/>
              </w:rPr>
            </w:pPr>
            <w:r>
              <w:rPr>
                <w:lang w:val="fr-FR"/>
              </w:rPr>
              <w:t>…</w:t>
            </w:r>
          </w:p>
        </w:tc>
        <w:tc>
          <w:tcPr>
            <w:tcW w:w="5454" w:type="dxa"/>
            <w:shd w:val="clear" w:color="auto" w:fill="auto"/>
          </w:tcPr>
          <w:p w:rsidR="00A64D79" w:rsidRPr="008C541C" w:rsidRDefault="00A64D79" w:rsidP="004F35A8">
            <w:pPr>
              <w:tabs>
                <w:tab w:val="left" w:pos="288"/>
                <w:tab w:val="left" w:pos="576"/>
                <w:tab w:val="left" w:pos="864"/>
                <w:tab w:val="left" w:pos="1152"/>
              </w:tabs>
              <w:suppressAutoHyphens/>
              <w:spacing w:before="40" w:after="80"/>
              <w:ind w:right="115"/>
              <w:rPr>
                <w:lang w:val="fr-FR"/>
              </w:rPr>
            </w:pPr>
          </w:p>
        </w:tc>
      </w:tr>
      <w:tr w:rsidR="005A7E73" w:rsidRPr="00771661" w:rsidTr="00022E93">
        <w:tc>
          <w:tcPr>
            <w:tcW w:w="13182" w:type="dxa"/>
            <w:gridSpan w:val="3"/>
            <w:shd w:val="clear" w:color="auto" w:fill="auto"/>
          </w:tcPr>
          <w:p w:rsidR="005A7E73" w:rsidRPr="005A67A6" w:rsidRDefault="005A7E73" w:rsidP="003A5341">
            <w:pPr>
              <w:tabs>
                <w:tab w:val="left" w:pos="288"/>
                <w:tab w:val="left" w:pos="576"/>
                <w:tab w:val="left" w:pos="864"/>
                <w:tab w:val="left" w:pos="1152"/>
              </w:tabs>
              <w:suppressAutoHyphens/>
              <w:spacing w:before="40" w:after="80"/>
              <w:ind w:right="115"/>
              <w:rPr>
                <w:lang w:val="fr-FR"/>
              </w:rPr>
            </w:pPr>
            <w:r w:rsidRPr="005A7E73">
              <w:rPr>
                <w:b/>
                <w:bCs/>
                <w:lang w:val="fr-FR"/>
              </w:rPr>
              <w:t xml:space="preserve">7.2.3.1 </w:t>
            </w:r>
            <w:r w:rsidRPr="005A7E73">
              <w:rPr>
                <w:b/>
                <w:bCs/>
                <w:iCs/>
                <w:lang w:val="fr-FR"/>
              </w:rPr>
              <w:t xml:space="preserve">Accès aux citernes à cargaison, citernes à restes de cargaison, chambres des pompes à cargaison sous pont, </w:t>
            </w:r>
            <w:proofErr w:type="spellStart"/>
            <w:r w:rsidRPr="005A7E73">
              <w:rPr>
                <w:b/>
                <w:bCs/>
                <w:iCs/>
                <w:lang w:val="fr-FR"/>
              </w:rPr>
              <w:t>cofferdams</w:t>
            </w:r>
            <w:proofErr w:type="spellEnd"/>
            <w:r w:rsidRPr="005A7E73">
              <w:rPr>
                <w:b/>
                <w:bCs/>
                <w:iCs/>
                <w:lang w:val="fr-FR"/>
              </w:rPr>
              <w:t>, espaces de</w:t>
            </w:r>
            <w:r w:rsidR="003A5341">
              <w:rPr>
                <w:b/>
                <w:bCs/>
                <w:iCs/>
                <w:lang w:val="fr-FR"/>
              </w:rPr>
              <w:t> </w:t>
            </w:r>
            <w:r w:rsidRPr="005A7E73">
              <w:rPr>
                <w:b/>
                <w:bCs/>
                <w:iCs/>
                <w:lang w:val="fr-FR"/>
              </w:rPr>
              <w:t>double coque, doubles fonds et espaces de cales; contrôles</w:t>
            </w:r>
          </w:p>
        </w:tc>
      </w:tr>
      <w:tr w:rsidR="00A64D79" w:rsidRPr="005A67A6" w:rsidTr="00022E93">
        <w:tc>
          <w:tcPr>
            <w:tcW w:w="1437" w:type="dxa"/>
            <w:shd w:val="clear" w:color="auto" w:fill="auto"/>
          </w:tcPr>
          <w:p w:rsidR="00A64D79" w:rsidRPr="005A67A6" w:rsidRDefault="003854A0" w:rsidP="004F35A8">
            <w:pPr>
              <w:tabs>
                <w:tab w:val="left" w:pos="288"/>
                <w:tab w:val="left" w:pos="576"/>
                <w:tab w:val="left" w:pos="864"/>
                <w:tab w:val="left" w:pos="1152"/>
              </w:tabs>
              <w:suppressAutoHyphens/>
              <w:spacing w:before="40" w:after="80"/>
              <w:ind w:right="115"/>
              <w:rPr>
                <w:lang w:val="fr-FR"/>
              </w:rPr>
            </w:pPr>
            <w:r w:rsidRPr="003156C2">
              <w:rPr>
                <w:lang w:val="fr-FR"/>
              </w:rPr>
              <w:t>7.2.3.1.4</w:t>
            </w:r>
          </w:p>
        </w:tc>
        <w:tc>
          <w:tcPr>
            <w:tcW w:w="6291" w:type="dxa"/>
            <w:shd w:val="clear" w:color="auto" w:fill="auto"/>
          </w:tcPr>
          <w:p w:rsidR="003854A0" w:rsidRPr="003156C2" w:rsidRDefault="003854A0" w:rsidP="003156C2">
            <w:pPr>
              <w:tabs>
                <w:tab w:val="left" w:pos="288"/>
                <w:tab w:val="left" w:pos="576"/>
                <w:tab w:val="left" w:pos="864"/>
                <w:tab w:val="left" w:pos="1152"/>
              </w:tabs>
              <w:suppressAutoHyphens/>
              <w:spacing w:before="40" w:after="80"/>
              <w:ind w:right="115"/>
              <w:rPr>
                <w:lang w:val="fr-FR"/>
              </w:rPr>
            </w:pPr>
            <w:r w:rsidRPr="003156C2">
              <w:rPr>
                <w:lang w:val="fr-FR"/>
              </w:rPr>
              <w:t xml:space="preserve">Dans les cas où il est prévu que l’on doit mesurer la concentration de gaz </w:t>
            </w:r>
            <w:r w:rsidRPr="003156C2">
              <w:rPr>
                <w:u w:val="single"/>
                <w:lang w:val="fr-FR"/>
              </w:rPr>
              <w:t>inflammables ou toxiques</w:t>
            </w:r>
            <w:r w:rsidRPr="003156C2">
              <w:rPr>
                <w:lang w:val="fr-FR"/>
              </w:rPr>
              <w:t xml:space="preserve"> ou la teneur en oxygène avant de pénétrer dans les citernes à cargaison, citernes à restes de cargaison, chambres des pompes sous pont, les </w:t>
            </w:r>
            <w:proofErr w:type="spellStart"/>
            <w:r w:rsidRPr="003156C2">
              <w:rPr>
                <w:lang w:val="fr-FR"/>
              </w:rPr>
              <w:t>cofferdams</w:t>
            </w:r>
            <w:proofErr w:type="spellEnd"/>
            <w:r w:rsidRPr="003156C2">
              <w:rPr>
                <w:lang w:val="fr-FR"/>
              </w:rPr>
              <w:t>, espaces de double coque, doubles fonds ou espaces de cales, les résultats de ces mesures doivent être consignés par écrit</w:t>
            </w:r>
            <w:r w:rsidR="003156C2">
              <w:rPr>
                <w:lang w:val="fr-FR"/>
              </w:rPr>
              <w:t>.</w:t>
            </w:r>
          </w:p>
          <w:p w:rsidR="00A64D79" w:rsidRPr="005A67A6" w:rsidRDefault="003854A0" w:rsidP="003156C2">
            <w:pPr>
              <w:tabs>
                <w:tab w:val="left" w:pos="288"/>
                <w:tab w:val="left" w:pos="576"/>
                <w:tab w:val="left" w:pos="864"/>
                <w:tab w:val="left" w:pos="1152"/>
              </w:tabs>
              <w:suppressAutoHyphens/>
              <w:spacing w:before="40" w:after="80"/>
              <w:ind w:right="115"/>
              <w:rPr>
                <w:lang w:val="fr-FR"/>
              </w:rPr>
            </w:pPr>
            <w:r w:rsidRPr="003156C2">
              <w:rPr>
                <w:lang w:val="fr-FR"/>
              </w:rPr>
              <w:t>…</w:t>
            </w:r>
          </w:p>
        </w:tc>
        <w:tc>
          <w:tcPr>
            <w:tcW w:w="5454" w:type="dxa"/>
            <w:shd w:val="clear" w:color="auto" w:fill="auto"/>
          </w:tcPr>
          <w:p w:rsidR="00A64D79" w:rsidRPr="005A67A6" w:rsidRDefault="00A64D79" w:rsidP="004F35A8">
            <w:pPr>
              <w:tabs>
                <w:tab w:val="left" w:pos="288"/>
                <w:tab w:val="left" w:pos="576"/>
                <w:tab w:val="left" w:pos="864"/>
                <w:tab w:val="left" w:pos="1152"/>
              </w:tabs>
              <w:suppressAutoHyphens/>
              <w:spacing w:before="40" w:after="80"/>
              <w:ind w:right="115"/>
              <w:rPr>
                <w:lang w:val="fr-FR"/>
              </w:rPr>
            </w:pPr>
          </w:p>
        </w:tc>
      </w:tr>
      <w:tr w:rsidR="003156C2" w:rsidRPr="00771661" w:rsidTr="00022E93">
        <w:tc>
          <w:tcPr>
            <w:tcW w:w="1437" w:type="dxa"/>
            <w:shd w:val="clear" w:color="auto" w:fill="auto"/>
          </w:tcPr>
          <w:p w:rsidR="003156C2" w:rsidRPr="005A67A6" w:rsidRDefault="003854A0" w:rsidP="004F35A8">
            <w:pPr>
              <w:tabs>
                <w:tab w:val="left" w:pos="288"/>
                <w:tab w:val="left" w:pos="576"/>
                <w:tab w:val="left" w:pos="864"/>
                <w:tab w:val="left" w:pos="1152"/>
              </w:tabs>
              <w:suppressAutoHyphens/>
              <w:spacing w:before="40" w:after="80"/>
              <w:ind w:right="115"/>
              <w:rPr>
                <w:lang w:val="fr-FR"/>
              </w:rPr>
            </w:pPr>
            <w:r w:rsidRPr="003156C2">
              <w:rPr>
                <w:lang w:val="fr-FR"/>
              </w:rPr>
              <w:t>7.2.3.1.5</w:t>
            </w:r>
          </w:p>
        </w:tc>
        <w:tc>
          <w:tcPr>
            <w:tcW w:w="6291" w:type="dxa"/>
            <w:shd w:val="clear" w:color="auto" w:fill="auto"/>
          </w:tcPr>
          <w:p w:rsidR="003156C2" w:rsidRPr="005A67A6" w:rsidRDefault="003854A0" w:rsidP="00C959F7">
            <w:pPr>
              <w:tabs>
                <w:tab w:val="left" w:pos="288"/>
                <w:tab w:val="left" w:pos="576"/>
                <w:tab w:val="left" w:pos="864"/>
                <w:tab w:val="left" w:pos="1152"/>
              </w:tabs>
              <w:suppressAutoHyphens/>
              <w:spacing w:before="40" w:after="80"/>
              <w:ind w:right="115"/>
              <w:rPr>
                <w:lang w:val="fr-FR"/>
              </w:rPr>
            </w:pPr>
            <w:r w:rsidRPr="00C959F7">
              <w:rPr>
                <w:lang w:val="fr-FR"/>
              </w:rPr>
              <w:t xml:space="preserve">Avant que quiconque ne pénètre dans une citerne à cargaison, </w:t>
            </w:r>
            <w:r w:rsidRPr="00C959F7">
              <w:rPr>
                <w:bCs/>
                <w:iCs/>
                <w:u w:val="single"/>
                <w:lang w:val="fr-FR"/>
              </w:rPr>
              <w:t>une</w:t>
            </w:r>
            <w:r w:rsidR="00C959F7">
              <w:rPr>
                <w:bCs/>
                <w:iCs/>
                <w:u w:val="single"/>
                <w:lang w:val="fr-FR"/>
              </w:rPr>
              <w:t> </w:t>
            </w:r>
            <w:r w:rsidRPr="00C959F7">
              <w:rPr>
                <w:bCs/>
                <w:iCs/>
                <w:u w:val="single"/>
                <w:lang w:val="fr-FR"/>
              </w:rPr>
              <w:t>citerne à restes de cargaison</w:t>
            </w:r>
            <w:r w:rsidRPr="00C959F7">
              <w:rPr>
                <w:lang w:val="fr-FR"/>
              </w:rPr>
              <w:t xml:space="preserve">, une chambre des pompes à cargaison sous pont, un </w:t>
            </w:r>
            <w:proofErr w:type="spellStart"/>
            <w:r w:rsidRPr="00C959F7">
              <w:rPr>
                <w:lang w:val="fr-FR"/>
              </w:rPr>
              <w:t>cofferdam</w:t>
            </w:r>
            <w:proofErr w:type="spellEnd"/>
            <w:r w:rsidRPr="00C959F7">
              <w:rPr>
                <w:lang w:val="fr-FR"/>
              </w:rPr>
              <w:t>, un espace de double coque, un double fond ou un espace de cale</w:t>
            </w:r>
            <w:r w:rsidR="00C959F7">
              <w:rPr>
                <w:lang w:val="fr-FR"/>
              </w:rPr>
              <w:t> </w:t>
            </w:r>
            <w:r w:rsidRPr="00C959F7">
              <w:rPr>
                <w:lang w:val="fr-FR"/>
              </w:rPr>
              <w:t>:</w:t>
            </w:r>
          </w:p>
        </w:tc>
        <w:tc>
          <w:tcPr>
            <w:tcW w:w="5454" w:type="dxa"/>
            <w:shd w:val="clear" w:color="auto" w:fill="auto"/>
          </w:tcPr>
          <w:p w:rsidR="003854A0" w:rsidRPr="008D3433" w:rsidRDefault="003854A0" w:rsidP="008D3433">
            <w:pPr>
              <w:tabs>
                <w:tab w:val="left" w:pos="288"/>
                <w:tab w:val="left" w:pos="576"/>
                <w:tab w:val="left" w:pos="864"/>
                <w:tab w:val="left" w:pos="1152"/>
              </w:tabs>
              <w:suppressAutoHyphens/>
              <w:spacing w:before="40" w:after="80"/>
              <w:ind w:right="115"/>
              <w:rPr>
                <w:b/>
                <w:lang w:val="fr-FR"/>
              </w:rPr>
            </w:pPr>
            <w:r w:rsidRPr="008D3433">
              <w:rPr>
                <w:b/>
                <w:lang w:val="fr-FR"/>
              </w:rPr>
              <w:t>Proposition</w:t>
            </w:r>
          </w:p>
          <w:p w:rsidR="003156C2" w:rsidRPr="005A67A6" w:rsidRDefault="003854A0" w:rsidP="008D3433">
            <w:pPr>
              <w:tabs>
                <w:tab w:val="left" w:pos="288"/>
                <w:tab w:val="left" w:pos="576"/>
                <w:tab w:val="left" w:pos="864"/>
                <w:tab w:val="left" w:pos="1152"/>
              </w:tabs>
              <w:suppressAutoHyphens/>
              <w:spacing w:before="40" w:after="80"/>
              <w:ind w:right="115"/>
              <w:rPr>
                <w:lang w:val="fr-FR"/>
              </w:rPr>
            </w:pPr>
            <w:r w:rsidRPr="008D3433">
              <w:rPr>
                <w:lang w:val="fr-FR"/>
              </w:rPr>
              <w:t>Ajouter «</w:t>
            </w:r>
            <w:r w:rsidR="008D3433">
              <w:rPr>
                <w:lang w:val="fr-FR"/>
              </w:rPr>
              <w:t> </w:t>
            </w:r>
            <w:r w:rsidRPr="008D3433">
              <w:rPr>
                <w:lang w:val="fr-FR"/>
              </w:rPr>
              <w:t>citerne à restes de cargaison</w:t>
            </w:r>
            <w:r w:rsidR="008D3433">
              <w:rPr>
                <w:lang w:val="fr-FR"/>
              </w:rPr>
              <w:t> </w:t>
            </w:r>
            <w:r w:rsidRPr="008D3433">
              <w:rPr>
                <w:lang w:val="fr-FR"/>
              </w:rPr>
              <w:t>».</w:t>
            </w:r>
          </w:p>
        </w:tc>
      </w:tr>
      <w:tr w:rsidR="003156C2" w:rsidRPr="00771661" w:rsidTr="00022E93">
        <w:tc>
          <w:tcPr>
            <w:tcW w:w="1437" w:type="dxa"/>
            <w:shd w:val="clear" w:color="auto" w:fill="auto"/>
          </w:tcPr>
          <w:p w:rsidR="003156C2" w:rsidRPr="005A67A6" w:rsidRDefault="003156C2" w:rsidP="004F35A8">
            <w:pPr>
              <w:tabs>
                <w:tab w:val="left" w:pos="288"/>
                <w:tab w:val="left" w:pos="576"/>
                <w:tab w:val="left" w:pos="864"/>
                <w:tab w:val="left" w:pos="1152"/>
              </w:tabs>
              <w:suppressAutoHyphens/>
              <w:spacing w:before="40" w:after="80"/>
              <w:ind w:right="115"/>
              <w:rPr>
                <w:lang w:val="fr-FR"/>
              </w:rPr>
            </w:pPr>
          </w:p>
        </w:tc>
        <w:tc>
          <w:tcPr>
            <w:tcW w:w="6291" w:type="dxa"/>
            <w:shd w:val="clear" w:color="auto" w:fill="auto"/>
          </w:tcPr>
          <w:p w:rsidR="003156C2" w:rsidRPr="005A67A6" w:rsidRDefault="003854A0" w:rsidP="00CD25E9">
            <w:pPr>
              <w:tabs>
                <w:tab w:val="left" w:pos="288"/>
                <w:tab w:val="left" w:pos="576"/>
                <w:tab w:val="left" w:pos="864"/>
                <w:tab w:val="left" w:pos="1152"/>
              </w:tabs>
              <w:suppressAutoHyphens/>
              <w:spacing w:before="40" w:after="80"/>
              <w:ind w:right="115"/>
              <w:rPr>
                <w:lang w:val="fr-FR"/>
              </w:rPr>
            </w:pPr>
            <w:r w:rsidRPr="00CD25E9">
              <w:rPr>
                <w:lang w:val="fr-FR"/>
              </w:rPr>
              <w:t xml:space="preserve">a) lorsque des matières dangereuses des classes 2, 3, 4.1, 6.1, 8 ou 9, pour lesquelles la colonne (18) du tableau C du chapitre 3.2 exige un détecteur de gaz inflammable, sont transportées sur le bateau, on doit s’assurer, au moyen de cet instrument, que la concentration de gaz </w:t>
            </w:r>
            <w:r w:rsidRPr="00CD25E9">
              <w:rPr>
                <w:u w:val="single"/>
                <w:lang w:val="fr-FR"/>
              </w:rPr>
              <w:t>inflammables</w:t>
            </w:r>
            <w:r w:rsidRPr="00CD25E9">
              <w:rPr>
                <w:lang w:val="fr-FR"/>
              </w:rPr>
              <w:t xml:space="preserve"> dans la citerne à cargaison, </w:t>
            </w:r>
            <w:r w:rsidRPr="00CD25E9">
              <w:rPr>
                <w:u w:val="single"/>
                <w:lang w:val="fr-FR"/>
              </w:rPr>
              <w:t>la citerne à restes de cargaison</w:t>
            </w:r>
            <w:r w:rsidRPr="00CD25E9">
              <w:rPr>
                <w:lang w:val="fr-FR"/>
              </w:rPr>
              <w:t xml:space="preserve">, la chambre des pompes à cargaison sous pont, le </w:t>
            </w:r>
            <w:proofErr w:type="spellStart"/>
            <w:r w:rsidRPr="00CD25E9">
              <w:rPr>
                <w:lang w:val="fr-FR"/>
              </w:rPr>
              <w:t>cofferdam</w:t>
            </w:r>
            <w:proofErr w:type="spellEnd"/>
            <w:r w:rsidRPr="00CD25E9">
              <w:rPr>
                <w:lang w:val="fr-FR"/>
              </w:rPr>
              <w:t>, l’espace de double coque, le double fond ou l’espace de cale est inférieure à 50</w:t>
            </w:r>
            <w:r w:rsidR="00CD25E9">
              <w:rPr>
                <w:lang w:val="fr-FR"/>
              </w:rPr>
              <w:t> </w:t>
            </w:r>
            <w:r w:rsidRPr="00CD25E9">
              <w:rPr>
                <w:lang w:val="fr-FR"/>
              </w:rPr>
              <w:t xml:space="preserve">% de la </w:t>
            </w:r>
            <w:r w:rsidRPr="00CD25E9">
              <w:rPr>
                <w:u w:val="single"/>
                <w:lang w:val="fr-FR"/>
              </w:rPr>
              <w:t>LIE</w:t>
            </w:r>
            <w:r w:rsidRPr="00CD25E9">
              <w:rPr>
                <w:lang w:val="fr-FR"/>
              </w:rPr>
              <w:t xml:space="preserve"> </w:t>
            </w:r>
            <w:r w:rsidRPr="00CD25E9">
              <w:rPr>
                <w:strike/>
                <w:lang w:val="fr-FR"/>
              </w:rPr>
              <w:t xml:space="preserve">limite inférieure </w:t>
            </w:r>
            <w:r w:rsidRPr="00DD2F9C">
              <w:rPr>
                <w:strike/>
                <w:lang w:val="fr-FR"/>
              </w:rPr>
              <w:t>d’explosivité</w:t>
            </w:r>
            <w:r w:rsidRPr="00DD2F9C">
              <w:rPr>
                <w:lang w:val="fr-FR"/>
              </w:rPr>
              <w:t xml:space="preserve"> de la matière transportée. Pour la chambre des pompes à cargaison sous pont, on peut le faire au moyen de l’installation permanente de détection de gaz</w:t>
            </w:r>
            <w:r w:rsidR="0056582E" w:rsidRPr="007709FD">
              <w:rPr>
                <w:spacing w:val="3"/>
                <w:lang w:val="fr-FR"/>
              </w:rPr>
              <w:t>;</w:t>
            </w:r>
          </w:p>
        </w:tc>
        <w:tc>
          <w:tcPr>
            <w:tcW w:w="5454" w:type="dxa"/>
            <w:shd w:val="clear" w:color="auto" w:fill="auto"/>
          </w:tcPr>
          <w:p w:rsidR="003854A0" w:rsidRPr="00AE5EDA" w:rsidRDefault="003854A0" w:rsidP="00AE5EDA">
            <w:pPr>
              <w:tabs>
                <w:tab w:val="left" w:pos="288"/>
                <w:tab w:val="left" w:pos="576"/>
                <w:tab w:val="left" w:pos="864"/>
                <w:tab w:val="left" w:pos="1152"/>
              </w:tabs>
              <w:suppressAutoHyphens/>
              <w:spacing w:before="40" w:after="80"/>
              <w:ind w:right="115"/>
              <w:rPr>
                <w:b/>
                <w:lang w:val="fr-FR"/>
              </w:rPr>
            </w:pPr>
            <w:r w:rsidRPr="00AE5EDA">
              <w:rPr>
                <w:b/>
                <w:lang w:val="fr-FR"/>
              </w:rPr>
              <w:t>Justification</w:t>
            </w:r>
          </w:p>
          <w:p w:rsidR="003156C2" w:rsidRPr="005A67A6" w:rsidRDefault="003854A0" w:rsidP="00FE2831">
            <w:pPr>
              <w:tabs>
                <w:tab w:val="left" w:pos="288"/>
                <w:tab w:val="left" w:pos="576"/>
                <w:tab w:val="left" w:pos="864"/>
                <w:tab w:val="left" w:pos="1152"/>
              </w:tabs>
              <w:suppressAutoHyphens/>
              <w:spacing w:before="40" w:after="80"/>
              <w:ind w:right="115"/>
              <w:rPr>
                <w:lang w:val="fr-FR"/>
              </w:rPr>
            </w:pPr>
            <w:r w:rsidRPr="00AE5EDA">
              <w:rPr>
                <w:lang w:val="fr-FR"/>
              </w:rPr>
              <w:t>L’intitulé du 7.2.3.1 mentionne les citernes à</w:t>
            </w:r>
            <w:r w:rsidR="00FE2831">
              <w:rPr>
                <w:lang w:val="fr-FR"/>
              </w:rPr>
              <w:t xml:space="preserve"> </w:t>
            </w:r>
            <w:r w:rsidRPr="00AE5EDA">
              <w:rPr>
                <w:lang w:val="fr-FR"/>
              </w:rPr>
              <w:t>restes de</w:t>
            </w:r>
            <w:r w:rsidR="00FE2831">
              <w:rPr>
                <w:lang w:val="fr-FR"/>
              </w:rPr>
              <w:t> </w:t>
            </w:r>
            <w:r w:rsidRPr="00AE5EDA">
              <w:rPr>
                <w:lang w:val="fr-FR"/>
              </w:rPr>
              <w:t>cargaison, mais celles-ci n’apparaissent pas dans les</w:t>
            </w:r>
            <w:r w:rsidR="00FE2831">
              <w:rPr>
                <w:lang w:val="fr-FR"/>
              </w:rPr>
              <w:t> </w:t>
            </w:r>
            <w:r w:rsidRPr="00AE5EDA">
              <w:rPr>
                <w:lang w:val="fr-FR"/>
              </w:rPr>
              <w:t>dispositions pertinentes.</w:t>
            </w:r>
          </w:p>
        </w:tc>
      </w:tr>
      <w:tr w:rsidR="00F224A5" w:rsidRPr="00771661" w:rsidTr="00022E93">
        <w:tc>
          <w:tcPr>
            <w:tcW w:w="1437" w:type="dxa"/>
            <w:shd w:val="clear" w:color="auto" w:fill="auto"/>
          </w:tcPr>
          <w:p w:rsidR="00F224A5" w:rsidRPr="005A67A6" w:rsidRDefault="00F224A5" w:rsidP="004F35A8">
            <w:pPr>
              <w:tabs>
                <w:tab w:val="left" w:pos="288"/>
                <w:tab w:val="left" w:pos="576"/>
                <w:tab w:val="left" w:pos="864"/>
                <w:tab w:val="left" w:pos="1152"/>
              </w:tabs>
              <w:suppressAutoHyphens/>
              <w:spacing w:before="40" w:after="80"/>
              <w:ind w:right="115"/>
              <w:rPr>
                <w:lang w:val="fr-FR"/>
              </w:rPr>
            </w:pPr>
          </w:p>
        </w:tc>
        <w:tc>
          <w:tcPr>
            <w:tcW w:w="6291" w:type="dxa"/>
            <w:shd w:val="clear" w:color="auto" w:fill="auto"/>
          </w:tcPr>
          <w:p w:rsidR="00F224A5" w:rsidRPr="00CD25E9" w:rsidRDefault="003854A0" w:rsidP="00CD25E9">
            <w:pPr>
              <w:tabs>
                <w:tab w:val="left" w:pos="288"/>
                <w:tab w:val="left" w:pos="576"/>
                <w:tab w:val="left" w:pos="864"/>
                <w:tab w:val="left" w:pos="1152"/>
              </w:tabs>
              <w:suppressAutoHyphens/>
              <w:spacing w:before="40" w:after="80"/>
              <w:ind w:right="115"/>
              <w:rPr>
                <w:lang w:val="fr-FR"/>
              </w:rPr>
            </w:pPr>
            <w:r w:rsidRPr="00F224A5">
              <w:rPr>
                <w:lang w:val="fr-FR"/>
              </w:rPr>
              <w:t xml:space="preserve">b) lorsque des matières dangereuses des classes 2, 3, 4.1, 6.1, 8 ou 9, pour lesquelles la colonne (18) du tableau C du chapitre 3.2 exige un </w:t>
            </w:r>
            <w:proofErr w:type="spellStart"/>
            <w:r w:rsidRPr="00F224A5">
              <w:rPr>
                <w:lang w:val="fr-FR"/>
              </w:rPr>
              <w:t>toximètre</w:t>
            </w:r>
            <w:proofErr w:type="spellEnd"/>
            <w:r w:rsidRPr="00F224A5">
              <w:rPr>
                <w:lang w:val="fr-FR"/>
              </w:rPr>
              <w:t xml:space="preserve">, sont transportées sur le bateau, on doit s’assurer, au moyen de cet instrument, que la citerne à cargaison, </w:t>
            </w:r>
            <w:r w:rsidRPr="00F224A5">
              <w:rPr>
                <w:u w:val="single"/>
                <w:lang w:val="fr-FR"/>
              </w:rPr>
              <w:t>la citerne à restes de cargaison,</w:t>
            </w:r>
            <w:r w:rsidRPr="00F224A5">
              <w:rPr>
                <w:lang w:val="fr-FR"/>
              </w:rPr>
              <w:t xml:space="preserve"> la chambre des pompes à cargaison sous pont, le </w:t>
            </w:r>
            <w:proofErr w:type="spellStart"/>
            <w:r w:rsidRPr="00F224A5">
              <w:rPr>
                <w:lang w:val="fr-FR"/>
              </w:rPr>
              <w:t>cofferdam</w:t>
            </w:r>
            <w:proofErr w:type="spellEnd"/>
            <w:r w:rsidRPr="00F224A5">
              <w:rPr>
                <w:lang w:val="fr-FR"/>
              </w:rPr>
              <w:t>, l’espace de double coque, le double fond ou l’espace de cale ne contiennent pas une concentration notable de gaz toxiques.</w:t>
            </w:r>
          </w:p>
        </w:tc>
        <w:tc>
          <w:tcPr>
            <w:tcW w:w="5454" w:type="dxa"/>
            <w:shd w:val="clear" w:color="auto" w:fill="auto"/>
          </w:tcPr>
          <w:p w:rsidR="00F224A5" w:rsidRPr="00AE5EDA" w:rsidRDefault="00F224A5" w:rsidP="00AE5EDA">
            <w:pPr>
              <w:tabs>
                <w:tab w:val="left" w:pos="288"/>
                <w:tab w:val="left" w:pos="576"/>
                <w:tab w:val="left" w:pos="864"/>
                <w:tab w:val="left" w:pos="1152"/>
              </w:tabs>
              <w:suppressAutoHyphens/>
              <w:spacing w:before="40" w:after="80"/>
              <w:ind w:right="115"/>
              <w:rPr>
                <w:b/>
                <w:lang w:val="fr-FR"/>
              </w:rPr>
            </w:pPr>
          </w:p>
        </w:tc>
      </w:tr>
      <w:tr w:rsidR="00F224A5" w:rsidRPr="00771661" w:rsidTr="00022E93">
        <w:tc>
          <w:tcPr>
            <w:tcW w:w="1437" w:type="dxa"/>
            <w:shd w:val="clear" w:color="auto" w:fill="auto"/>
          </w:tcPr>
          <w:p w:rsidR="00F224A5" w:rsidRPr="005A67A6" w:rsidRDefault="00F224A5" w:rsidP="004F35A8">
            <w:pPr>
              <w:tabs>
                <w:tab w:val="left" w:pos="288"/>
                <w:tab w:val="left" w:pos="576"/>
                <w:tab w:val="left" w:pos="864"/>
                <w:tab w:val="left" w:pos="1152"/>
              </w:tabs>
              <w:suppressAutoHyphens/>
              <w:spacing w:before="40" w:after="80"/>
              <w:ind w:right="115"/>
              <w:rPr>
                <w:lang w:val="fr-FR"/>
              </w:rPr>
            </w:pPr>
          </w:p>
        </w:tc>
        <w:tc>
          <w:tcPr>
            <w:tcW w:w="6291" w:type="dxa"/>
            <w:shd w:val="clear" w:color="auto" w:fill="auto"/>
          </w:tcPr>
          <w:p w:rsidR="00F224A5" w:rsidRPr="00CD25E9" w:rsidRDefault="003854A0" w:rsidP="00CD25E9">
            <w:pPr>
              <w:tabs>
                <w:tab w:val="left" w:pos="288"/>
                <w:tab w:val="left" w:pos="576"/>
                <w:tab w:val="left" w:pos="864"/>
                <w:tab w:val="left" w:pos="1152"/>
              </w:tabs>
              <w:suppressAutoHyphens/>
              <w:spacing w:before="40" w:after="80"/>
              <w:ind w:right="115"/>
              <w:rPr>
                <w:lang w:val="fr-FR"/>
              </w:rPr>
            </w:pPr>
            <w:r w:rsidRPr="00F224A5">
              <w:rPr>
                <w:u w:val="single"/>
                <w:lang w:val="fr-FR"/>
              </w:rPr>
              <w:t>Contrairement à ce que dispose le 1.1.4.6, la législation nationale relative à l’accès aux cales l’emporte sur l’ADN</w:t>
            </w:r>
            <w:r w:rsidRPr="00F224A5">
              <w:rPr>
                <w:lang w:val="fr-FR"/>
              </w:rPr>
              <w:t>.</w:t>
            </w:r>
          </w:p>
        </w:tc>
        <w:tc>
          <w:tcPr>
            <w:tcW w:w="5454" w:type="dxa"/>
            <w:shd w:val="clear" w:color="auto" w:fill="auto"/>
          </w:tcPr>
          <w:p w:rsidR="00F224A5" w:rsidRPr="00AE5EDA" w:rsidRDefault="00F224A5" w:rsidP="00AE5EDA">
            <w:pPr>
              <w:tabs>
                <w:tab w:val="left" w:pos="288"/>
                <w:tab w:val="left" w:pos="576"/>
                <w:tab w:val="left" w:pos="864"/>
                <w:tab w:val="left" w:pos="1152"/>
              </w:tabs>
              <w:suppressAutoHyphens/>
              <w:spacing w:before="40" w:after="80"/>
              <w:ind w:right="115"/>
              <w:rPr>
                <w:b/>
                <w:lang w:val="fr-FR"/>
              </w:rPr>
            </w:pPr>
          </w:p>
        </w:tc>
      </w:tr>
      <w:tr w:rsidR="00F224A5" w:rsidRPr="00771661" w:rsidTr="00022E93">
        <w:tc>
          <w:tcPr>
            <w:tcW w:w="1437" w:type="dxa"/>
            <w:shd w:val="clear" w:color="auto" w:fill="auto"/>
          </w:tcPr>
          <w:p w:rsidR="00F224A5" w:rsidRPr="005A67A6" w:rsidRDefault="003854A0" w:rsidP="00CD26A7">
            <w:pPr>
              <w:tabs>
                <w:tab w:val="left" w:pos="288"/>
                <w:tab w:val="left" w:pos="576"/>
                <w:tab w:val="left" w:pos="864"/>
                <w:tab w:val="left" w:pos="1152"/>
              </w:tabs>
              <w:suppressAutoHyphens/>
              <w:spacing w:before="40" w:after="80"/>
              <w:ind w:right="115"/>
              <w:rPr>
                <w:lang w:val="fr-FR"/>
              </w:rPr>
            </w:pPr>
            <w:r w:rsidRPr="00F51111">
              <w:rPr>
                <w:lang w:val="fr-FR"/>
              </w:rPr>
              <w:t>7.2.3.1.6</w:t>
            </w:r>
          </w:p>
        </w:tc>
        <w:tc>
          <w:tcPr>
            <w:tcW w:w="6291" w:type="dxa"/>
            <w:shd w:val="clear" w:color="auto" w:fill="auto"/>
          </w:tcPr>
          <w:p w:rsidR="003854A0" w:rsidRPr="00F51111" w:rsidRDefault="003854A0" w:rsidP="00CD26A7">
            <w:pPr>
              <w:tabs>
                <w:tab w:val="left" w:pos="288"/>
                <w:tab w:val="left" w:pos="576"/>
                <w:tab w:val="left" w:pos="864"/>
                <w:tab w:val="left" w:pos="1152"/>
              </w:tabs>
              <w:suppressAutoHyphens/>
              <w:spacing w:before="40" w:after="80"/>
              <w:ind w:right="115"/>
              <w:rPr>
                <w:lang w:val="fr-FR"/>
              </w:rPr>
            </w:pPr>
            <w:r w:rsidRPr="00F51111">
              <w:rPr>
                <w:lang w:val="fr-FR"/>
              </w:rPr>
              <w:t xml:space="preserve">On ne doit pénétrer dans une citerne à cargaison, une chambre des pompes à cargaison sous pont, un </w:t>
            </w:r>
            <w:proofErr w:type="spellStart"/>
            <w:r w:rsidRPr="00F51111">
              <w:rPr>
                <w:lang w:val="fr-FR"/>
              </w:rPr>
              <w:t>cofferdam</w:t>
            </w:r>
            <w:proofErr w:type="spellEnd"/>
            <w:r w:rsidRPr="00F51111">
              <w:rPr>
                <w:lang w:val="fr-FR"/>
              </w:rPr>
              <w:t xml:space="preserve">, un espace de double coque, un double fond ou un espace de cale </w:t>
            </w:r>
            <w:r w:rsidRPr="00F51111">
              <w:rPr>
                <w:u w:val="single"/>
                <w:lang w:val="fr-FR"/>
              </w:rPr>
              <w:t>que</w:t>
            </w:r>
            <w:r w:rsidR="0001095E" w:rsidRPr="0001095E">
              <w:rPr>
                <w:lang w:val="fr-FR"/>
              </w:rPr>
              <w:t> </w:t>
            </w:r>
            <w:r w:rsidRPr="0001095E">
              <w:rPr>
                <w:lang w:val="fr-FR"/>
              </w:rPr>
              <w:t>:</w:t>
            </w:r>
          </w:p>
          <w:p w:rsidR="003854A0" w:rsidRPr="00EE4150" w:rsidRDefault="00EE4150" w:rsidP="00CD26A7">
            <w:pPr>
              <w:tabs>
                <w:tab w:val="left" w:pos="288"/>
                <w:tab w:val="left" w:pos="576"/>
                <w:tab w:val="left" w:pos="864"/>
                <w:tab w:val="left" w:pos="1152"/>
              </w:tabs>
              <w:suppressAutoHyphens/>
              <w:spacing w:before="40" w:after="80"/>
              <w:ind w:right="115"/>
              <w:rPr>
                <w:strike/>
                <w:lang w:val="fr-FR"/>
              </w:rPr>
            </w:pPr>
            <w:r w:rsidRPr="00EE4150">
              <w:rPr>
                <w:strike/>
                <w:lang w:val="fr-FR"/>
              </w:rPr>
              <w:t>–</w:t>
            </w:r>
            <w:r w:rsidR="003854A0" w:rsidRPr="00EE4150">
              <w:rPr>
                <w:strike/>
                <w:lang w:val="fr-FR"/>
              </w:rPr>
              <w:t xml:space="preserve"> que si la concentration en oxygène est suffisante et s’il n’y a pas de concentration mesurable de substances</w:t>
            </w:r>
            <w:r>
              <w:rPr>
                <w:strike/>
                <w:lang w:val="fr-FR"/>
              </w:rPr>
              <w:t xml:space="preserve"> dangereuses;</w:t>
            </w:r>
          </w:p>
          <w:p w:rsidR="003854A0" w:rsidRPr="00EE4150" w:rsidRDefault="003854A0" w:rsidP="00CD26A7">
            <w:pPr>
              <w:tabs>
                <w:tab w:val="left" w:pos="288"/>
                <w:tab w:val="left" w:pos="576"/>
                <w:tab w:val="left" w:pos="864"/>
                <w:tab w:val="left" w:pos="1152"/>
              </w:tabs>
              <w:suppressAutoHyphens/>
              <w:spacing w:before="40" w:after="80"/>
              <w:ind w:right="115"/>
              <w:rPr>
                <w:strike/>
                <w:lang w:val="fr-FR"/>
              </w:rPr>
            </w:pPr>
            <w:r w:rsidRPr="00EE4150">
              <w:rPr>
                <w:strike/>
                <w:lang w:val="fr-FR"/>
              </w:rPr>
              <w:t>ou</w:t>
            </w:r>
          </w:p>
          <w:p w:rsidR="003854A0" w:rsidRPr="00EE4150" w:rsidRDefault="00EE4150" w:rsidP="00CD26A7">
            <w:pPr>
              <w:tabs>
                <w:tab w:val="left" w:pos="288"/>
                <w:tab w:val="left" w:pos="576"/>
                <w:tab w:val="left" w:pos="864"/>
                <w:tab w:val="left" w:pos="1152"/>
              </w:tabs>
              <w:suppressAutoHyphens/>
              <w:spacing w:before="40" w:after="80"/>
              <w:ind w:right="115"/>
              <w:rPr>
                <w:strike/>
                <w:lang w:val="fr-FR"/>
              </w:rPr>
            </w:pPr>
            <w:r w:rsidRPr="00EE4150">
              <w:rPr>
                <w:strike/>
                <w:lang w:val="fr-FR"/>
              </w:rPr>
              <w:t>–</w:t>
            </w:r>
            <w:r w:rsidR="003854A0" w:rsidRPr="00EE4150">
              <w:rPr>
                <w:strike/>
                <w:lang w:val="fr-FR"/>
              </w:rPr>
              <w:t xml:space="preserve"> que si la personne qui y pénètre porte un appareil respiratoire autonome et les autres équipements de protection et de secours nécessaires et si elle est assurée par une corde. L’entrée dans ces espaces n’est autorisée que si cette opération est surveillée par une deuxième personne ayant à sa disposition le même équipement de protection. Deux autres personnes capables de prêter assistance en cas d’urgence doivent être sur le bateau à portée de voix. Il suffira cependant d’une seule autre personne si un treuil de sauvetage est installé.</w:t>
            </w:r>
          </w:p>
          <w:p w:rsidR="003854A0" w:rsidRPr="00F51111" w:rsidRDefault="00EE4150" w:rsidP="00CD26A7">
            <w:pPr>
              <w:tabs>
                <w:tab w:val="left" w:pos="288"/>
                <w:tab w:val="left" w:pos="576"/>
                <w:tab w:val="left" w:pos="864"/>
                <w:tab w:val="left" w:pos="1152"/>
              </w:tabs>
              <w:suppressAutoHyphens/>
              <w:spacing w:before="40" w:after="80"/>
              <w:ind w:right="115"/>
              <w:rPr>
                <w:lang w:val="fr-FR"/>
              </w:rPr>
            </w:pPr>
            <w:r>
              <w:rPr>
                <w:lang w:val="fr-FR"/>
              </w:rPr>
              <w:t>–</w:t>
            </w:r>
            <w:r w:rsidR="003854A0" w:rsidRPr="00F51111">
              <w:rPr>
                <w:lang w:val="fr-FR"/>
              </w:rPr>
              <w:t xml:space="preserve"> </w:t>
            </w:r>
            <w:r w:rsidR="003854A0" w:rsidRPr="00F51111">
              <w:rPr>
                <w:u w:val="single"/>
                <w:lang w:val="fr-FR"/>
              </w:rPr>
              <w:t>si la concentration de gaz inflammables dans la cale, l’espace de</w:t>
            </w:r>
            <w:r w:rsidR="00FE2831">
              <w:rPr>
                <w:u w:val="single"/>
                <w:lang w:val="fr-FR"/>
              </w:rPr>
              <w:t xml:space="preserve"> </w:t>
            </w:r>
            <w:r w:rsidR="003854A0" w:rsidRPr="00F51111">
              <w:rPr>
                <w:u w:val="single"/>
                <w:lang w:val="fr-FR"/>
              </w:rPr>
              <w:t>double coque ou le double fond est inférieure à 10</w:t>
            </w:r>
            <w:r w:rsidR="00CE76BA">
              <w:rPr>
                <w:u w:val="single"/>
                <w:lang w:val="fr-FR"/>
              </w:rPr>
              <w:t> </w:t>
            </w:r>
            <w:r w:rsidR="003854A0" w:rsidRPr="00F51111">
              <w:rPr>
                <w:u w:val="single"/>
                <w:lang w:val="fr-FR"/>
              </w:rPr>
              <w:t>% de la LIE, la</w:t>
            </w:r>
            <w:r w:rsidR="00FE2831">
              <w:rPr>
                <w:u w:val="single"/>
                <w:lang w:val="fr-FR"/>
              </w:rPr>
              <w:t xml:space="preserve"> </w:t>
            </w:r>
            <w:r w:rsidR="003854A0" w:rsidRPr="00F51111">
              <w:rPr>
                <w:u w:val="single"/>
                <w:lang w:val="fr-FR"/>
              </w:rPr>
              <w:t>concentration de gaz toxiques est inférieure à un pourcentage considéré comme dangereux et la teneur en oxygène est supérieure ou égale à 20</w:t>
            </w:r>
            <w:r w:rsidR="00CE76BA">
              <w:rPr>
                <w:u w:val="single"/>
                <w:lang w:val="fr-FR"/>
              </w:rPr>
              <w:t> </w:t>
            </w:r>
            <w:r w:rsidR="003854A0" w:rsidRPr="00F51111">
              <w:rPr>
                <w:u w:val="single"/>
                <w:lang w:val="fr-FR"/>
              </w:rPr>
              <w:t>% en volume;</w:t>
            </w:r>
            <w:r w:rsidR="003854A0" w:rsidRPr="00F51111">
              <w:rPr>
                <w:lang w:val="fr-FR"/>
              </w:rPr>
              <w:t xml:space="preserve"> </w:t>
            </w:r>
          </w:p>
          <w:p w:rsidR="003854A0" w:rsidRPr="00F51111" w:rsidRDefault="003854A0" w:rsidP="00CD26A7">
            <w:pPr>
              <w:tabs>
                <w:tab w:val="left" w:pos="288"/>
                <w:tab w:val="left" w:pos="576"/>
                <w:tab w:val="left" w:pos="864"/>
                <w:tab w:val="left" w:pos="1152"/>
              </w:tabs>
              <w:suppressAutoHyphens/>
              <w:spacing w:before="40" w:after="80"/>
              <w:ind w:right="115"/>
              <w:rPr>
                <w:u w:val="single"/>
                <w:lang w:val="fr-FR"/>
              </w:rPr>
            </w:pPr>
            <w:r w:rsidRPr="00F51111">
              <w:rPr>
                <w:u w:val="single"/>
                <w:lang w:val="fr-FR"/>
              </w:rPr>
              <w:t>ou</w:t>
            </w:r>
          </w:p>
          <w:p w:rsidR="003854A0" w:rsidRPr="00F51111" w:rsidRDefault="00EE4150" w:rsidP="00CD26A7">
            <w:pPr>
              <w:tabs>
                <w:tab w:val="left" w:pos="288"/>
                <w:tab w:val="left" w:pos="576"/>
                <w:tab w:val="left" w:pos="864"/>
                <w:tab w:val="left" w:pos="1152"/>
              </w:tabs>
              <w:suppressAutoHyphens/>
              <w:spacing w:before="40" w:after="80"/>
              <w:ind w:right="115"/>
              <w:rPr>
                <w:u w:val="single"/>
                <w:lang w:val="fr-FR"/>
              </w:rPr>
            </w:pPr>
            <w:r>
              <w:rPr>
                <w:lang w:val="fr-FR"/>
              </w:rPr>
              <w:t>–</w:t>
            </w:r>
            <w:r w:rsidR="003854A0" w:rsidRPr="00F51111">
              <w:rPr>
                <w:lang w:val="fr-FR"/>
              </w:rPr>
              <w:t xml:space="preserve"> </w:t>
            </w:r>
            <w:r w:rsidR="003854A0" w:rsidRPr="00F51111">
              <w:rPr>
                <w:u w:val="single"/>
                <w:lang w:val="fr-FR"/>
              </w:rPr>
              <w:t>si la concentration de gaz inflammables dans la cale l’espace de</w:t>
            </w:r>
            <w:r w:rsidR="00FE2831">
              <w:rPr>
                <w:u w:val="single"/>
                <w:lang w:val="fr-FR"/>
              </w:rPr>
              <w:t xml:space="preserve"> </w:t>
            </w:r>
            <w:r w:rsidR="003854A0" w:rsidRPr="00F51111">
              <w:rPr>
                <w:u w:val="single"/>
                <w:lang w:val="fr-FR"/>
              </w:rPr>
              <w:t>double coque ou le double fond est inférieure à 10</w:t>
            </w:r>
            <w:r w:rsidR="00CE76BA">
              <w:rPr>
                <w:u w:val="single"/>
                <w:lang w:val="fr-FR"/>
              </w:rPr>
              <w:t> </w:t>
            </w:r>
            <w:r w:rsidR="003854A0" w:rsidRPr="00F51111">
              <w:rPr>
                <w:u w:val="single"/>
                <w:lang w:val="fr-FR"/>
              </w:rPr>
              <w:t xml:space="preserve">% de la LIE, et si la personne qui y pénètre porte un appareil respiratoire autonome et les autres équipements de protection et de secours nécessaires et si elle est assurée par une corde. </w:t>
            </w:r>
          </w:p>
          <w:p w:rsidR="00F224A5" w:rsidRPr="00CD25E9" w:rsidRDefault="003854A0" w:rsidP="00CD26A7">
            <w:pPr>
              <w:tabs>
                <w:tab w:val="left" w:pos="288"/>
                <w:tab w:val="left" w:pos="576"/>
                <w:tab w:val="left" w:pos="864"/>
                <w:tab w:val="left" w:pos="1152"/>
              </w:tabs>
              <w:suppressAutoHyphens/>
              <w:spacing w:before="40" w:after="80"/>
              <w:ind w:right="115"/>
              <w:rPr>
                <w:lang w:val="fr-FR"/>
              </w:rPr>
            </w:pPr>
            <w:r w:rsidRPr="00F51111">
              <w:rPr>
                <w:u w:val="single"/>
                <w:lang w:val="fr-FR"/>
              </w:rPr>
              <w:t>L’entrée dans ces espaces n’est autorisée que si cette opération est surveillée par une deuxième personne ayant à sa disposition le même équipement de protection. Deux autres personnes capables de prêter assistance en cas d’urgence doivent être sur le bateau à portée de voix. Il suffira cependant d’une seule autre personne si un treuil de</w:t>
            </w:r>
            <w:r w:rsidR="00FE2831">
              <w:rPr>
                <w:u w:val="single"/>
                <w:lang w:val="fr-FR"/>
              </w:rPr>
              <w:t xml:space="preserve"> </w:t>
            </w:r>
            <w:r w:rsidRPr="00F51111">
              <w:rPr>
                <w:u w:val="single"/>
                <w:lang w:val="fr-FR"/>
              </w:rPr>
              <w:t>sauvetage est installé.</w:t>
            </w:r>
          </w:p>
        </w:tc>
        <w:tc>
          <w:tcPr>
            <w:tcW w:w="5454" w:type="dxa"/>
            <w:shd w:val="clear" w:color="auto" w:fill="auto"/>
          </w:tcPr>
          <w:p w:rsidR="003854A0" w:rsidRPr="00F51111" w:rsidRDefault="003854A0" w:rsidP="00CD26A7">
            <w:pPr>
              <w:tabs>
                <w:tab w:val="left" w:pos="288"/>
                <w:tab w:val="left" w:pos="576"/>
                <w:tab w:val="left" w:pos="864"/>
                <w:tab w:val="left" w:pos="1152"/>
              </w:tabs>
              <w:suppressAutoHyphens/>
              <w:spacing w:before="40" w:after="80"/>
              <w:ind w:right="115"/>
              <w:rPr>
                <w:b/>
                <w:lang w:val="fr-FR"/>
              </w:rPr>
            </w:pPr>
            <w:r w:rsidRPr="00F51111">
              <w:rPr>
                <w:b/>
                <w:lang w:val="fr-FR"/>
              </w:rPr>
              <w:t>Proposition</w:t>
            </w:r>
          </w:p>
          <w:p w:rsidR="003854A0" w:rsidRPr="00F51111" w:rsidRDefault="00BF2096" w:rsidP="00CD26A7">
            <w:pPr>
              <w:tabs>
                <w:tab w:val="left" w:pos="288"/>
                <w:tab w:val="left" w:pos="576"/>
                <w:tab w:val="left" w:pos="864"/>
                <w:tab w:val="left" w:pos="1152"/>
              </w:tabs>
              <w:suppressAutoHyphens/>
              <w:spacing w:before="40" w:after="80"/>
              <w:ind w:right="115"/>
              <w:rPr>
                <w:lang w:val="fr-FR"/>
              </w:rPr>
            </w:pPr>
            <w:r>
              <w:rPr>
                <w:lang w:val="fr-FR"/>
              </w:rPr>
              <w:t xml:space="preserve">– </w:t>
            </w:r>
            <w:r w:rsidR="003854A0" w:rsidRPr="00F51111">
              <w:rPr>
                <w:lang w:val="fr-FR"/>
              </w:rPr>
              <w:t>Introduire un seuil pour l’oxygène et les gaz inflammables au-dessus duquel l’entrée dans un</w:t>
            </w:r>
            <w:r w:rsidR="00FE2831">
              <w:rPr>
                <w:lang w:val="fr-FR"/>
              </w:rPr>
              <w:t xml:space="preserve"> </w:t>
            </w:r>
            <w:r w:rsidR="003854A0" w:rsidRPr="00F51111">
              <w:rPr>
                <w:lang w:val="fr-FR"/>
              </w:rPr>
              <w:t xml:space="preserve">espace clos n’est pas autorisée. </w:t>
            </w:r>
          </w:p>
          <w:p w:rsidR="003854A0" w:rsidRDefault="003854A0" w:rsidP="00152B77">
            <w:pPr>
              <w:tabs>
                <w:tab w:val="left" w:pos="288"/>
                <w:tab w:val="left" w:pos="576"/>
                <w:tab w:val="left" w:pos="864"/>
                <w:tab w:val="left" w:pos="1152"/>
              </w:tabs>
              <w:suppressAutoHyphens/>
              <w:spacing w:before="40" w:after="120"/>
              <w:ind w:right="115"/>
              <w:rPr>
                <w:lang w:val="fr-FR"/>
              </w:rPr>
            </w:pPr>
            <w:r w:rsidRPr="00F51111">
              <w:rPr>
                <w:lang w:val="fr-FR"/>
              </w:rPr>
              <w:t>Aucun seuil n’est fixé pour les gaz toxiques en raison des écarts entre les seuils utilisés dans la</w:t>
            </w:r>
            <w:r w:rsidR="00FE2831">
              <w:rPr>
                <w:lang w:val="fr-FR"/>
              </w:rPr>
              <w:t xml:space="preserve"> </w:t>
            </w:r>
            <w:r w:rsidRPr="00F51111">
              <w:rPr>
                <w:lang w:val="fr-FR"/>
              </w:rPr>
              <w:t>législation nationale de différents États Parties contractantes à l’ADN.</w:t>
            </w:r>
          </w:p>
          <w:p w:rsidR="003854A0" w:rsidRPr="00F51111" w:rsidRDefault="00BF2096" w:rsidP="00CD26A7">
            <w:pPr>
              <w:tabs>
                <w:tab w:val="left" w:pos="288"/>
                <w:tab w:val="left" w:pos="576"/>
                <w:tab w:val="left" w:pos="864"/>
                <w:tab w:val="left" w:pos="1152"/>
              </w:tabs>
              <w:suppressAutoHyphens/>
              <w:spacing w:before="40" w:after="80"/>
              <w:ind w:right="115"/>
              <w:rPr>
                <w:lang w:val="fr-FR"/>
              </w:rPr>
            </w:pPr>
            <w:r>
              <w:rPr>
                <w:lang w:val="fr-FR"/>
              </w:rPr>
              <w:t xml:space="preserve">– </w:t>
            </w:r>
            <w:r w:rsidR="003854A0" w:rsidRPr="00F51111">
              <w:rPr>
                <w:lang w:val="fr-FR"/>
              </w:rPr>
              <w:t>L’autorisation d’entrer dans la citerne à</w:t>
            </w:r>
            <w:r w:rsidR="00FE2831">
              <w:rPr>
                <w:lang w:val="fr-FR"/>
              </w:rPr>
              <w:t xml:space="preserve"> </w:t>
            </w:r>
            <w:r w:rsidR="003854A0" w:rsidRPr="00F51111">
              <w:rPr>
                <w:lang w:val="fr-FR"/>
              </w:rPr>
              <w:t>cargaison en cas d’urgence ou d’incident mécanique (10-50</w:t>
            </w:r>
            <w:r w:rsidR="00CE76BA">
              <w:rPr>
                <w:lang w:val="fr-FR"/>
              </w:rPr>
              <w:t> </w:t>
            </w:r>
            <w:r w:rsidR="003854A0" w:rsidRPr="00F51111">
              <w:rPr>
                <w:lang w:val="fr-FR"/>
              </w:rPr>
              <w:t xml:space="preserve">% de la limité inférieure d’explosivité) est rendue plus explicite et mieux encadrée. </w:t>
            </w:r>
          </w:p>
          <w:p w:rsidR="003854A0" w:rsidRPr="00F51111" w:rsidRDefault="003854A0" w:rsidP="00CD26A7">
            <w:pPr>
              <w:tabs>
                <w:tab w:val="left" w:pos="288"/>
                <w:tab w:val="left" w:pos="576"/>
                <w:tab w:val="left" w:pos="864"/>
                <w:tab w:val="left" w:pos="1152"/>
              </w:tabs>
              <w:suppressAutoHyphens/>
              <w:spacing w:before="40" w:after="80"/>
              <w:ind w:right="115"/>
              <w:rPr>
                <w:b/>
                <w:lang w:val="fr-FR"/>
              </w:rPr>
            </w:pPr>
            <w:r w:rsidRPr="00F51111">
              <w:rPr>
                <w:b/>
                <w:lang w:val="fr-FR"/>
              </w:rPr>
              <w:t>Justification</w:t>
            </w:r>
          </w:p>
          <w:p w:rsidR="003854A0" w:rsidRPr="00F51111" w:rsidRDefault="003854A0" w:rsidP="00CD26A7">
            <w:pPr>
              <w:tabs>
                <w:tab w:val="left" w:pos="288"/>
                <w:tab w:val="left" w:pos="576"/>
                <w:tab w:val="left" w:pos="864"/>
                <w:tab w:val="left" w:pos="1152"/>
              </w:tabs>
              <w:suppressAutoHyphens/>
              <w:spacing w:before="40" w:after="80"/>
              <w:ind w:right="115"/>
              <w:rPr>
                <w:lang w:val="fr-FR"/>
              </w:rPr>
            </w:pPr>
            <w:r w:rsidRPr="00F51111">
              <w:rPr>
                <w:lang w:val="fr-FR"/>
              </w:rPr>
              <w:t>Cette proposition fixe un seuil précis pour les gaz inflammables et l’oxygène, en remplacement des</w:t>
            </w:r>
            <w:r w:rsidR="003923FF">
              <w:rPr>
                <w:lang w:val="fr-FR"/>
              </w:rPr>
              <w:t> </w:t>
            </w:r>
            <w:r w:rsidRPr="00F51111">
              <w:rPr>
                <w:lang w:val="fr-FR"/>
              </w:rPr>
              <w:t>dispositions actuelles plus vagues.</w:t>
            </w:r>
          </w:p>
          <w:p w:rsidR="00F224A5" w:rsidRPr="00AE5EDA" w:rsidRDefault="003854A0" w:rsidP="00CD26A7">
            <w:pPr>
              <w:tabs>
                <w:tab w:val="left" w:pos="288"/>
                <w:tab w:val="left" w:pos="576"/>
                <w:tab w:val="left" w:pos="864"/>
                <w:tab w:val="left" w:pos="1152"/>
              </w:tabs>
              <w:suppressAutoHyphens/>
              <w:spacing w:before="40" w:after="80"/>
              <w:ind w:right="115"/>
              <w:rPr>
                <w:b/>
                <w:lang w:val="fr-FR"/>
              </w:rPr>
            </w:pPr>
            <w:r w:rsidRPr="00F51111">
              <w:rPr>
                <w:lang w:val="fr-FR"/>
              </w:rPr>
              <w:t>Actuellement, l’ADN autorise l’entrée dans la</w:t>
            </w:r>
            <w:r w:rsidR="00FE2831">
              <w:rPr>
                <w:lang w:val="fr-FR"/>
              </w:rPr>
              <w:t xml:space="preserve"> </w:t>
            </w:r>
            <w:r w:rsidRPr="00F51111">
              <w:rPr>
                <w:lang w:val="fr-FR"/>
              </w:rPr>
              <w:t>citerne à cargaison si la concentration des gaz est inférieure à 50</w:t>
            </w:r>
            <w:r w:rsidR="00CE76BA">
              <w:rPr>
                <w:lang w:val="fr-FR"/>
              </w:rPr>
              <w:t> </w:t>
            </w:r>
            <w:r w:rsidRPr="00F51111">
              <w:rPr>
                <w:lang w:val="fr-FR"/>
              </w:rPr>
              <w:t>% de la LIE, mais il n’y a pas de prescription concernant le fait que l’équipement utilisé ne doit pas produire d’étincelles.</w:t>
            </w:r>
          </w:p>
        </w:tc>
      </w:tr>
      <w:tr w:rsidR="00F224A5" w:rsidRPr="00771661" w:rsidTr="00022E93">
        <w:trPr>
          <w:cantSplit/>
        </w:trPr>
        <w:tc>
          <w:tcPr>
            <w:tcW w:w="1437" w:type="dxa"/>
            <w:shd w:val="clear" w:color="auto" w:fill="auto"/>
          </w:tcPr>
          <w:p w:rsidR="00F224A5" w:rsidRPr="005A67A6" w:rsidRDefault="00F224A5" w:rsidP="005E392C">
            <w:pPr>
              <w:tabs>
                <w:tab w:val="left" w:pos="288"/>
                <w:tab w:val="left" w:pos="576"/>
                <w:tab w:val="left" w:pos="864"/>
                <w:tab w:val="left" w:pos="1152"/>
              </w:tabs>
              <w:suppressAutoHyphens/>
              <w:spacing w:before="40" w:after="80"/>
              <w:ind w:right="115"/>
              <w:rPr>
                <w:lang w:val="fr-FR"/>
              </w:rPr>
            </w:pPr>
          </w:p>
        </w:tc>
        <w:tc>
          <w:tcPr>
            <w:tcW w:w="6291" w:type="dxa"/>
            <w:shd w:val="clear" w:color="auto" w:fill="auto"/>
          </w:tcPr>
          <w:p w:rsidR="005E392C" w:rsidRPr="00F51111" w:rsidRDefault="005E392C" w:rsidP="005E392C">
            <w:pPr>
              <w:tabs>
                <w:tab w:val="left" w:pos="288"/>
                <w:tab w:val="left" w:pos="576"/>
                <w:tab w:val="left" w:pos="864"/>
                <w:tab w:val="left" w:pos="1152"/>
              </w:tabs>
              <w:suppressAutoHyphens/>
              <w:spacing w:before="40" w:after="80"/>
              <w:ind w:right="115"/>
              <w:rPr>
                <w:u w:val="single"/>
                <w:lang w:val="fr-FR"/>
              </w:rPr>
            </w:pPr>
            <w:r w:rsidRPr="00F51111">
              <w:rPr>
                <w:u w:val="single"/>
                <w:lang w:val="fr-FR"/>
              </w:rPr>
              <w:t>En cas d’urgence ou d’incident mécanique, l’entrée dans la citerne est autorisée si la concentration de gaz est comprise entre 10</w:t>
            </w:r>
            <w:r>
              <w:rPr>
                <w:u w:val="single"/>
                <w:lang w:val="fr-FR"/>
              </w:rPr>
              <w:t> </w:t>
            </w:r>
            <w:r w:rsidRPr="00F51111">
              <w:rPr>
                <w:u w:val="single"/>
                <w:lang w:val="fr-FR"/>
              </w:rPr>
              <w:t>% et 50</w:t>
            </w:r>
            <w:r>
              <w:rPr>
                <w:u w:val="single"/>
                <w:lang w:val="fr-FR"/>
              </w:rPr>
              <w:t> </w:t>
            </w:r>
            <w:r w:rsidRPr="00F51111">
              <w:rPr>
                <w:u w:val="single"/>
                <w:lang w:val="fr-FR"/>
              </w:rPr>
              <w:t>% de</w:t>
            </w:r>
            <w:r w:rsidR="00C800A6">
              <w:rPr>
                <w:u w:val="single"/>
                <w:lang w:val="fr-FR"/>
              </w:rPr>
              <w:t> </w:t>
            </w:r>
            <w:r w:rsidRPr="00F51111">
              <w:rPr>
                <w:u w:val="single"/>
                <w:lang w:val="fr-FR"/>
              </w:rPr>
              <w:t xml:space="preserve">la limité inférieure d’explosivité. L’appareil respiratoire utilisé doit être conçu pour éviter la production d’étincelles. </w:t>
            </w:r>
          </w:p>
          <w:p w:rsidR="00F224A5" w:rsidRPr="00CD25E9" w:rsidRDefault="005E392C" w:rsidP="005E392C">
            <w:pPr>
              <w:tabs>
                <w:tab w:val="left" w:pos="288"/>
                <w:tab w:val="left" w:pos="576"/>
                <w:tab w:val="left" w:pos="864"/>
                <w:tab w:val="left" w:pos="1152"/>
              </w:tabs>
              <w:suppressAutoHyphens/>
              <w:spacing w:before="40" w:after="80"/>
              <w:ind w:right="115"/>
              <w:rPr>
                <w:lang w:val="fr-FR"/>
              </w:rPr>
            </w:pPr>
            <w:r w:rsidRPr="00F51111">
              <w:rPr>
                <w:u w:val="single"/>
                <w:lang w:val="fr-FR"/>
              </w:rPr>
              <w:t>Contrairement à ce que dispose le 1.1.4.6, la législation nationale relative à l’accès aux citernes à cargaison l’emporte sur l’ADN</w:t>
            </w:r>
            <w:r w:rsidRPr="00F51111">
              <w:rPr>
                <w:lang w:val="fr-FR"/>
              </w:rPr>
              <w:t>.</w:t>
            </w:r>
          </w:p>
        </w:tc>
        <w:tc>
          <w:tcPr>
            <w:tcW w:w="5454" w:type="dxa"/>
            <w:shd w:val="clear" w:color="auto" w:fill="auto"/>
          </w:tcPr>
          <w:p w:rsidR="00F224A5" w:rsidRPr="00AE5EDA" w:rsidRDefault="00F224A5" w:rsidP="005E392C">
            <w:pPr>
              <w:tabs>
                <w:tab w:val="left" w:pos="288"/>
                <w:tab w:val="left" w:pos="576"/>
                <w:tab w:val="left" w:pos="864"/>
                <w:tab w:val="left" w:pos="1152"/>
              </w:tabs>
              <w:suppressAutoHyphens/>
              <w:spacing w:before="40" w:after="80"/>
              <w:ind w:right="115"/>
              <w:rPr>
                <w:b/>
                <w:lang w:val="fr-FR"/>
              </w:rPr>
            </w:pPr>
          </w:p>
        </w:tc>
      </w:tr>
      <w:tr w:rsidR="00F224A5" w:rsidRPr="00771661" w:rsidTr="00022E93">
        <w:tc>
          <w:tcPr>
            <w:tcW w:w="1437" w:type="dxa"/>
            <w:shd w:val="clear" w:color="auto" w:fill="auto"/>
          </w:tcPr>
          <w:p w:rsidR="00F224A5" w:rsidRPr="005A67A6" w:rsidRDefault="003854A0" w:rsidP="00811C56">
            <w:pPr>
              <w:keepNext/>
              <w:tabs>
                <w:tab w:val="left" w:pos="288"/>
                <w:tab w:val="left" w:pos="576"/>
                <w:tab w:val="left" w:pos="864"/>
                <w:tab w:val="left" w:pos="1152"/>
              </w:tabs>
              <w:suppressAutoHyphens/>
              <w:spacing w:before="40" w:after="80"/>
              <w:ind w:right="115"/>
              <w:rPr>
                <w:lang w:val="fr-FR"/>
              </w:rPr>
            </w:pPr>
            <w:r w:rsidRPr="000B644E">
              <w:rPr>
                <w:lang w:val="fr-FR"/>
              </w:rPr>
              <w:t>7.2.3.7</w:t>
            </w:r>
          </w:p>
        </w:tc>
        <w:tc>
          <w:tcPr>
            <w:tcW w:w="6291" w:type="dxa"/>
            <w:shd w:val="clear" w:color="auto" w:fill="auto"/>
          </w:tcPr>
          <w:p w:rsidR="00F224A5" w:rsidRPr="00CD25E9" w:rsidRDefault="003854A0" w:rsidP="00811C56">
            <w:pPr>
              <w:keepNext/>
              <w:tabs>
                <w:tab w:val="left" w:pos="288"/>
                <w:tab w:val="left" w:pos="576"/>
                <w:tab w:val="left" w:pos="864"/>
                <w:tab w:val="left" w:pos="1152"/>
              </w:tabs>
              <w:suppressAutoHyphens/>
              <w:spacing w:before="40" w:after="80"/>
              <w:ind w:right="115"/>
              <w:rPr>
                <w:lang w:val="fr-FR"/>
              </w:rPr>
            </w:pPr>
            <w:r w:rsidRPr="000B644E">
              <w:rPr>
                <w:b/>
                <w:lang w:val="fr-FR"/>
              </w:rPr>
              <w:t xml:space="preserve">Dégazage des citernes à cargaison vides </w:t>
            </w:r>
            <w:r w:rsidRPr="000B644E">
              <w:rPr>
                <w:b/>
                <w:u w:val="single"/>
                <w:lang w:val="fr-FR"/>
              </w:rPr>
              <w:t>dans l’atmosphère</w:t>
            </w:r>
          </w:p>
        </w:tc>
        <w:tc>
          <w:tcPr>
            <w:tcW w:w="5454" w:type="dxa"/>
            <w:shd w:val="clear" w:color="auto" w:fill="auto"/>
          </w:tcPr>
          <w:p w:rsidR="003854A0" w:rsidRPr="000B644E" w:rsidRDefault="003854A0" w:rsidP="00811C56">
            <w:pPr>
              <w:keepNext/>
              <w:tabs>
                <w:tab w:val="left" w:pos="288"/>
                <w:tab w:val="left" w:pos="576"/>
                <w:tab w:val="left" w:pos="864"/>
                <w:tab w:val="left" w:pos="1152"/>
              </w:tabs>
              <w:suppressAutoHyphens/>
              <w:spacing w:before="40" w:after="80"/>
              <w:ind w:right="115"/>
              <w:rPr>
                <w:b/>
                <w:lang w:val="fr-FR"/>
              </w:rPr>
            </w:pPr>
            <w:r w:rsidRPr="000B644E">
              <w:rPr>
                <w:b/>
                <w:lang w:val="fr-FR"/>
              </w:rPr>
              <w:t>Proposition</w:t>
            </w:r>
          </w:p>
          <w:p w:rsidR="003854A0" w:rsidRPr="000B644E" w:rsidRDefault="003854A0" w:rsidP="00811C56">
            <w:pPr>
              <w:keepNext/>
              <w:tabs>
                <w:tab w:val="left" w:pos="288"/>
                <w:tab w:val="left" w:pos="576"/>
                <w:tab w:val="left" w:pos="864"/>
                <w:tab w:val="left" w:pos="1152"/>
              </w:tabs>
              <w:suppressAutoHyphens/>
              <w:spacing w:before="40" w:after="80"/>
              <w:ind w:right="115"/>
              <w:rPr>
                <w:lang w:val="fr-FR"/>
              </w:rPr>
            </w:pPr>
            <w:r w:rsidRPr="000B644E">
              <w:rPr>
                <w:lang w:val="fr-FR"/>
              </w:rPr>
              <w:t>Ajouter «</w:t>
            </w:r>
            <w:r w:rsidR="000B644E">
              <w:rPr>
                <w:lang w:val="fr-FR"/>
              </w:rPr>
              <w:t> </w:t>
            </w:r>
            <w:r w:rsidRPr="000B644E">
              <w:rPr>
                <w:lang w:val="fr-FR"/>
              </w:rPr>
              <w:t>dans l’atmosphère</w:t>
            </w:r>
            <w:r w:rsidR="000B644E">
              <w:rPr>
                <w:lang w:val="fr-FR"/>
              </w:rPr>
              <w:t> </w:t>
            </w:r>
            <w:r w:rsidRPr="000B644E">
              <w:rPr>
                <w:lang w:val="fr-FR"/>
              </w:rPr>
              <w:t>» dans le titre.</w:t>
            </w:r>
          </w:p>
          <w:p w:rsidR="003854A0" w:rsidRPr="000B644E" w:rsidRDefault="003854A0" w:rsidP="00811C56">
            <w:pPr>
              <w:keepNext/>
              <w:tabs>
                <w:tab w:val="left" w:pos="288"/>
                <w:tab w:val="left" w:pos="576"/>
                <w:tab w:val="left" w:pos="864"/>
                <w:tab w:val="left" w:pos="1152"/>
              </w:tabs>
              <w:suppressAutoHyphens/>
              <w:spacing w:before="40" w:after="80"/>
              <w:ind w:right="115"/>
              <w:rPr>
                <w:b/>
                <w:lang w:val="fr-FR"/>
              </w:rPr>
            </w:pPr>
            <w:r w:rsidRPr="000B644E">
              <w:rPr>
                <w:b/>
                <w:lang w:val="fr-FR"/>
              </w:rPr>
              <w:t>Justification</w:t>
            </w:r>
          </w:p>
          <w:p w:rsidR="00F224A5" w:rsidRPr="00AE5EDA" w:rsidRDefault="003854A0" w:rsidP="00811C56">
            <w:pPr>
              <w:keepNext/>
              <w:tabs>
                <w:tab w:val="left" w:pos="288"/>
                <w:tab w:val="left" w:pos="576"/>
                <w:tab w:val="left" w:pos="864"/>
                <w:tab w:val="left" w:pos="1152"/>
              </w:tabs>
              <w:suppressAutoHyphens/>
              <w:spacing w:before="40" w:after="80"/>
              <w:ind w:right="115"/>
              <w:rPr>
                <w:b/>
                <w:lang w:val="fr-FR"/>
              </w:rPr>
            </w:pPr>
            <w:r w:rsidRPr="000B644E">
              <w:rPr>
                <w:lang w:val="fr-FR"/>
              </w:rPr>
              <w:t>Faire clairement la distinction entre le dégazage dans l’atmosphère et la possibilité future de</w:t>
            </w:r>
            <w:r w:rsidR="00403A2A">
              <w:rPr>
                <w:lang w:val="fr-FR"/>
              </w:rPr>
              <w:t xml:space="preserve"> </w:t>
            </w:r>
            <w:r w:rsidRPr="000B644E">
              <w:rPr>
                <w:lang w:val="fr-FR"/>
              </w:rPr>
              <w:t>dégazer dans un</w:t>
            </w:r>
            <w:r w:rsidR="00403A2A">
              <w:rPr>
                <w:lang w:val="fr-FR"/>
              </w:rPr>
              <w:t> </w:t>
            </w:r>
            <w:r w:rsidRPr="000B644E">
              <w:rPr>
                <w:lang w:val="fr-FR"/>
              </w:rPr>
              <w:t>système de dégazer.</w:t>
            </w:r>
          </w:p>
        </w:tc>
      </w:tr>
      <w:tr w:rsidR="002778AB" w:rsidRPr="00771661" w:rsidTr="00022E93">
        <w:tc>
          <w:tcPr>
            <w:tcW w:w="1437" w:type="dxa"/>
            <w:shd w:val="clear" w:color="auto" w:fill="auto"/>
          </w:tcPr>
          <w:p w:rsidR="002778AB" w:rsidRPr="005A67A6" w:rsidRDefault="003854A0" w:rsidP="004F35A8">
            <w:pPr>
              <w:tabs>
                <w:tab w:val="left" w:pos="288"/>
                <w:tab w:val="left" w:pos="576"/>
                <w:tab w:val="left" w:pos="864"/>
                <w:tab w:val="left" w:pos="1152"/>
              </w:tabs>
              <w:suppressAutoHyphens/>
              <w:spacing w:before="40" w:after="80"/>
              <w:ind w:right="115"/>
              <w:rPr>
                <w:lang w:val="fr-FR"/>
              </w:rPr>
            </w:pPr>
            <w:r w:rsidRPr="00786CC3">
              <w:rPr>
                <w:lang w:val="fr-FR"/>
              </w:rPr>
              <w:t>7.2.3.7.0</w:t>
            </w:r>
          </w:p>
        </w:tc>
        <w:tc>
          <w:tcPr>
            <w:tcW w:w="6291" w:type="dxa"/>
            <w:shd w:val="clear" w:color="auto" w:fill="auto"/>
          </w:tcPr>
          <w:p w:rsidR="002778AB" w:rsidRPr="00CD25E9" w:rsidRDefault="002778AB" w:rsidP="00CD25E9">
            <w:pPr>
              <w:tabs>
                <w:tab w:val="left" w:pos="288"/>
                <w:tab w:val="left" w:pos="576"/>
                <w:tab w:val="left" w:pos="864"/>
                <w:tab w:val="left" w:pos="1152"/>
              </w:tabs>
              <w:suppressAutoHyphens/>
              <w:spacing w:before="40" w:after="80"/>
              <w:ind w:right="115"/>
              <w:rPr>
                <w:lang w:val="fr-FR"/>
              </w:rPr>
            </w:pPr>
          </w:p>
        </w:tc>
        <w:tc>
          <w:tcPr>
            <w:tcW w:w="5454" w:type="dxa"/>
            <w:shd w:val="clear" w:color="auto" w:fill="auto"/>
          </w:tcPr>
          <w:p w:rsidR="002778AB" w:rsidRPr="00786CC3" w:rsidRDefault="003854A0" w:rsidP="00AE5EDA">
            <w:pPr>
              <w:tabs>
                <w:tab w:val="left" w:pos="288"/>
                <w:tab w:val="left" w:pos="576"/>
                <w:tab w:val="left" w:pos="864"/>
                <w:tab w:val="left" w:pos="1152"/>
              </w:tabs>
              <w:suppressAutoHyphens/>
              <w:spacing w:before="40" w:after="80"/>
              <w:ind w:right="115"/>
              <w:rPr>
                <w:lang w:val="fr-FR"/>
              </w:rPr>
            </w:pPr>
            <w:r w:rsidRPr="00786CC3">
              <w:rPr>
                <w:lang w:val="fr-FR"/>
              </w:rPr>
              <w:t>Modifications sans objet en français</w:t>
            </w:r>
            <w:r w:rsidR="00786CC3" w:rsidRPr="00786CC3">
              <w:rPr>
                <w:lang w:val="fr-FR"/>
              </w:rPr>
              <w:t>.</w:t>
            </w:r>
          </w:p>
        </w:tc>
      </w:tr>
      <w:tr w:rsidR="002778AB" w:rsidRPr="00932192" w:rsidTr="00022E93">
        <w:tc>
          <w:tcPr>
            <w:tcW w:w="1437" w:type="dxa"/>
            <w:shd w:val="clear" w:color="auto" w:fill="auto"/>
          </w:tcPr>
          <w:p w:rsidR="002778AB" w:rsidRPr="00786CC3" w:rsidRDefault="003854A0" w:rsidP="004F35A8">
            <w:pPr>
              <w:tabs>
                <w:tab w:val="left" w:pos="288"/>
                <w:tab w:val="left" w:pos="576"/>
                <w:tab w:val="left" w:pos="864"/>
                <w:tab w:val="left" w:pos="1152"/>
              </w:tabs>
              <w:suppressAutoHyphens/>
              <w:spacing w:before="40" w:after="80"/>
              <w:ind w:right="115"/>
              <w:rPr>
                <w:lang w:val="fr-FR"/>
              </w:rPr>
            </w:pPr>
            <w:r w:rsidRPr="005648B0">
              <w:rPr>
                <w:lang w:val="fr-FR"/>
              </w:rPr>
              <w:t>7.2.3.7.1</w:t>
            </w:r>
          </w:p>
        </w:tc>
        <w:tc>
          <w:tcPr>
            <w:tcW w:w="6291" w:type="dxa"/>
            <w:shd w:val="clear" w:color="auto" w:fill="auto"/>
          </w:tcPr>
          <w:p w:rsidR="002778AB" w:rsidRPr="00786CC3" w:rsidRDefault="003854A0" w:rsidP="00403A2A">
            <w:pPr>
              <w:tabs>
                <w:tab w:val="left" w:pos="288"/>
                <w:tab w:val="left" w:pos="576"/>
                <w:tab w:val="left" w:pos="864"/>
                <w:tab w:val="left" w:pos="1152"/>
              </w:tabs>
              <w:suppressAutoHyphens/>
              <w:spacing w:before="40" w:after="80"/>
              <w:ind w:right="115"/>
              <w:rPr>
                <w:lang w:val="fr-FR"/>
              </w:rPr>
            </w:pPr>
            <w:r w:rsidRPr="00153A7E">
              <w:rPr>
                <w:u w:val="single"/>
                <w:lang w:val="fr-FR"/>
              </w:rPr>
              <w:t xml:space="preserve">Dans le cas </w:t>
            </w:r>
            <w:proofErr w:type="spellStart"/>
            <w:r w:rsidRPr="00153A7E">
              <w:rPr>
                <w:u w:val="single"/>
                <w:lang w:val="fr-FR"/>
              </w:rPr>
              <w:t>des</w:t>
            </w:r>
            <w:proofErr w:type="spellEnd"/>
            <w:r w:rsidRPr="00153A7E">
              <w:rPr>
                <w:lang w:val="fr-FR"/>
              </w:rPr>
              <w:t xml:space="preserve"> </w:t>
            </w:r>
            <w:r w:rsidRPr="00153A7E">
              <w:rPr>
                <w:strike/>
                <w:lang w:val="fr-FR"/>
              </w:rPr>
              <w:t>Les</w:t>
            </w:r>
            <w:r w:rsidRPr="00153A7E">
              <w:rPr>
                <w:lang w:val="fr-FR"/>
              </w:rPr>
              <w:t xml:space="preserve"> citernes à cargaison vides ou déchargées ayant contenu précédemment des matières dangereuses de la classe 2 ou de la classe 3, avec le code de classification comprenant la lettre «</w:t>
            </w:r>
            <w:r w:rsidR="00153A7E">
              <w:rPr>
                <w:lang w:val="fr-FR"/>
              </w:rPr>
              <w:t> </w:t>
            </w:r>
            <w:r w:rsidRPr="00153A7E">
              <w:rPr>
                <w:lang w:val="fr-FR"/>
              </w:rPr>
              <w:t>T</w:t>
            </w:r>
            <w:r w:rsidR="00153A7E">
              <w:rPr>
                <w:lang w:val="fr-FR"/>
              </w:rPr>
              <w:t> </w:t>
            </w:r>
            <w:r w:rsidRPr="00153A7E">
              <w:rPr>
                <w:lang w:val="fr-FR"/>
              </w:rPr>
              <w:t>» à la colonne (3 b) du tableau C du chapitre 3.2, de la classe 6.1 ou du groupe d’emballage I de la classe 8</w:t>
            </w:r>
            <w:r w:rsidRPr="00153A7E">
              <w:rPr>
                <w:u w:val="single"/>
                <w:lang w:val="fr-FR"/>
              </w:rPr>
              <w:t>, l’opération de dégazage visant à évacuer les gaz toxiques ne peut être effectuée</w:t>
            </w:r>
            <w:r w:rsidRPr="00153A7E">
              <w:rPr>
                <w:lang w:val="fr-FR"/>
              </w:rPr>
              <w:t xml:space="preserve"> </w:t>
            </w:r>
            <w:r w:rsidRPr="00153A7E">
              <w:rPr>
                <w:strike/>
                <w:lang w:val="fr-FR"/>
              </w:rPr>
              <w:t>ne peuvent être dégazées</w:t>
            </w:r>
            <w:r w:rsidRPr="00153A7E">
              <w:rPr>
                <w:lang w:val="fr-FR"/>
              </w:rPr>
              <w:t xml:space="preserve"> que par les personnes compétentes conformément </w:t>
            </w:r>
            <w:r w:rsidRPr="00153A7E">
              <w:rPr>
                <w:strike/>
                <w:lang w:val="fr-FR"/>
              </w:rPr>
              <w:t>à l’alinéa</w:t>
            </w:r>
            <w:r w:rsidRPr="00153A7E">
              <w:rPr>
                <w:lang w:val="fr-FR"/>
              </w:rPr>
              <w:t xml:space="preserve"> </w:t>
            </w:r>
            <w:r w:rsidRPr="00153A7E">
              <w:rPr>
                <w:u w:val="single"/>
                <w:lang w:val="fr-FR"/>
              </w:rPr>
              <w:t>au</w:t>
            </w:r>
            <w:r w:rsidRPr="00153A7E">
              <w:rPr>
                <w:lang w:val="fr-FR"/>
              </w:rPr>
              <w:t xml:space="preserve"> 8.2.1.2 ou par des entreprises agréées à cet effet par l’autorité compétente. Le dégazage ne peut être effectué qu’en des emplacements agréés par l’autorité compétente.</w:t>
            </w:r>
          </w:p>
        </w:tc>
        <w:tc>
          <w:tcPr>
            <w:tcW w:w="5454" w:type="dxa"/>
            <w:shd w:val="clear" w:color="auto" w:fill="auto"/>
          </w:tcPr>
          <w:p w:rsidR="002778AB" w:rsidRPr="00786CC3" w:rsidRDefault="002778AB" w:rsidP="00AE5EDA">
            <w:pPr>
              <w:tabs>
                <w:tab w:val="left" w:pos="288"/>
                <w:tab w:val="left" w:pos="576"/>
                <w:tab w:val="left" w:pos="864"/>
                <w:tab w:val="left" w:pos="1152"/>
              </w:tabs>
              <w:suppressAutoHyphens/>
              <w:spacing w:before="40" w:after="80"/>
              <w:ind w:right="115"/>
              <w:rPr>
                <w:lang w:val="fr-FR"/>
              </w:rPr>
            </w:pPr>
          </w:p>
        </w:tc>
      </w:tr>
      <w:tr w:rsidR="002778AB" w:rsidRPr="00932192" w:rsidTr="00022E93">
        <w:tc>
          <w:tcPr>
            <w:tcW w:w="1437" w:type="dxa"/>
            <w:shd w:val="clear" w:color="auto" w:fill="auto"/>
          </w:tcPr>
          <w:p w:rsidR="002778AB" w:rsidRPr="00786CC3" w:rsidRDefault="003854A0" w:rsidP="004F35A8">
            <w:pPr>
              <w:tabs>
                <w:tab w:val="left" w:pos="288"/>
                <w:tab w:val="left" w:pos="576"/>
                <w:tab w:val="left" w:pos="864"/>
                <w:tab w:val="left" w:pos="1152"/>
              </w:tabs>
              <w:suppressAutoHyphens/>
              <w:spacing w:before="40" w:after="80"/>
              <w:ind w:right="115"/>
              <w:rPr>
                <w:lang w:val="fr-FR"/>
              </w:rPr>
            </w:pPr>
            <w:r w:rsidRPr="006263EB">
              <w:rPr>
                <w:lang w:val="fr-FR"/>
              </w:rPr>
              <w:t>7.2.3.7.2</w:t>
            </w:r>
          </w:p>
        </w:tc>
        <w:tc>
          <w:tcPr>
            <w:tcW w:w="6291" w:type="dxa"/>
            <w:shd w:val="clear" w:color="auto" w:fill="auto"/>
          </w:tcPr>
          <w:p w:rsidR="003854A0" w:rsidRPr="000449FF" w:rsidRDefault="003854A0" w:rsidP="006263EB">
            <w:pPr>
              <w:tabs>
                <w:tab w:val="left" w:pos="288"/>
                <w:tab w:val="left" w:pos="576"/>
                <w:tab w:val="left" w:pos="864"/>
                <w:tab w:val="left" w:pos="1152"/>
              </w:tabs>
              <w:suppressAutoHyphens/>
              <w:spacing w:before="40" w:after="80"/>
              <w:ind w:right="115"/>
              <w:rPr>
                <w:bCs/>
                <w:i/>
                <w:u w:val="single"/>
                <w:lang w:val="fr-FR"/>
              </w:rPr>
            </w:pPr>
            <w:r w:rsidRPr="000449FF">
              <w:rPr>
                <w:bCs/>
                <w:i/>
                <w:u w:val="single"/>
                <w:lang w:val="fr-FR"/>
              </w:rPr>
              <w:t xml:space="preserve">Dégazage lorsque la concentration de gaz est supérieure ou égale </w:t>
            </w:r>
            <w:r w:rsidR="000449FF">
              <w:rPr>
                <w:bCs/>
                <w:i/>
                <w:u w:val="single"/>
                <w:lang w:val="fr-FR"/>
              </w:rPr>
              <w:br/>
            </w:r>
            <w:r w:rsidRPr="000449FF">
              <w:rPr>
                <w:bCs/>
                <w:i/>
                <w:u w:val="single"/>
                <w:lang w:val="fr-FR"/>
              </w:rPr>
              <w:t>à 10</w:t>
            </w:r>
            <w:r w:rsidR="000449FF">
              <w:rPr>
                <w:bCs/>
                <w:i/>
                <w:u w:val="single"/>
                <w:lang w:val="fr-FR"/>
              </w:rPr>
              <w:t> </w:t>
            </w:r>
            <w:r w:rsidRPr="000449FF">
              <w:rPr>
                <w:bCs/>
                <w:i/>
                <w:u w:val="single"/>
                <w:lang w:val="fr-FR"/>
              </w:rPr>
              <w:t>% de la LIE</w:t>
            </w:r>
          </w:p>
          <w:p w:rsidR="003854A0" w:rsidRPr="006263EB" w:rsidRDefault="003854A0" w:rsidP="006263EB">
            <w:pPr>
              <w:tabs>
                <w:tab w:val="left" w:pos="288"/>
                <w:tab w:val="left" w:pos="576"/>
                <w:tab w:val="left" w:pos="864"/>
                <w:tab w:val="left" w:pos="1152"/>
              </w:tabs>
              <w:suppressAutoHyphens/>
              <w:spacing w:before="40" w:after="80"/>
              <w:ind w:right="115"/>
              <w:rPr>
                <w:bCs/>
                <w:lang w:val="fr-FR"/>
              </w:rPr>
            </w:pPr>
            <w:r w:rsidRPr="006263EB">
              <w:rPr>
                <w:bCs/>
                <w:lang w:val="fr-FR"/>
              </w:rPr>
              <w:t>Le dégazage des citernes à cargaison vides ou déchargées ayant contenu des matières dangereuses autres que celles indiquées au 7.2.3.7.1 ci-dessus</w:t>
            </w:r>
            <w:r w:rsidRPr="006263EB">
              <w:rPr>
                <w:u w:val="single"/>
                <w:lang w:val="fr-FR"/>
              </w:rPr>
              <w:t>, lorsque la concentration de gaz est supérieure ou égale à 10</w:t>
            </w:r>
            <w:r w:rsidR="00F0000E">
              <w:rPr>
                <w:u w:val="single"/>
                <w:lang w:val="fr-FR"/>
              </w:rPr>
              <w:t> </w:t>
            </w:r>
            <w:r w:rsidRPr="006263EB">
              <w:rPr>
                <w:u w:val="single"/>
                <w:lang w:val="fr-FR"/>
              </w:rPr>
              <w:t>% de la LIE</w:t>
            </w:r>
            <w:r w:rsidRPr="006263EB">
              <w:rPr>
                <w:lang w:val="fr-FR"/>
              </w:rPr>
              <w:t xml:space="preserve">, </w:t>
            </w:r>
            <w:r w:rsidRPr="006263EB">
              <w:rPr>
                <w:bCs/>
                <w:lang w:val="fr-FR"/>
              </w:rPr>
              <w:t>peut être effectué en cours de route, ou durant un stationnement en des emplacements agréés par l’autorité compétente, au moyen de dispositifs de ventilation appropriés, les</w:t>
            </w:r>
            <w:r w:rsidR="005B30E9">
              <w:rPr>
                <w:bCs/>
                <w:lang w:val="fr-FR"/>
              </w:rPr>
              <w:t xml:space="preserve"> </w:t>
            </w:r>
            <w:r w:rsidRPr="006263EB">
              <w:rPr>
                <w:bCs/>
                <w:lang w:val="fr-FR"/>
              </w:rPr>
              <w:t>couvercles des citernes à cargaison étant fermés et la sortie du</w:t>
            </w:r>
            <w:r w:rsidR="005B30E9">
              <w:rPr>
                <w:bCs/>
                <w:lang w:val="fr-FR"/>
              </w:rPr>
              <w:t xml:space="preserve"> </w:t>
            </w:r>
            <w:r w:rsidRPr="006263EB">
              <w:rPr>
                <w:bCs/>
                <w:lang w:val="fr-FR"/>
              </w:rPr>
              <w:t>mélange de gaz et d’air se faisant par des coupe-flammes résistant à un feu continu. Dans les conditions normales d’exploitation la</w:t>
            </w:r>
            <w:r w:rsidR="005B30E9">
              <w:rPr>
                <w:bCs/>
                <w:lang w:val="fr-FR"/>
              </w:rPr>
              <w:t xml:space="preserve"> </w:t>
            </w:r>
            <w:r w:rsidRPr="006263EB">
              <w:rPr>
                <w:bCs/>
                <w:lang w:val="fr-FR"/>
              </w:rPr>
              <w:t>concentration de gaz dans le mélange à l’orifice de sortie doit être inférieure à 50</w:t>
            </w:r>
            <w:r w:rsidR="00F0000E">
              <w:rPr>
                <w:bCs/>
                <w:lang w:val="fr-FR"/>
              </w:rPr>
              <w:t> </w:t>
            </w:r>
            <w:r w:rsidRPr="006263EB">
              <w:rPr>
                <w:bCs/>
                <w:lang w:val="fr-FR"/>
              </w:rPr>
              <w:t xml:space="preserve">% de la </w:t>
            </w:r>
            <w:r w:rsidRPr="006263EB">
              <w:rPr>
                <w:bCs/>
                <w:u w:val="single"/>
                <w:lang w:val="fr-FR"/>
              </w:rPr>
              <w:t>LIE</w:t>
            </w:r>
            <w:r w:rsidRPr="006263EB">
              <w:rPr>
                <w:bCs/>
                <w:lang w:val="fr-FR"/>
              </w:rPr>
              <w:t xml:space="preserve"> </w:t>
            </w:r>
            <w:r w:rsidRPr="00F0000E">
              <w:rPr>
                <w:bCs/>
                <w:strike/>
                <w:lang w:val="fr-FR"/>
              </w:rPr>
              <w:t>limite inférieure d’explosivité</w:t>
            </w:r>
            <w:r w:rsidRPr="006263EB">
              <w:rPr>
                <w:bCs/>
                <w:lang w:val="fr-FR"/>
              </w:rPr>
              <w:t>. Les</w:t>
            </w:r>
            <w:r w:rsidR="00CB1649">
              <w:rPr>
                <w:bCs/>
                <w:lang w:val="fr-FR"/>
              </w:rPr>
              <w:t xml:space="preserve"> </w:t>
            </w:r>
            <w:r w:rsidRPr="006263EB">
              <w:rPr>
                <w:bCs/>
                <w:lang w:val="fr-FR"/>
              </w:rPr>
              <w:t>dispositifs de ventilation appropriés ne peuvent être utilisés pour le dégazage par aspiration qu’avec un coupe-flammes monté immédiatement devant le ventilateur, du côté de l’aspiration. La</w:t>
            </w:r>
            <w:r w:rsidR="005B30E9">
              <w:rPr>
                <w:bCs/>
                <w:lang w:val="fr-FR"/>
              </w:rPr>
              <w:t xml:space="preserve"> </w:t>
            </w:r>
            <w:r w:rsidRPr="006263EB">
              <w:rPr>
                <w:bCs/>
                <w:lang w:val="fr-FR"/>
              </w:rPr>
              <w:t>concentration de gaz doit être mesurée chaque heure pendant les</w:t>
            </w:r>
            <w:r w:rsidR="005B30E9">
              <w:rPr>
                <w:bCs/>
                <w:lang w:val="fr-FR"/>
              </w:rPr>
              <w:t xml:space="preserve"> </w:t>
            </w:r>
            <w:r w:rsidRPr="006263EB">
              <w:rPr>
                <w:bCs/>
                <w:lang w:val="fr-FR"/>
              </w:rPr>
              <w:t>deux premières heures après le début du dégazage, le dispositif de ventilation par refoulement ou par aspiration étant en marche, par un expert visé au 7.2.3.15. Les résultats des mesures doivent être consignés par écrit.</w:t>
            </w:r>
          </w:p>
          <w:p w:rsidR="003854A0" w:rsidRPr="006263EB" w:rsidRDefault="003854A0" w:rsidP="00FA79D7">
            <w:pPr>
              <w:tabs>
                <w:tab w:val="left" w:pos="288"/>
                <w:tab w:val="left" w:pos="576"/>
                <w:tab w:val="left" w:pos="864"/>
                <w:tab w:val="left" w:pos="1152"/>
              </w:tabs>
              <w:suppressAutoHyphens/>
              <w:spacing w:before="40" w:after="60" w:line="220" w:lineRule="exact"/>
              <w:ind w:right="115"/>
              <w:rPr>
                <w:bCs/>
                <w:lang w:val="fr-FR"/>
              </w:rPr>
            </w:pPr>
            <w:r w:rsidRPr="006263EB">
              <w:rPr>
                <w:bCs/>
                <w:lang w:val="fr-FR"/>
              </w:rPr>
              <w:t>Le dégazage est toutefois interdit dans les zones d’écluses, y compris leurs garages.</w:t>
            </w:r>
          </w:p>
          <w:p w:rsidR="003854A0" w:rsidRPr="00F0000E" w:rsidRDefault="003854A0" w:rsidP="006263EB">
            <w:pPr>
              <w:tabs>
                <w:tab w:val="left" w:pos="288"/>
                <w:tab w:val="left" w:pos="576"/>
                <w:tab w:val="left" w:pos="864"/>
                <w:tab w:val="left" w:pos="1152"/>
              </w:tabs>
              <w:suppressAutoHyphens/>
              <w:spacing w:before="40" w:after="80"/>
              <w:ind w:right="115"/>
              <w:rPr>
                <w:b/>
                <w:i/>
                <w:u w:val="single"/>
                <w:lang w:val="fr-FR"/>
              </w:rPr>
            </w:pPr>
            <w:r w:rsidRPr="00F0000E">
              <w:rPr>
                <w:b/>
                <w:i/>
                <w:u w:val="single"/>
                <w:lang w:val="fr-FR"/>
              </w:rPr>
              <w:t>Dégazage lorsque la concentration de gaz est inférieure à 10</w:t>
            </w:r>
            <w:r w:rsidR="00F0000E">
              <w:rPr>
                <w:b/>
                <w:i/>
                <w:u w:val="single"/>
                <w:lang w:val="fr-FR"/>
              </w:rPr>
              <w:t> </w:t>
            </w:r>
            <w:r w:rsidRPr="00F0000E">
              <w:rPr>
                <w:b/>
                <w:i/>
                <w:u w:val="single"/>
                <w:lang w:val="fr-FR"/>
              </w:rPr>
              <w:t xml:space="preserve">% </w:t>
            </w:r>
            <w:r w:rsidR="00F0000E">
              <w:rPr>
                <w:b/>
                <w:i/>
                <w:u w:val="single"/>
                <w:lang w:val="fr-FR"/>
              </w:rPr>
              <w:br/>
            </w:r>
            <w:r w:rsidRPr="00F0000E">
              <w:rPr>
                <w:b/>
                <w:i/>
                <w:u w:val="single"/>
                <w:lang w:val="fr-FR"/>
              </w:rPr>
              <w:t>de la LIE</w:t>
            </w:r>
          </w:p>
          <w:p w:rsidR="003854A0" w:rsidRPr="006263EB" w:rsidRDefault="003854A0" w:rsidP="006263EB">
            <w:pPr>
              <w:tabs>
                <w:tab w:val="left" w:pos="288"/>
                <w:tab w:val="left" w:pos="576"/>
                <w:tab w:val="left" w:pos="864"/>
                <w:tab w:val="left" w:pos="1152"/>
              </w:tabs>
              <w:suppressAutoHyphens/>
              <w:spacing w:before="40" w:after="80"/>
              <w:ind w:right="115"/>
              <w:rPr>
                <w:lang w:val="fr-FR"/>
              </w:rPr>
            </w:pPr>
            <w:r w:rsidRPr="006263EB">
              <w:rPr>
                <w:u w:val="single"/>
                <w:lang w:val="fr-FR"/>
              </w:rPr>
              <w:t>Le dégazage de citernes à cargaison vides ou déchargées ayant contenu des matières dangereuses autres que celles visées au 7.2.3.7.1 et présentant une concentration de gaz inférieure à 10 % de la LIE est autorisé, et l’ouverture d’autres orifices de la citerne à cargaison est autorisée s’il n’y a pas de risque pour l’équipage. En outre, l’utilisation d’un coupe-flammes n’est pas obligatoire.</w:t>
            </w:r>
            <w:r w:rsidRPr="006263EB">
              <w:rPr>
                <w:lang w:val="fr-FR"/>
              </w:rPr>
              <w:t xml:space="preserve"> </w:t>
            </w:r>
          </w:p>
          <w:p w:rsidR="002778AB" w:rsidRPr="005C284C" w:rsidRDefault="003854A0" w:rsidP="006B1AB7">
            <w:pPr>
              <w:tabs>
                <w:tab w:val="left" w:pos="288"/>
                <w:tab w:val="left" w:pos="576"/>
                <w:tab w:val="left" w:pos="864"/>
                <w:tab w:val="left" w:pos="1152"/>
              </w:tabs>
              <w:suppressAutoHyphens/>
              <w:spacing w:before="40" w:after="80"/>
              <w:ind w:right="115"/>
              <w:rPr>
                <w:spacing w:val="0"/>
                <w:lang w:val="fr-FR"/>
              </w:rPr>
            </w:pPr>
            <w:r w:rsidRPr="005C284C">
              <w:rPr>
                <w:bCs/>
                <w:spacing w:val="0"/>
                <w:u w:val="single"/>
                <w:lang w:val="fr-FR"/>
              </w:rPr>
              <w:t>Le dégazage est toutefois interdit dans les zones d’écluses, y compris leurs garages</w:t>
            </w:r>
            <w:r w:rsidRPr="005C284C">
              <w:rPr>
                <w:spacing w:val="0"/>
                <w:u w:val="single"/>
                <w:lang w:val="fr-FR"/>
              </w:rPr>
              <w:t>, sous les ponts ou dans des zones à forte densité de</w:t>
            </w:r>
            <w:r w:rsidR="005C284C" w:rsidRPr="005C284C">
              <w:rPr>
                <w:spacing w:val="0"/>
                <w:u w:val="single"/>
                <w:lang w:val="fr-FR"/>
              </w:rPr>
              <w:t xml:space="preserve"> </w:t>
            </w:r>
            <w:r w:rsidRPr="005C284C">
              <w:rPr>
                <w:spacing w:val="0"/>
                <w:u w:val="single"/>
                <w:lang w:val="fr-FR"/>
              </w:rPr>
              <w:t>population.</w:t>
            </w:r>
          </w:p>
        </w:tc>
        <w:tc>
          <w:tcPr>
            <w:tcW w:w="5454" w:type="dxa"/>
            <w:shd w:val="clear" w:color="auto" w:fill="auto"/>
          </w:tcPr>
          <w:p w:rsidR="003854A0" w:rsidRPr="00E274D3" w:rsidRDefault="003854A0" w:rsidP="00E274D3">
            <w:pPr>
              <w:tabs>
                <w:tab w:val="left" w:pos="288"/>
                <w:tab w:val="left" w:pos="576"/>
                <w:tab w:val="left" w:pos="864"/>
                <w:tab w:val="left" w:pos="1152"/>
              </w:tabs>
              <w:suppressAutoHyphens/>
              <w:spacing w:before="40" w:after="80"/>
              <w:ind w:right="115"/>
              <w:rPr>
                <w:b/>
                <w:lang w:val="fr-FR"/>
              </w:rPr>
            </w:pPr>
            <w:r w:rsidRPr="00E274D3">
              <w:rPr>
                <w:b/>
                <w:lang w:val="fr-FR"/>
              </w:rPr>
              <w:t>Proposition</w:t>
            </w:r>
          </w:p>
          <w:p w:rsidR="003854A0" w:rsidRPr="00E274D3" w:rsidRDefault="003854A0" w:rsidP="00E274D3">
            <w:pPr>
              <w:tabs>
                <w:tab w:val="left" w:pos="288"/>
                <w:tab w:val="left" w:pos="576"/>
                <w:tab w:val="left" w:pos="864"/>
                <w:tab w:val="left" w:pos="1152"/>
              </w:tabs>
              <w:suppressAutoHyphens/>
              <w:spacing w:before="40" w:after="80"/>
              <w:ind w:right="115"/>
              <w:rPr>
                <w:lang w:val="fr-FR"/>
              </w:rPr>
            </w:pPr>
            <w:r w:rsidRPr="00E274D3">
              <w:rPr>
                <w:lang w:val="fr-FR"/>
              </w:rPr>
              <w:t>Introduire un seuil de 10</w:t>
            </w:r>
            <w:r w:rsidR="00E274D3">
              <w:rPr>
                <w:lang w:val="fr-FR"/>
              </w:rPr>
              <w:t> </w:t>
            </w:r>
            <w:r w:rsidRPr="00E274D3">
              <w:rPr>
                <w:lang w:val="fr-FR"/>
              </w:rPr>
              <w:t>% au-dessus duquel les</w:t>
            </w:r>
            <w:r w:rsidR="00403A2A">
              <w:rPr>
                <w:lang w:val="fr-FR"/>
              </w:rPr>
              <w:t xml:space="preserve"> </w:t>
            </w:r>
            <w:r w:rsidRPr="00E274D3">
              <w:rPr>
                <w:lang w:val="fr-FR"/>
              </w:rPr>
              <w:t>dispositions actuelles relatives au dégazage deviennent obligatoires. Il n’y a aucune différence avec la pratique actuelle dans le cas d’une citerne à cargaison considérée comme «</w:t>
            </w:r>
            <w:r w:rsidR="00E274D3">
              <w:rPr>
                <w:lang w:val="fr-FR"/>
              </w:rPr>
              <w:t> </w:t>
            </w:r>
            <w:r w:rsidRPr="00E274D3">
              <w:rPr>
                <w:lang w:val="fr-FR"/>
              </w:rPr>
              <w:t>dégazée</w:t>
            </w:r>
            <w:r w:rsidR="00E274D3">
              <w:rPr>
                <w:lang w:val="fr-FR"/>
              </w:rPr>
              <w:t> </w:t>
            </w:r>
            <w:r w:rsidRPr="00E274D3">
              <w:rPr>
                <w:lang w:val="fr-FR"/>
              </w:rPr>
              <w:t>» avec une concentration de gaz inférieure à 10</w:t>
            </w:r>
            <w:r w:rsidR="00E274D3">
              <w:rPr>
                <w:lang w:val="fr-FR"/>
              </w:rPr>
              <w:t> </w:t>
            </w:r>
            <w:r w:rsidRPr="00E274D3">
              <w:rPr>
                <w:lang w:val="fr-FR"/>
              </w:rPr>
              <w:t xml:space="preserve">% de la LIE. Or, cela n’est pas exprimé très clairement dans le texte actuel de l’ADN. </w:t>
            </w:r>
          </w:p>
          <w:p w:rsidR="003854A0" w:rsidRPr="00E274D3" w:rsidRDefault="003854A0" w:rsidP="00E274D3">
            <w:pPr>
              <w:tabs>
                <w:tab w:val="left" w:pos="288"/>
                <w:tab w:val="left" w:pos="576"/>
                <w:tab w:val="left" w:pos="864"/>
                <w:tab w:val="left" w:pos="1152"/>
              </w:tabs>
              <w:suppressAutoHyphens/>
              <w:spacing w:before="40" w:after="80"/>
              <w:ind w:right="115"/>
              <w:rPr>
                <w:b/>
                <w:lang w:val="fr-FR"/>
              </w:rPr>
            </w:pPr>
            <w:r w:rsidRPr="00E274D3">
              <w:rPr>
                <w:b/>
                <w:lang w:val="fr-FR"/>
              </w:rPr>
              <w:t>Justification</w:t>
            </w:r>
          </w:p>
          <w:p w:rsidR="002778AB" w:rsidRPr="00786CC3" w:rsidRDefault="003854A0" w:rsidP="00403A2A">
            <w:pPr>
              <w:tabs>
                <w:tab w:val="left" w:pos="288"/>
                <w:tab w:val="left" w:pos="576"/>
                <w:tab w:val="left" w:pos="864"/>
                <w:tab w:val="left" w:pos="1152"/>
              </w:tabs>
              <w:suppressAutoHyphens/>
              <w:spacing w:before="40" w:after="80"/>
              <w:ind w:right="115"/>
              <w:rPr>
                <w:lang w:val="fr-FR"/>
              </w:rPr>
            </w:pPr>
            <w:r w:rsidRPr="00E274D3">
              <w:rPr>
                <w:lang w:val="fr-FR"/>
              </w:rPr>
              <w:t xml:space="preserve">Dans l’ADN, une concentration égale à 10 % de la LIE est considérée comme sûre dans le cas des gaz inflammables. </w:t>
            </w:r>
            <w:r w:rsidR="00403A2A">
              <w:rPr>
                <w:lang w:val="fr-FR"/>
              </w:rPr>
              <w:br/>
            </w:r>
            <w:r w:rsidRPr="00E274D3">
              <w:rPr>
                <w:lang w:val="fr-FR"/>
              </w:rPr>
              <w:t>Ce principe serait aussi énoncé pour le dégazage des citernes à cargaison.</w:t>
            </w:r>
          </w:p>
        </w:tc>
      </w:tr>
      <w:tr w:rsidR="005648B0" w:rsidRPr="00932192" w:rsidTr="00022E93">
        <w:tc>
          <w:tcPr>
            <w:tcW w:w="1437" w:type="dxa"/>
            <w:shd w:val="clear" w:color="auto" w:fill="auto"/>
          </w:tcPr>
          <w:p w:rsidR="005648B0" w:rsidRPr="00786CC3" w:rsidRDefault="003854A0" w:rsidP="004F35A8">
            <w:pPr>
              <w:tabs>
                <w:tab w:val="left" w:pos="288"/>
                <w:tab w:val="left" w:pos="576"/>
                <w:tab w:val="left" w:pos="864"/>
                <w:tab w:val="left" w:pos="1152"/>
              </w:tabs>
              <w:suppressAutoHyphens/>
              <w:spacing w:before="40" w:after="80"/>
              <w:ind w:right="115"/>
              <w:rPr>
                <w:lang w:val="fr-FR"/>
              </w:rPr>
            </w:pPr>
            <w:r w:rsidRPr="00616EC4">
              <w:rPr>
                <w:lang w:val="fr-FR"/>
              </w:rPr>
              <w:t>7.2.3.7.3</w:t>
            </w:r>
          </w:p>
        </w:tc>
        <w:tc>
          <w:tcPr>
            <w:tcW w:w="6291" w:type="dxa"/>
            <w:shd w:val="clear" w:color="auto" w:fill="auto"/>
          </w:tcPr>
          <w:p w:rsidR="003854A0" w:rsidRPr="00616EC4" w:rsidRDefault="003854A0" w:rsidP="00616EC4">
            <w:pPr>
              <w:tabs>
                <w:tab w:val="left" w:pos="288"/>
                <w:tab w:val="left" w:pos="576"/>
                <w:tab w:val="left" w:pos="864"/>
                <w:tab w:val="left" w:pos="1152"/>
              </w:tabs>
              <w:suppressAutoHyphens/>
              <w:spacing w:before="40" w:after="80"/>
              <w:ind w:right="115"/>
              <w:rPr>
                <w:lang w:val="fr-FR"/>
              </w:rPr>
            </w:pPr>
            <w:r w:rsidRPr="00616EC4">
              <w:rPr>
                <w:lang w:val="fr-FR"/>
              </w:rPr>
              <w:t>Si le dégazage de citernes à cargaison ayant contenu précédemment des</w:t>
            </w:r>
            <w:r w:rsidR="00616EC4">
              <w:rPr>
                <w:lang w:val="fr-FR"/>
              </w:rPr>
              <w:t> </w:t>
            </w:r>
            <w:r w:rsidRPr="00616EC4">
              <w:rPr>
                <w:lang w:val="fr-FR"/>
              </w:rPr>
              <w:t>matières dangereuses énumérées au 7.2.3.7.1 ci-dessus n’est pas possible aux endroits désignés ou agréés par l’autorité compétente, il</w:t>
            </w:r>
            <w:r w:rsidR="00616EC4">
              <w:rPr>
                <w:lang w:val="fr-FR"/>
              </w:rPr>
              <w:t> </w:t>
            </w:r>
            <w:r w:rsidRPr="00616EC4">
              <w:rPr>
                <w:lang w:val="fr-FR"/>
              </w:rPr>
              <w:t>peut être effectué pendant que le bateau fait route, à condition</w:t>
            </w:r>
            <w:r w:rsidR="00265CC1">
              <w:rPr>
                <w:lang w:val="fr-FR"/>
              </w:rPr>
              <w:t> </w:t>
            </w:r>
            <w:r w:rsidRPr="00616EC4">
              <w:rPr>
                <w:lang w:val="fr-FR"/>
              </w:rPr>
              <w:t>:</w:t>
            </w:r>
          </w:p>
          <w:p w:rsidR="003854A0" w:rsidRPr="00616EC4" w:rsidRDefault="00616EC4" w:rsidP="00FA79D7">
            <w:pPr>
              <w:tabs>
                <w:tab w:val="left" w:pos="288"/>
                <w:tab w:val="left" w:pos="576"/>
                <w:tab w:val="left" w:pos="864"/>
                <w:tab w:val="left" w:pos="1152"/>
              </w:tabs>
              <w:suppressAutoHyphens/>
              <w:spacing w:before="40" w:after="60" w:line="220" w:lineRule="exact"/>
              <w:ind w:right="115"/>
              <w:rPr>
                <w:lang w:val="fr-FR"/>
              </w:rPr>
            </w:pPr>
            <w:r>
              <w:rPr>
                <w:lang w:val="fr-FR"/>
              </w:rPr>
              <w:t xml:space="preserve">– </w:t>
            </w:r>
            <w:r w:rsidR="003854A0" w:rsidRPr="00616EC4">
              <w:rPr>
                <w:lang w:val="fr-FR"/>
              </w:rPr>
              <w:t xml:space="preserve">que les prescriptions du 7.2.3.7.2 soient respectées; la concentration de </w:t>
            </w:r>
            <w:r w:rsidR="003854A0" w:rsidRPr="00616EC4">
              <w:rPr>
                <w:strike/>
                <w:lang w:val="fr-FR"/>
              </w:rPr>
              <w:t xml:space="preserve">matières dangereuses </w:t>
            </w:r>
            <w:r w:rsidR="003854A0" w:rsidRPr="00616EC4">
              <w:rPr>
                <w:u w:val="single"/>
                <w:lang w:val="fr-FR"/>
              </w:rPr>
              <w:t xml:space="preserve">gaz inflammables </w:t>
            </w:r>
            <w:r w:rsidR="003854A0" w:rsidRPr="00616EC4">
              <w:rPr>
                <w:lang w:val="fr-FR"/>
              </w:rPr>
              <w:t>dans le mélange à l’orifice de sortie doit toutefois être inférieure à 10</w:t>
            </w:r>
            <w:r>
              <w:rPr>
                <w:lang w:val="fr-FR"/>
              </w:rPr>
              <w:t> </w:t>
            </w:r>
            <w:r w:rsidR="003854A0" w:rsidRPr="00616EC4">
              <w:rPr>
                <w:lang w:val="fr-FR"/>
              </w:rPr>
              <w:t xml:space="preserve">% de la </w:t>
            </w:r>
            <w:r w:rsidR="003854A0" w:rsidRPr="00616EC4">
              <w:rPr>
                <w:strike/>
                <w:lang w:val="fr-FR"/>
              </w:rPr>
              <w:t>limite inférieure d’explosivité</w:t>
            </w:r>
            <w:r w:rsidR="003854A0" w:rsidRPr="00616EC4">
              <w:rPr>
                <w:lang w:val="fr-FR"/>
              </w:rPr>
              <w:t xml:space="preserve"> </w:t>
            </w:r>
            <w:r w:rsidR="003854A0" w:rsidRPr="00616EC4">
              <w:rPr>
                <w:u w:val="single"/>
                <w:lang w:val="fr-FR"/>
              </w:rPr>
              <w:t>LIE</w:t>
            </w:r>
            <w:r w:rsidR="003854A0" w:rsidRPr="00616EC4">
              <w:rPr>
                <w:lang w:val="fr-FR"/>
              </w:rPr>
              <w:t>;</w:t>
            </w:r>
          </w:p>
          <w:p w:rsidR="005648B0" w:rsidRPr="00786CC3" w:rsidRDefault="003854A0" w:rsidP="00FA79D7">
            <w:pPr>
              <w:tabs>
                <w:tab w:val="left" w:pos="288"/>
                <w:tab w:val="left" w:pos="576"/>
                <w:tab w:val="left" w:pos="864"/>
                <w:tab w:val="left" w:pos="1152"/>
              </w:tabs>
              <w:suppressAutoHyphens/>
              <w:spacing w:before="40" w:after="60" w:line="220" w:lineRule="exact"/>
              <w:ind w:right="115"/>
              <w:rPr>
                <w:lang w:val="fr-FR"/>
              </w:rPr>
            </w:pPr>
            <w:r w:rsidRPr="00616EC4">
              <w:rPr>
                <w:lang w:val="fr-FR"/>
              </w:rPr>
              <w:t>….</w:t>
            </w:r>
          </w:p>
        </w:tc>
        <w:tc>
          <w:tcPr>
            <w:tcW w:w="5454" w:type="dxa"/>
            <w:shd w:val="clear" w:color="auto" w:fill="auto"/>
          </w:tcPr>
          <w:p w:rsidR="003854A0" w:rsidRPr="00616EC4" w:rsidRDefault="003854A0" w:rsidP="00616EC4">
            <w:pPr>
              <w:tabs>
                <w:tab w:val="left" w:pos="288"/>
                <w:tab w:val="left" w:pos="576"/>
                <w:tab w:val="left" w:pos="864"/>
                <w:tab w:val="left" w:pos="1152"/>
              </w:tabs>
              <w:suppressAutoHyphens/>
              <w:spacing w:before="40" w:after="80"/>
              <w:ind w:right="115"/>
              <w:rPr>
                <w:b/>
                <w:lang w:val="fr-FR"/>
              </w:rPr>
            </w:pPr>
            <w:r w:rsidRPr="00616EC4">
              <w:rPr>
                <w:b/>
                <w:lang w:val="fr-FR"/>
              </w:rPr>
              <w:t>Proposition</w:t>
            </w:r>
          </w:p>
          <w:p w:rsidR="003854A0" w:rsidRPr="00616EC4" w:rsidRDefault="003854A0" w:rsidP="00616EC4">
            <w:pPr>
              <w:tabs>
                <w:tab w:val="left" w:pos="288"/>
                <w:tab w:val="left" w:pos="576"/>
                <w:tab w:val="left" w:pos="864"/>
                <w:tab w:val="left" w:pos="1152"/>
              </w:tabs>
              <w:suppressAutoHyphens/>
              <w:spacing w:before="40" w:after="80"/>
              <w:ind w:right="115"/>
              <w:rPr>
                <w:lang w:val="fr-FR"/>
              </w:rPr>
            </w:pPr>
            <w:r w:rsidRPr="00616EC4">
              <w:rPr>
                <w:lang w:val="fr-FR"/>
              </w:rPr>
              <w:t>Remplacer «</w:t>
            </w:r>
            <w:r w:rsidR="00DD1971">
              <w:rPr>
                <w:lang w:val="fr-FR"/>
              </w:rPr>
              <w:t> </w:t>
            </w:r>
            <w:r w:rsidRPr="00616EC4">
              <w:rPr>
                <w:lang w:val="fr-FR"/>
              </w:rPr>
              <w:t>matières dangereuses</w:t>
            </w:r>
            <w:r w:rsidR="00DD1971">
              <w:rPr>
                <w:lang w:val="fr-FR"/>
              </w:rPr>
              <w:t> </w:t>
            </w:r>
            <w:r w:rsidRPr="00616EC4">
              <w:rPr>
                <w:lang w:val="fr-FR"/>
              </w:rPr>
              <w:t>» par «</w:t>
            </w:r>
            <w:r w:rsidR="00DD1971">
              <w:rPr>
                <w:lang w:val="fr-FR"/>
              </w:rPr>
              <w:t> </w:t>
            </w:r>
            <w:r w:rsidRPr="00616EC4">
              <w:rPr>
                <w:lang w:val="fr-FR"/>
              </w:rPr>
              <w:t>gaz inflammables</w:t>
            </w:r>
            <w:r w:rsidR="00DD1971">
              <w:rPr>
                <w:lang w:val="fr-FR"/>
              </w:rPr>
              <w:t> </w:t>
            </w:r>
            <w:r w:rsidRPr="00616EC4">
              <w:rPr>
                <w:lang w:val="fr-FR"/>
              </w:rPr>
              <w:t>».</w:t>
            </w:r>
          </w:p>
          <w:p w:rsidR="003854A0" w:rsidRPr="00616EC4" w:rsidRDefault="003854A0" w:rsidP="00616EC4">
            <w:pPr>
              <w:tabs>
                <w:tab w:val="left" w:pos="288"/>
                <w:tab w:val="left" w:pos="576"/>
                <w:tab w:val="left" w:pos="864"/>
                <w:tab w:val="left" w:pos="1152"/>
              </w:tabs>
              <w:suppressAutoHyphens/>
              <w:spacing w:before="40" w:after="80"/>
              <w:ind w:right="115"/>
              <w:rPr>
                <w:b/>
                <w:lang w:val="fr-FR"/>
              </w:rPr>
            </w:pPr>
            <w:r w:rsidRPr="00616EC4">
              <w:rPr>
                <w:b/>
                <w:lang w:val="fr-FR"/>
              </w:rPr>
              <w:t>Justification</w:t>
            </w:r>
          </w:p>
          <w:p w:rsidR="005648B0" w:rsidRPr="00786CC3" w:rsidRDefault="003854A0" w:rsidP="00616EC4">
            <w:pPr>
              <w:tabs>
                <w:tab w:val="left" w:pos="288"/>
                <w:tab w:val="left" w:pos="576"/>
                <w:tab w:val="left" w:pos="864"/>
                <w:tab w:val="left" w:pos="1152"/>
              </w:tabs>
              <w:suppressAutoHyphens/>
              <w:spacing w:before="40" w:after="80"/>
              <w:ind w:right="115"/>
              <w:rPr>
                <w:lang w:val="fr-FR"/>
              </w:rPr>
            </w:pPr>
            <w:r w:rsidRPr="00616EC4">
              <w:rPr>
                <w:lang w:val="fr-FR"/>
              </w:rPr>
              <w:t>Puisqu’il est fait référence à la limite inférieure d’explosivité, «</w:t>
            </w:r>
            <w:r w:rsidR="00DD1971">
              <w:rPr>
                <w:lang w:val="fr-FR"/>
              </w:rPr>
              <w:t> </w:t>
            </w:r>
            <w:r w:rsidRPr="00616EC4">
              <w:rPr>
                <w:lang w:val="fr-FR"/>
              </w:rPr>
              <w:t>matières dangereuses</w:t>
            </w:r>
            <w:r w:rsidR="00DD1971">
              <w:rPr>
                <w:lang w:val="fr-FR"/>
              </w:rPr>
              <w:t> </w:t>
            </w:r>
            <w:r w:rsidRPr="00616EC4">
              <w:rPr>
                <w:lang w:val="fr-FR"/>
              </w:rPr>
              <w:t>» doit être interprété comme signifiant.</w:t>
            </w:r>
          </w:p>
        </w:tc>
      </w:tr>
      <w:tr w:rsidR="005648B0" w:rsidRPr="00932192" w:rsidTr="00022E93">
        <w:tc>
          <w:tcPr>
            <w:tcW w:w="1437" w:type="dxa"/>
            <w:shd w:val="clear" w:color="auto" w:fill="auto"/>
          </w:tcPr>
          <w:p w:rsidR="005648B0" w:rsidRPr="00786CC3" w:rsidRDefault="003854A0" w:rsidP="004F35A8">
            <w:pPr>
              <w:tabs>
                <w:tab w:val="left" w:pos="288"/>
                <w:tab w:val="left" w:pos="576"/>
                <w:tab w:val="left" w:pos="864"/>
                <w:tab w:val="left" w:pos="1152"/>
              </w:tabs>
              <w:suppressAutoHyphens/>
              <w:spacing w:before="40" w:after="80"/>
              <w:ind w:right="115"/>
              <w:rPr>
                <w:lang w:val="fr-FR"/>
              </w:rPr>
            </w:pPr>
            <w:r w:rsidRPr="00972EA5">
              <w:rPr>
                <w:lang w:val="fr-FR"/>
              </w:rPr>
              <w:t>7.2.3.7.4</w:t>
            </w:r>
          </w:p>
        </w:tc>
        <w:tc>
          <w:tcPr>
            <w:tcW w:w="6291" w:type="dxa"/>
            <w:shd w:val="clear" w:color="auto" w:fill="auto"/>
          </w:tcPr>
          <w:p w:rsidR="005648B0" w:rsidRPr="00786CC3" w:rsidRDefault="003854A0" w:rsidP="00265CC1">
            <w:pPr>
              <w:tabs>
                <w:tab w:val="left" w:pos="288"/>
                <w:tab w:val="left" w:pos="576"/>
                <w:tab w:val="left" w:pos="864"/>
                <w:tab w:val="left" w:pos="1152"/>
              </w:tabs>
              <w:suppressAutoHyphens/>
              <w:spacing w:before="40" w:after="80"/>
              <w:ind w:right="115"/>
              <w:rPr>
                <w:lang w:val="fr-FR"/>
              </w:rPr>
            </w:pPr>
            <w:r w:rsidRPr="00972EA5">
              <w:rPr>
                <w:lang w:val="fr-FR"/>
              </w:rPr>
              <w:t xml:space="preserve">Les opérations de dégazage doivent être interrompues en cas d’orage lorsque par suite de conditions de vent défavorables des concentrations dangereuses de gaz </w:t>
            </w:r>
            <w:r w:rsidRPr="00972EA5">
              <w:rPr>
                <w:u w:val="single"/>
                <w:lang w:val="fr-FR"/>
              </w:rPr>
              <w:t>inflammables ou toxiques</w:t>
            </w:r>
            <w:r w:rsidRPr="00972EA5">
              <w:rPr>
                <w:lang w:val="fr-FR"/>
              </w:rPr>
              <w:t xml:space="preserve"> sont à craindre en dehors de la zone de cargaison devant les logements, la timonerie ou des locaux de service. L’état critique est atteint dès que, par des mesures au</w:t>
            </w:r>
            <w:r w:rsidR="00DB1DEC">
              <w:rPr>
                <w:lang w:val="fr-FR"/>
              </w:rPr>
              <w:t xml:space="preserve"> </w:t>
            </w:r>
            <w:r w:rsidRPr="00972EA5">
              <w:rPr>
                <w:lang w:val="fr-FR"/>
              </w:rPr>
              <w:t xml:space="preserve">moyen d’instruments portables, des concentrations de </w:t>
            </w:r>
            <w:r w:rsidRPr="00972EA5">
              <w:rPr>
                <w:u w:val="single"/>
                <w:lang w:val="fr-FR"/>
              </w:rPr>
              <w:t>gaz inflammables</w:t>
            </w:r>
            <w:r w:rsidRPr="004F7EC9">
              <w:rPr>
                <w:lang w:val="fr-FR"/>
              </w:rPr>
              <w:t xml:space="preserve"> </w:t>
            </w:r>
            <w:r w:rsidRPr="00972EA5">
              <w:rPr>
                <w:lang w:val="fr-FR"/>
              </w:rPr>
              <w:t>plus de 20</w:t>
            </w:r>
            <w:r w:rsidR="004F7EC9">
              <w:rPr>
                <w:lang w:val="fr-FR"/>
              </w:rPr>
              <w:t> </w:t>
            </w:r>
            <w:r w:rsidRPr="00972EA5">
              <w:rPr>
                <w:lang w:val="fr-FR"/>
              </w:rPr>
              <w:t xml:space="preserve">% de la </w:t>
            </w:r>
            <w:r w:rsidRPr="004F7EC9">
              <w:rPr>
                <w:strike/>
                <w:lang w:val="fr-FR"/>
              </w:rPr>
              <w:t>limite inférieure d’explosivité</w:t>
            </w:r>
            <w:r w:rsidRPr="00972EA5">
              <w:rPr>
                <w:lang w:val="fr-FR"/>
              </w:rPr>
              <w:t xml:space="preserve"> </w:t>
            </w:r>
            <w:r w:rsidRPr="00972EA5">
              <w:rPr>
                <w:u w:val="single"/>
                <w:lang w:val="fr-FR"/>
              </w:rPr>
              <w:t>LIE</w:t>
            </w:r>
            <w:r w:rsidRPr="00972EA5">
              <w:rPr>
                <w:lang w:val="fr-FR"/>
              </w:rPr>
              <w:t xml:space="preserve"> </w:t>
            </w:r>
            <w:r w:rsidRPr="00972EA5">
              <w:rPr>
                <w:u w:val="single"/>
                <w:lang w:val="fr-FR"/>
              </w:rPr>
              <w:t>ou</w:t>
            </w:r>
            <w:r w:rsidR="00DB1DEC">
              <w:rPr>
                <w:u w:val="single"/>
                <w:lang w:val="fr-FR"/>
              </w:rPr>
              <w:t xml:space="preserve"> </w:t>
            </w:r>
            <w:r w:rsidRPr="00972EA5">
              <w:rPr>
                <w:u w:val="single"/>
                <w:lang w:val="fr-FR"/>
              </w:rPr>
              <w:t xml:space="preserve">des concentrations significatives de gaz toxiques </w:t>
            </w:r>
            <w:r w:rsidRPr="00972EA5">
              <w:rPr>
                <w:lang w:val="fr-FR"/>
              </w:rPr>
              <w:t>ont été constatées dans ces zones.</w:t>
            </w:r>
          </w:p>
        </w:tc>
        <w:tc>
          <w:tcPr>
            <w:tcW w:w="5454" w:type="dxa"/>
            <w:shd w:val="clear" w:color="auto" w:fill="auto"/>
          </w:tcPr>
          <w:p w:rsidR="005648B0" w:rsidRPr="00786CC3" w:rsidRDefault="005648B0" w:rsidP="00AE5EDA">
            <w:pPr>
              <w:tabs>
                <w:tab w:val="left" w:pos="288"/>
                <w:tab w:val="left" w:pos="576"/>
                <w:tab w:val="left" w:pos="864"/>
                <w:tab w:val="left" w:pos="1152"/>
              </w:tabs>
              <w:suppressAutoHyphens/>
              <w:spacing w:before="40" w:after="80"/>
              <w:ind w:right="115"/>
              <w:rPr>
                <w:lang w:val="fr-FR"/>
              </w:rPr>
            </w:pPr>
          </w:p>
        </w:tc>
      </w:tr>
      <w:tr w:rsidR="005648B0" w:rsidRPr="00932192" w:rsidTr="00022E93">
        <w:tc>
          <w:tcPr>
            <w:tcW w:w="1437" w:type="dxa"/>
            <w:shd w:val="clear" w:color="auto" w:fill="auto"/>
          </w:tcPr>
          <w:p w:rsidR="005648B0" w:rsidRPr="00786CC3" w:rsidRDefault="003854A0" w:rsidP="004F35A8">
            <w:pPr>
              <w:tabs>
                <w:tab w:val="left" w:pos="288"/>
                <w:tab w:val="left" w:pos="576"/>
                <w:tab w:val="left" w:pos="864"/>
                <w:tab w:val="left" w:pos="1152"/>
              </w:tabs>
              <w:suppressAutoHyphens/>
              <w:spacing w:before="40" w:after="80"/>
              <w:ind w:right="115"/>
              <w:rPr>
                <w:lang w:val="fr-FR"/>
              </w:rPr>
            </w:pPr>
            <w:r w:rsidRPr="00E74FBD">
              <w:rPr>
                <w:lang w:val="fr-FR"/>
              </w:rPr>
              <w:t>7.2.3.7.5</w:t>
            </w:r>
          </w:p>
        </w:tc>
        <w:tc>
          <w:tcPr>
            <w:tcW w:w="6291" w:type="dxa"/>
            <w:shd w:val="clear" w:color="auto" w:fill="auto"/>
          </w:tcPr>
          <w:p w:rsidR="005648B0" w:rsidRPr="00786CC3" w:rsidRDefault="003854A0" w:rsidP="00E74FBD">
            <w:pPr>
              <w:tabs>
                <w:tab w:val="left" w:pos="288"/>
                <w:tab w:val="left" w:pos="576"/>
                <w:tab w:val="left" w:pos="864"/>
                <w:tab w:val="left" w:pos="1152"/>
              </w:tabs>
              <w:suppressAutoHyphens/>
              <w:spacing w:before="40" w:after="80"/>
              <w:ind w:right="115"/>
              <w:rPr>
                <w:lang w:val="fr-FR"/>
              </w:rPr>
            </w:pPr>
            <w:r w:rsidRPr="00E74FBD">
              <w:rPr>
                <w:spacing w:val="3"/>
                <w:lang w:val="fr-FR"/>
              </w:rPr>
              <w:t>La signalisation prescrite à la colonne (19) du tableau C du chapitre 3.2</w:t>
            </w:r>
            <w:r w:rsidRPr="00E74FBD">
              <w:rPr>
                <w:lang w:val="fr-FR"/>
              </w:rPr>
              <w:t xml:space="preserve"> peut être retirée par le conducteur lorsque après dégazage des citernes à cargaison il a été constaté au moyen des appareils visés à la colonne (18) du tableau C du chapitre 3.2 que les citernes à cargaison ne contiennent plus de gaz inflammables à une concentration supérieure à</w:t>
            </w:r>
            <w:r w:rsidR="00E74FBD">
              <w:rPr>
                <w:lang w:val="fr-FR"/>
              </w:rPr>
              <w:t> </w:t>
            </w:r>
            <w:r w:rsidRPr="00E74FBD">
              <w:rPr>
                <w:lang w:val="fr-FR"/>
              </w:rPr>
              <w:t>20</w:t>
            </w:r>
            <w:r w:rsidR="00E74FBD">
              <w:rPr>
                <w:lang w:val="fr-FR"/>
              </w:rPr>
              <w:t> </w:t>
            </w:r>
            <w:r w:rsidRPr="00E74FBD">
              <w:rPr>
                <w:lang w:val="fr-FR"/>
              </w:rPr>
              <w:t xml:space="preserve">% de la </w:t>
            </w:r>
            <w:r w:rsidRPr="00E74FBD">
              <w:rPr>
                <w:strike/>
                <w:lang w:val="fr-FR"/>
              </w:rPr>
              <w:t>limite inférieure d’explosivité</w:t>
            </w:r>
            <w:r w:rsidRPr="00E74FBD">
              <w:rPr>
                <w:lang w:val="fr-FR"/>
              </w:rPr>
              <w:t xml:space="preserve"> </w:t>
            </w:r>
            <w:r w:rsidRPr="00E74FBD">
              <w:rPr>
                <w:u w:val="single"/>
                <w:lang w:val="fr-FR"/>
              </w:rPr>
              <w:t>LIE</w:t>
            </w:r>
            <w:r w:rsidRPr="00E74FBD">
              <w:rPr>
                <w:lang w:val="fr-FR"/>
              </w:rPr>
              <w:t xml:space="preserve"> ni de concentration significative de gaz toxiques.</w:t>
            </w:r>
          </w:p>
        </w:tc>
        <w:tc>
          <w:tcPr>
            <w:tcW w:w="5454" w:type="dxa"/>
            <w:shd w:val="clear" w:color="auto" w:fill="auto"/>
          </w:tcPr>
          <w:p w:rsidR="005648B0" w:rsidRPr="00786CC3" w:rsidRDefault="005648B0" w:rsidP="00AE5EDA">
            <w:pPr>
              <w:tabs>
                <w:tab w:val="left" w:pos="288"/>
                <w:tab w:val="left" w:pos="576"/>
                <w:tab w:val="left" w:pos="864"/>
                <w:tab w:val="left" w:pos="1152"/>
              </w:tabs>
              <w:suppressAutoHyphens/>
              <w:spacing w:before="40" w:after="80"/>
              <w:ind w:right="115"/>
              <w:rPr>
                <w:lang w:val="fr-FR"/>
              </w:rPr>
            </w:pPr>
          </w:p>
        </w:tc>
      </w:tr>
      <w:tr w:rsidR="005648B0" w:rsidRPr="00932192" w:rsidTr="00022E93">
        <w:tc>
          <w:tcPr>
            <w:tcW w:w="1437" w:type="dxa"/>
            <w:shd w:val="clear" w:color="auto" w:fill="auto"/>
          </w:tcPr>
          <w:p w:rsidR="005648B0" w:rsidRPr="00786CC3" w:rsidRDefault="003854A0" w:rsidP="004F35A8">
            <w:pPr>
              <w:tabs>
                <w:tab w:val="left" w:pos="288"/>
                <w:tab w:val="left" w:pos="576"/>
                <w:tab w:val="left" w:pos="864"/>
                <w:tab w:val="left" w:pos="1152"/>
              </w:tabs>
              <w:suppressAutoHyphens/>
              <w:spacing w:before="40" w:after="80"/>
              <w:ind w:right="115"/>
              <w:rPr>
                <w:lang w:val="fr-FR"/>
              </w:rPr>
            </w:pPr>
            <w:r w:rsidRPr="00877539">
              <w:rPr>
                <w:lang w:val="fr-FR"/>
              </w:rPr>
              <w:t>7.2.3.7.6, 7.2.3.12.2, 7.2.4.2.2 et 7.2.4.2.3</w:t>
            </w:r>
          </w:p>
        </w:tc>
        <w:tc>
          <w:tcPr>
            <w:tcW w:w="6291" w:type="dxa"/>
            <w:shd w:val="clear" w:color="auto" w:fill="auto"/>
          </w:tcPr>
          <w:p w:rsidR="005648B0" w:rsidRPr="00786CC3" w:rsidRDefault="005648B0" w:rsidP="00CD25E9">
            <w:pPr>
              <w:tabs>
                <w:tab w:val="left" w:pos="288"/>
                <w:tab w:val="left" w:pos="576"/>
                <w:tab w:val="left" w:pos="864"/>
                <w:tab w:val="left" w:pos="1152"/>
              </w:tabs>
              <w:suppressAutoHyphens/>
              <w:spacing w:before="40" w:after="80"/>
              <w:ind w:right="115"/>
              <w:rPr>
                <w:lang w:val="fr-FR"/>
              </w:rPr>
            </w:pPr>
          </w:p>
        </w:tc>
        <w:tc>
          <w:tcPr>
            <w:tcW w:w="5454" w:type="dxa"/>
            <w:shd w:val="clear" w:color="auto" w:fill="auto"/>
          </w:tcPr>
          <w:p w:rsidR="005648B0" w:rsidRPr="00786CC3" w:rsidRDefault="003854A0" w:rsidP="00AE5EDA">
            <w:pPr>
              <w:tabs>
                <w:tab w:val="left" w:pos="288"/>
                <w:tab w:val="left" w:pos="576"/>
                <w:tab w:val="left" w:pos="864"/>
                <w:tab w:val="left" w:pos="1152"/>
              </w:tabs>
              <w:suppressAutoHyphens/>
              <w:spacing w:before="40" w:after="80"/>
              <w:ind w:right="115"/>
              <w:rPr>
                <w:lang w:val="fr-FR"/>
              </w:rPr>
            </w:pPr>
            <w:r w:rsidRPr="00877539">
              <w:rPr>
                <w:lang w:val="fr-FR"/>
              </w:rPr>
              <w:t>Modifications sans objet en français</w:t>
            </w:r>
            <w:r w:rsidR="00877539">
              <w:rPr>
                <w:lang w:val="fr-FR"/>
              </w:rPr>
              <w:t>.</w:t>
            </w:r>
          </w:p>
        </w:tc>
      </w:tr>
      <w:tr w:rsidR="005648B0" w:rsidRPr="00932192" w:rsidTr="00022E93">
        <w:tc>
          <w:tcPr>
            <w:tcW w:w="1437" w:type="dxa"/>
            <w:shd w:val="clear" w:color="auto" w:fill="auto"/>
          </w:tcPr>
          <w:p w:rsidR="005648B0" w:rsidRPr="00786CC3" w:rsidRDefault="003854A0" w:rsidP="004F35A8">
            <w:pPr>
              <w:tabs>
                <w:tab w:val="left" w:pos="288"/>
                <w:tab w:val="left" w:pos="576"/>
                <w:tab w:val="left" w:pos="864"/>
                <w:tab w:val="left" w:pos="1152"/>
              </w:tabs>
              <w:suppressAutoHyphens/>
              <w:spacing w:before="40" w:after="80"/>
              <w:ind w:right="115"/>
              <w:rPr>
                <w:lang w:val="fr-FR"/>
              </w:rPr>
            </w:pPr>
            <w:r w:rsidRPr="000C6048">
              <w:rPr>
                <w:b/>
                <w:lang w:val="fr-FR"/>
              </w:rPr>
              <w:t>7.2.4.7</w:t>
            </w:r>
          </w:p>
        </w:tc>
        <w:tc>
          <w:tcPr>
            <w:tcW w:w="6291" w:type="dxa"/>
            <w:shd w:val="clear" w:color="auto" w:fill="auto"/>
          </w:tcPr>
          <w:p w:rsidR="005648B0" w:rsidRPr="00101610" w:rsidRDefault="003854A0" w:rsidP="00CD25E9">
            <w:pPr>
              <w:tabs>
                <w:tab w:val="left" w:pos="288"/>
                <w:tab w:val="left" w:pos="576"/>
                <w:tab w:val="left" w:pos="864"/>
                <w:tab w:val="left" w:pos="1152"/>
              </w:tabs>
              <w:suppressAutoHyphens/>
              <w:spacing w:before="40" w:after="80"/>
              <w:ind w:right="115"/>
              <w:rPr>
                <w:i/>
                <w:lang w:val="fr-FR"/>
              </w:rPr>
            </w:pPr>
            <w:r w:rsidRPr="00101610">
              <w:rPr>
                <w:b/>
                <w:i/>
                <w:lang w:val="fr-FR"/>
              </w:rPr>
              <w:t>Lieux de chargement et de déchargement</w:t>
            </w:r>
          </w:p>
        </w:tc>
        <w:tc>
          <w:tcPr>
            <w:tcW w:w="5454" w:type="dxa"/>
            <w:shd w:val="clear" w:color="auto" w:fill="auto"/>
          </w:tcPr>
          <w:p w:rsidR="005648B0" w:rsidRPr="00786CC3" w:rsidRDefault="005648B0" w:rsidP="00AE5EDA">
            <w:pPr>
              <w:tabs>
                <w:tab w:val="left" w:pos="288"/>
                <w:tab w:val="left" w:pos="576"/>
                <w:tab w:val="left" w:pos="864"/>
                <w:tab w:val="left" w:pos="1152"/>
              </w:tabs>
              <w:suppressAutoHyphens/>
              <w:spacing w:before="40" w:after="80"/>
              <w:ind w:right="115"/>
              <w:rPr>
                <w:lang w:val="fr-FR"/>
              </w:rPr>
            </w:pPr>
          </w:p>
        </w:tc>
      </w:tr>
      <w:tr w:rsidR="005648B0" w:rsidRPr="00932192" w:rsidTr="00022E93">
        <w:tc>
          <w:tcPr>
            <w:tcW w:w="1437" w:type="dxa"/>
            <w:shd w:val="clear" w:color="auto" w:fill="auto"/>
          </w:tcPr>
          <w:p w:rsidR="005648B0" w:rsidRPr="00786CC3" w:rsidRDefault="003854A0" w:rsidP="004F35A8">
            <w:pPr>
              <w:tabs>
                <w:tab w:val="left" w:pos="288"/>
                <w:tab w:val="left" w:pos="576"/>
                <w:tab w:val="left" w:pos="864"/>
                <w:tab w:val="left" w:pos="1152"/>
              </w:tabs>
              <w:suppressAutoHyphens/>
              <w:spacing w:before="40" w:after="80"/>
              <w:ind w:right="115"/>
              <w:rPr>
                <w:lang w:val="fr-FR"/>
              </w:rPr>
            </w:pPr>
            <w:r w:rsidRPr="00870C27">
              <w:rPr>
                <w:lang w:val="fr-FR"/>
              </w:rPr>
              <w:t>7.2.4.7.1</w:t>
            </w:r>
          </w:p>
        </w:tc>
        <w:tc>
          <w:tcPr>
            <w:tcW w:w="6291" w:type="dxa"/>
            <w:shd w:val="clear" w:color="auto" w:fill="auto"/>
          </w:tcPr>
          <w:p w:rsidR="005648B0" w:rsidRPr="00786CC3" w:rsidRDefault="003854A0" w:rsidP="00CD25E9">
            <w:pPr>
              <w:tabs>
                <w:tab w:val="left" w:pos="288"/>
                <w:tab w:val="left" w:pos="576"/>
                <w:tab w:val="left" w:pos="864"/>
                <w:tab w:val="left" w:pos="1152"/>
              </w:tabs>
              <w:suppressAutoHyphens/>
              <w:spacing w:before="40" w:after="80"/>
              <w:ind w:right="115"/>
              <w:rPr>
                <w:lang w:val="fr-FR"/>
              </w:rPr>
            </w:pPr>
            <w:r w:rsidRPr="00870C27">
              <w:rPr>
                <w:lang w:val="fr-FR"/>
              </w:rPr>
              <w:t xml:space="preserve">Le chargement, </w:t>
            </w:r>
            <w:r w:rsidRPr="00870C27">
              <w:rPr>
                <w:u w:val="single"/>
                <w:lang w:val="fr-FR"/>
              </w:rPr>
              <w:t>et</w:t>
            </w:r>
            <w:r w:rsidRPr="00870C27">
              <w:rPr>
                <w:lang w:val="fr-FR"/>
              </w:rPr>
              <w:t xml:space="preserve"> le déchargement </w:t>
            </w:r>
            <w:r w:rsidRPr="00870C27">
              <w:rPr>
                <w:strike/>
                <w:lang w:val="fr-FR"/>
              </w:rPr>
              <w:t>et le dégazage</w:t>
            </w:r>
            <w:r w:rsidRPr="00870C27">
              <w:rPr>
                <w:lang w:val="fr-FR"/>
              </w:rPr>
              <w:t xml:space="preserve"> des bateaux-citernes ne doivent avoir lieu qu’aux emplacements désignés ou agréés à cette fin par l’autorité compétente.</w:t>
            </w:r>
          </w:p>
        </w:tc>
        <w:tc>
          <w:tcPr>
            <w:tcW w:w="5454" w:type="dxa"/>
            <w:shd w:val="clear" w:color="auto" w:fill="auto"/>
          </w:tcPr>
          <w:p w:rsidR="003854A0" w:rsidRPr="00311626" w:rsidRDefault="003854A0" w:rsidP="00311626">
            <w:pPr>
              <w:tabs>
                <w:tab w:val="left" w:pos="288"/>
                <w:tab w:val="left" w:pos="576"/>
                <w:tab w:val="left" w:pos="864"/>
                <w:tab w:val="left" w:pos="1152"/>
              </w:tabs>
              <w:suppressAutoHyphens/>
              <w:spacing w:before="40" w:after="80"/>
              <w:ind w:right="115"/>
              <w:rPr>
                <w:b/>
                <w:lang w:val="fr-FR"/>
              </w:rPr>
            </w:pPr>
            <w:r w:rsidRPr="00311626">
              <w:rPr>
                <w:b/>
                <w:lang w:val="fr-FR"/>
              </w:rPr>
              <w:t>Proposition</w:t>
            </w:r>
          </w:p>
          <w:p w:rsidR="003854A0" w:rsidRPr="00311626" w:rsidRDefault="003854A0" w:rsidP="00311626">
            <w:pPr>
              <w:tabs>
                <w:tab w:val="left" w:pos="288"/>
                <w:tab w:val="left" w:pos="576"/>
                <w:tab w:val="left" w:pos="864"/>
                <w:tab w:val="left" w:pos="1152"/>
              </w:tabs>
              <w:suppressAutoHyphens/>
              <w:spacing w:before="40" w:after="80"/>
              <w:ind w:right="115"/>
              <w:rPr>
                <w:lang w:val="fr-FR"/>
              </w:rPr>
            </w:pPr>
            <w:r w:rsidRPr="00311626">
              <w:rPr>
                <w:lang w:val="fr-FR"/>
              </w:rPr>
              <w:t>Supprimer «</w:t>
            </w:r>
            <w:r w:rsidR="00311626">
              <w:rPr>
                <w:lang w:val="fr-FR"/>
              </w:rPr>
              <w:t> </w:t>
            </w:r>
            <w:r w:rsidRPr="00311626">
              <w:rPr>
                <w:lang w:val="fr-FR"/>
              </w:rPr>
              <w:t>et le dégazage</w:t>
            </w:r>
            <w:r w:rsidR="00311626">
              <w:rPr>
                <w:lang w:val="fr-FR"/>
              </w:rPr>
              <w:t> </w:t>
            </w:r>
            <w:r w:rsidRPr="00311626">
              <w:rPr>
                <w:lang w:val="fr-FR"/>
              </w:rPr>
              <w:t>».</w:t>
            </w:r>
          </w:p>
          <w:p w:rsidR="003854A0" w:rsidRPr="00311626" w:rsidRDefault="003854A0" w:rsidP="00311626">
            <w:pPr>
              <w:tabs>
                <w:tab w:val="left" w:pos="288"/>
                <w:tab w:val="left" w:pos="576"/>
                <w:tab w:val="left" w:pos="864"/>
                <w:tab w:val="left" w:pos="1152"/>
              </w:tabs>
              <w:suppressAutoHyphens/>
              <w:spacing w:before="40" w:after="80"/>
              <w:ind w:right="115"/>
              <w:rPr>
                <w:b/>
                <w:lang w:val="fr-FR"/>
              </w:rPr>
            </w:pPr>
            <w:r w:rsidRPr="00311626">
              <w:rPr>
                <w:b/>
                <w:lang w:val="fr-FR"/>
              </w:rPr>
              <w:t>Justification</w:t>
            </w:r>
          </w:p>
          <w:p w:rsidR="005648B0" w:rsidRPr="00786CC3" w:rsidRDefault="003854A0" w:rsidP="00311626">
            <w:pPr>
              <w:tabs>
                <w:tab w:val="left" w:pos="288"/>
                <w:tab w:val="left" w:pos="576"/>
                <w:tab w:val="left" w:pos="864"/>
                <w:tab w:val="left" w:pos="1152"/>
              </w:tabs>
              <w:suppressAutoHyphens/>
              <w:spacing w:before="40" w:after="80"/>
              <w:ind w:right="115"/>
              <w:rPr>
                <w:lang w:val="fr-FR"/>
              </w:rPr>
            </w:pPr>
            <w:r w:rsidRPr="00311626">
              <w:rPr>
                <w:lang w:val="fr-FR"/>
              </w:rPr>
              <w:t>Compte tenu des modifications apportées au</w:t>
            </w:r>
            <w:r w:rsidR="00311626">
              <w:rPr>
                <w:lang w:val="fr-FR"/>
              </w:rPr>
              <w:t> </w:t>
            </w:r>
            <w:r w:rsidRPr="00311626">
              <w:rPr>
                <w:lang w:val="fr-FR"/>
              </w:rPr>
              <w:t>7.2.3.7, cette mention est superflue.</w:t>
            </w:r>
          </w:p>
        </w:tc>
      </w:tr>
      <w:tr w:rsidR="005648B0" w:rsidRPr="00932192" w:rsidTr="00022E93">
        <w:tc>
          <w:tcPr>
            <w:tcW w:w="1437" w:type="dxa"/>
            <w:shd w:val="clear" w:color="auto" w:fill="auto"/>
          </w:tcPr>
          <w:p w:rsidR="005648B0" w:rsidRPr="00786CC3" w:rsidRDefault="00914079" w:rsidP="004F35A8">
            <w:pPr>
              <w:tabs>
                <w:tab w:val="left" w:pos="288"/>
                <w:tab w:val="left" w:pos="576"/>
                <w:tab w:val="left" w:pos="864"/>
                <w:tab w:val="left" w:pos="1152"/>
              </w:tabs>
              <w:suppressAutoHyphens/>
              <w:spacing w:before="40" w:after="80"/>
              <w:ind w:right="115"/>
              <w:rPr>
                <w:lang w:val="fr-FR"/>
              </w:rPr>
            </w:pPr>
            <w:r w:rsidRPr="00914079">
              <w:rPr>
                <w:lang w:val="fr-FR"/>
              </w:rPr>
              <w:t>7.2.4.12, 7.2.4.15.3, 7.2.4.16.3, 7.2.4.16.7, 7.2.4.17.1 et 7.2.4.17.2</w:t>
            </w:r>
          </w:p>
        </w:tc>
        <w:tc>
          <w:tcPr>
            <w:tcW w:w="6291" w:type="dxa"/>
            <w:shd w:val="clear" w:color="auto" w:fill="auto"/>
          </w:tcPr>
          <w:p w:rsidR="005648B0" w:rsidRPr="00786CC3" w:rsidRDefault="005648B0" w:rsidP="00CD25E9">
            <w:pPr>
              <w:tabs>
                <w:tab w:val="left" w:pos="288"/>
                <w:tab w:val="left" w:pos="576"/>
                <w:tab w:val="left" w:pos="864"/>
                <w:tab w:val="left" w:pos="1152"/>
              </w:tabs>
              <w:suppressAutoHyphens/>
              <w:spacing w:before="40" w:after="80"/>
              <w:ind w:right="115"/>
              <w:rPr>
                <w:lang w:val="fr-FR"/>
              </w:rPr>
            </w:pPr>
          </w:p>
        </w:tc>
        <w:tc>
          <w:tcPr>
            <w:tcW w:w="5454" w:type="dxa"/>
            <w:shd w:val="clear" w:color="auto" w:fill="auto"/>
          </w:tcPr>
          <w:p w:rsidR="005648B0" w:rsidRPr="00786CC3" w:rsidRDefault="00914079" w:rsidP="00AE5EDA">
            <w:pPr>
              <w:tabs>
                <w:tab w:val="left" w:pos="288"/>
                <w:tab w:val="left" w:pos="576"/>
                <w:tab w:val="left" w:pos="864"/>
                <w:tab w:val="left" w:pos="1152"/>
              </w:tabs>
              <w:suppressAutoHyphens/>
              <w:spacing w:before="40" w:after="80"/>
              <w:ind w:right="115"/>
              <w:rPr>
                <w:lang w:val="fr-FR"/>
              </w:rPr>
            </w:pPr>
            <w:r w:rsidRPr="00914079">
              <w:rPr>
                <w:lang w:val="fr-FR"/>
              </w:rPr>
              <w:t>Modifications sans objet en français.</w:t>
            </w:r>
          </w:p>
        </w:tc>
      </w:tr>
      <w:tr w:rsidR="005648B0" w:rsidRPr="00932192" w:rsidTr="00022E93">
        <w:tc>
          <w:tcPr>
            <w:tcW w:w="1437" w:type="dxa"/>
            <w:shd w:val="clear" w:color="auto" w:fill="auto"/>
          </w:tcPr>
          <w:p w:rsidR="005648B0" w:rsidRPr="00786CC3" w:rsidRDefault="00D258C9" w:rsidP="004F35A8">
            <w:pPr>
              <w:tabs>
                <w:tab w:val="left" w:pos="288"/>
                <w:tab w:val="left" w:pos="576"/>
                <w:tab w:val="left" w:pos="864"/>
                <w:tab w:val="left" w:pos="1152"/>
              </w:tabs>
              <w:suppressAutoHyphens/>
              <w:spacing w:before="40" w:after="80"/>
              <w:ind w:right="115"/>
              <w:rPr>
                <w:lang w:val="fr-FR"/>
              </w:rPr>
            </w:pPr>
            <w:r w:rsidRPr="00D258C9">
              <w:rPr>
                <w:lang w:val="fr-FR"/>
              </w:rPr>
              <w:t>7.2.4.22.2</w:t>
            </w:r>
          </w:p>
        </w:tc>
        <w:tc>
          <w:tcPr>
            <w:tcW w:w="6291" w:type="dxa"/>
            <w:shd w:val="clear" w:color="auto" w:fill="auto"/>
          </w:tcPr>
          <w:p w:rsidR="00D258C9" w:rsidRPr="00D258C9" w:rsidRDefault="00D258C9" w:rsidP="00D258C9">
            <w:pPr>
              <w:tabs>
                <w:tab w:val="left" w:pos="288"/>
                <w:tab w:val="left" w:pos="576"/>
                <w:tab w:val="left" w:pos="864"/>
                <w:tab w:val="left" w:pos="1152"/>
              </w:tabs>
              <w:suppressAutoHyphens/>
              <w:spacing w:before="40" w:after="80"/>
              <w:ind w:right="115"/>
              <w:rPr>
                <w:lang w:val="fr-FR"/>
              </w:rPr>
            </w:pPr>
            <w:r w:rsidRPr="00D258C9">
              <w:rPr>
                <w:lang w:val="fr-FR"/>
              </w:rPr>
              <w:t>…</w:t>
            </w:r>
          </w:p>
          <w:p w:rsidR="005648B0" w:rsidRPr="00786CC3" w:rsidRDefault="00D258C9" w:rsidP="00F60883">
            <w:pPr>
              <w:tabs>
                <w:tab w:val="left" w:pos="288"/>
                <w:tab w:val="left" w:pos="576"/>
                <w:tab w:val="left" w:pos="864"/>
                <w:tab w:val="left" w:pos="1152"/>
              </w:tabs>
              <w:suppressAutoHyphens/>
              <w:spacing w:before="40" w:after="80"/>
              <w:ind w:right="115"/>
              <w:rPr>
                <w:lang w:val="fr-FR"/>
              </w:rPr>
            </w:pPr>
            <w:r w:rsidRPr="00D258C9">
              <w:rPr>
                <w:lang w:val="fr-FR"/>
              </w:rPr>
              <w:t>Lorsqu’en vertu de la colonne (17) du tableau C du chapitre 3.2 une</w:t>
            </w:r>
            <w:r w:rsidR="00F60883">
              <w:rPr>
                <w:lang w:val="fr-FR"/>
              </w:rPr>
              <w:t xml:space="preserve"> </w:t>
            </w:r>
            <w:r w:rsidRPr="00D258C9">
              <w:rPr>
                <w:lang w:val="fr-FR"/>
              </w:rPr>
              <w:t xml:space="preserve">protection contre les explosions est exigée, l’ouverture des couvercles des citernes à cargaison ou du carter du coupe-flammes, en vue de monter ou de démonter l’élément coupe-flammes de citernes à cargaison déchargées, n’est autorisée que si </w:t>
            </w:r>
            <w:r w:rsidRPr="00D258C9">
              <w:rPr>
                <w:strike/>
                <w:lang w:val="fr-FR"/>
              </w:rPr>
              <w:t>les citernes à cargaison correspondantes ont été dégazées et que</w:t>
            </w:r>
            <w:r w:rsidRPr="00D258C9">
              <w:rPr>
                <w:lang w:val="fr-FR"/>
              </w:rPr>
              <w:t xml:space="preserve"> la concentration de gaz inflammables dans les citernes à cargaison est inférieure à 10</w:t>
            </w:r>
            <w:r>
              <w:rPr>
                <w:lang w:val="fr-FR"/>
              </w:rPr>
              <w:t> </w:t>
            </w:r>
            <w:r w:rsidRPr="00D258C9">
              <w:rPr>
                <w:lang w:val="fr-FR"/>
              </w:rPr>
              <w:t xml:space="preserve">% de la </w:t>
            </w:r>
            <w:r w:rsidRPr="00D258C9">
              <w:rPr>
                <w:strike/>
                <w:lang w:val="fr-FR"/>
              </w:rPr>
              <w:t>limite inférieure d’explosivité</w:t>
            </w:r>
            <w:r w:rsidRPr="00D258C9">
              <w:rPr>
                <w:lang w:val="fr-FR"/>
              </w:rPr>
              <w:t xml:space="preserve"> </w:t>
            </w:r>
            <w:r w:rsidRPr="00D258C9">
              <w:rPr>
                <w:u w:val="single"/>
                <w:lang w:val="fr-FR"/>
              </w:rPr>
              <w:t>LIE</w:t>
            </w:r>
            <w:r w:rsidRPr="00D258C9">
              <w:rPr>
                <w:lang w:val="fr-FR"/>
              </w:rPr>
              <w:t>.</w:t>
            </w:r>
          </w:p>
        </w:tc>
        <w:tc>
          <w:tcPr>
            <w:tcW w:w="5454" w:type="dxa"/>
            <w:shd w:val="clear" w:color="auto" w:fill="auto"/>
          </w:tcPr>
          <w:p w:rsidR="005648B0" w:rsidRPr="00786CC3" w:rsidRDefault="005648B0" w:rsidP="00AE5EDA">
            <w:pPr>
              <w:tabs>
                <w:tab w:val="left" w:pos="288"/>
                <w:tab w:val="left" w:pos="576"/>
                <w:tab w:val="left" w:pos="864"/>
                <w:tab w:val="left" w:pos="1152"/>
              </w:tabs>
              <w:suppressAutoHyphens/>
              <w:spacing w:before="40" w:after="80"/>
              <w:ind w:right="115"/>
              <w:rPr>
                <w:lang w:val="fr-FR"/>
              </w:rPr>
            </w:pPr>
          </w:p>
        </w:tc>
      </w:tr>
      <w:tr w:rsidR="005648B0" w:rsidRPr="00932192" w:rsidTr="00022E93">
        <w:tc>
          <w:tcPr>
            <w:tcW w:w="1437" w:type="dxa"/>
            <w:shd w:val="clear" w:color="auto" w:fill="auto"/>
          </w:tcPr>
          <w:p w:rsidR="005648B0" w:rsidRPr="00786CC3" w:rsidRDefault="00FB4243" w:rsidP="004F35A8">
            <w:pPr>
              <w:tabs>
                <w:tab w:val="left" w:pos="288"/>
                <w:tab w:val="left" w:pos="576"/>
                <w:tab w:val="left" w:pos="864"/>
                <w:tab w:val="left" w:pos="1152"/>
              </w:tabs>
              <w:suppressAutoHyphens/>
              <w:spacing w:before="40" w:after="80"/>
              <w:ind w:right="115"/>
              <w:rPr>
                <w:lang w:val="fr-FR"/>
              </w:rPr>
            </w:pPr>
            <w:r w:rsidRPr="00FB4243">
              <w:rPr>
                <w:bCs/>
                <w:lang w:val="fr-FR"/>
              </w:rPr>
              <w:t>7.2.4.25.3</w:t>
            </w:r>
          </w:p>
        </w:tc>
        <w:tc>
          <w:tcPr>
            <w:tcW w:w="6291" w:type="dxa"/>
            <w:shd w:val="clear" w:color="auto" w:fill="auto"/>
          </w:tcPr>
          <w:p w:rsidR="005648B0" w:rsidRPr="00786CC3" w:rsidRDefault="005648B0" w:rsidP="00CD25E9">
            <w:pPr>
              <w:tabs>
                <w:tab w:val="left" w:pos="288"/>
                <w:tab w:val="left" w:pos="576"/>
                <w:tab w:val="left" w:pos="864"/>
                <w:tab w:val="left" w:pos="1152"/>
              </w:tabs>
              <w:suppressAutoHyphens/>
              <w:spacing w:before="40" w:after="80"/>
              <w:ind w:right="115"/>
              <w:rPr>
                <w:lang w:val="fr-FR"/>
              </w:rPr>
            </w:pPr>
          </w:p>
        </w:tc>
        <w:tc>
          <w:tcPr>
            <w:tcW w:w="5454" w:type="dxa"/>
            <w:shd w:val="clear" w:color="auto" w:fill="auto"/>
          </w:tcPr>
          <w:p w:rsidR="005648B0" w:rsidRPr="00786CC3" w:rsidRDefault="00FB4243" w:rsidP="00AE5EDA">
            <w:pPr>
              <w:tabs>
                <w:tab w:val="left" w:pos="288"/>
                <w:tab w:val="left" w:pos="576"/>
                <w:tab w:val="left" w:pos="864"/>
                <w:tab w:val="left" w:pos="1152"/>
              </w:tabs>
              <w:suppressAutoHyphens/>
              <w:spacing w:before="40" w:after="80"/>
              <w:ind w:right="115"/>
              <w:rPr>
                <w:lang w:val="fr-FR"/>
              </w:rPr>
            </w:pPr>
            <w:r w:rsidRPr="00FB4243">
              <w:rPr>
                <w:lang w:val="fr-FR"/>
              </w:rPr>
              <w:t>Modification sans objet en français.</w:t>
            </w:r>
          </w:p>
        </w:tc>
      </w:tr>
      <w:tr w:rsidR="005648B0" w:rsidRPr="00932192" w:rsidTr="00022E93">
        <w:tc>
          <w:tcPr>
            <w:tcW w:w="1437" w:type="dxa"/>
            <w:shd w:val="clear" w:color="auto" w:fill="auto"/>
          </w:tcPr>
          <w:p w:rsidR="005648B0" w:rsidRPr="00786CC3" w:rsidRDefault="00094AD4" w:rsidP="004F35A8">
            <w:pPr>
              <w:tabs>
                <w:tab w:val="left" w:pos="288"/>
                <w:tab w:val="left" w:pos="576"/>
                <w:tab w:val="left" w:pos="864"/>
                <w:tab w:val="left" w:pos="1152"/>
              </w:tabs>
              <w:suppressAutoHyphens/>
              <w:spacing w:before="40" w:after="80"/>
              <w:ind w:right="115"/>
              <w:rPr>
                <w:lang w:val="fr-FR"/>
              </w:rPr>
            </w:pPr>
            <w:r w:rsidRPr="00094AD4">
              <w:rPr>
                <w:bCs/>
                <w:lang w:val="fr-FR"/>
              </w:rPr>
              <w:t>7.2.4.41</w:t>
            </w:r>
          </w:p>
        </w:tc>
        <w:tc>
          <w:tcPr>
            <w:tcW w:w="6291" w:type="dxa"/>
            <w:shd w:val="clear" w:color="auto" w:fill="auto"/>
          </w:tcPr>
          <w:p w:rsidR="00094AD4" w:rsidRPr="00094AD4" w:rsidRDefault="00094AD4" w:rsidP="00094AD4">
            <w:pPr>
              <w:tabs>
                <w:tab w:val="left" w:pos="288"/>
                <w:tab w:val="left" w:pos="576"/>
                <w:tab w:val="left" w:pos="864"/>
                <w:tab w:val="left" w:pos="1152"/>
              </w:tabs>
              <w:suppressAutoHyphens/>
              <w:spacing w:before="40" w:after="80"/>
              <w:ind w:right="115"/>
              <w:rPr>
                <w:b/>
                <w:i/>
                <w:lang w:val="fr-FR"/>
              </w:rPr>
            </w:pPr>
            <w:r w:rsidRPr="00094AD4">
              <w:rPr>
                <w:b/>
                <w:i/>
                <w:lang w:val="fr-FR"/>
              </w:rPr>
              <w:t>Feu et lumière non protégée</w:t>
            </w:r>
          </w:p>
          <w:p w:rsidR="005648B0" w:rsidRPr="00786CC3" w:rsidRDefault="00094AD4" w:rsidP="00725E0B">
            <w:pPr>
              <w:tabs>
                <w:tab w:val="left" w:pos="288"/>
                <w:tab w:val="left" w:pos="576"/>
                <w:tab w:val="left" w:pos="864"/>
                <w:tab w:val="left" w:pos="1152"/>
              </w:tabs>
              <w:suppressAutoHyphens/>
              <w:spacing w:before="40" w:after="80"/>
              <w:ind w:right="115"/>
              <w:rPr>
                <w:lang w:val="fr-FR"/>
              </w:rPr>
            </w:pPr>
            <w:r w:rsidRPr="00094AD4">
              <w:rPr>
                <w:lang w:val="fr-FR"/>
              </w:rPr>
              <w:t>Pendant le chargement, le déchargem</w:t>
            </w:r>
            <w:r>
              <w:rPr>
                <w:lang w:val="fr-FR"/>
              </w:rPr>
              <w:t xml:space="preserve">ent ou le dégazage, les feux et </w:t>
            </w:r>
            <w:r w:rsidRPr="00094AD4">
              <w:rPr>
                <w:lang w:val="fr-FR"/>
              </w:rPr>
              <w:t>lumières non protégées sont interdits à bord du bateau. Toutefois, les prescriptions des 7.2.3.42.3 et 7.2.3.42.4 sont applicables.</w:t>
            </w:r>
          </w:p>
        </w:tc>
        <w:tc>
          <w:tcPr>
            <w:tcW w:w="5454" w:type="dxa"/>
            <w:shd w:val="clear" w:color="auto" w:fill="auto"/>
          </w:tcPr>
          <w:p w:rsidR="005648B0" w:rsidRPr="00786CC3" w:rsidRDefault="00094AD4" w:rsidP="00403A2A">
            <w:pPr>
              <w:tabs>
                <w:tab w:val="left" w:pos="288"/>
                <w:tab w:val="left" w:pos="576"/>
                <w:tab w:val="left" w:pos="864"/>
                <w:tab w:val="left" w:pos="1152"/>
              </w:tabs>
              <w:suppressAutoHyphens/>
              <w:spacing w:before="40" w:after="80"/>
              <w:ind w:right="115"/>
              <w:rPr>
                <w:lang w:val="fr-FR"/>
              </w:rPr>
            </w:pPr>
            <w:r w:rsidRPr="00094AD4">
              <w:rPr>
                <w:lang w:val="fr-FR"/>
              </w:rPr>
              <w:t>Cette disposition est également examinée par le groupe de travail informel de la protection contre les explosions à bord des bateaux citernes, qui soumettra également des propositions relatives au dégazage des citernes à cargaison.</w:t>
            </w:r>
          </w:p>
        </w:tc>
      </w:tr>
      <w:tr w:rsidR="007C14C8" w:rsidRPr="00932192" w:rsidTr="00022E93">
        <w:tc>
          <w:tcPr>
            <w:tcW w:w="1437" w:type="dxa"/>
            <w:shd w:val="clear" w:color="auto" w:fill="auto"/>
          </w:tcPr>
          <w:p w:rsidR="007C14C8" w:rsidRPr="00786CC3" w:rsidRDefault="00C379F3" w:rsidP="009642F0">
            <w:pPr>
              <w:tabs>
                <w:tab w:val="left" w:pos="288"/>
                <w:tab w:val="left" w:pos="576"/>
                <w:tab w:val="left" w:pos="864"/>
                <w:tab w:val="left" w:pos="1152"/>
              </w:tabs>
              <w:suppressAutoHyphens/>
              <w:spacing w:before="40" w:after="80"/>
              <w:ind w:right="115"/>
              <w:rPr>
                <w:lang w:val="fr-FR"/>
              </w:rPr>
            </w:pPr>
            <w:r w:rsidRPr="00C379F3">
              <w:rPr>
                <w:bCs/>
                <w:lang w:val="fr-FR"/>
              </w:rPr>
              <w:t>7.2.4.51.1</w:t>
            </w:r>
          </w:p>
        </w:tc>
        <w:tc>
          <w:tcPr>
            <w:tcW w:w="6291" w:type="dxa"/>
            <w:shd w:val="clear" w:color="auto" w:fill="auto"/>
          </w:tcPr>
          <w:p w:rsidR="007C14C8" w:rsidRPr="00786CC3" w:rsidRDefault="00C379F3" w:rsidP="00403A2A">
            <w:pPr>
              <w:tabs>
                <w:tab w:val="left" w:pos="288"/>
                <w:tab w:val="left" w:pos="576"/>
                <w:tab w:val="left" w:pos="864"/>
                <w:tab w:val="left" w:pos="1152"/>
              </w:tabs>
              <w:suppressAutoHyphens/>
              <w:spacing w:before="40" w:after="80"/>
              <w:ind w:right="115"/>
              <w:rPr>
                <w:lang w:val="fr-FR"/>
              </w:rPr>
            </w:pPr>
            <w:r w:rsidRPr="00C379F3">
              <w:rPr>
                <w:lang w:val="fr-FR"/>
              </w:rPr>
              <w:t xml:space="preserve">Pendant les opérations de chargement, de déchargement ou de dégazage, </w:t>
            </w:r>
            <w:r w:rsidRPr="00C379F3">
              <w:rPr>
                <w:u w:val="single"/>
                <w:lang w:val="fr-FR"/>
              </w:rPr>
              <w:t>lorsque la concentration de gaz inflammables à l’intérieur de la citerne à cargaison est supérieure ou égale à 10 % de la LIE</w:t>
            </w:r>
            <w:r w:rsidRPr="00C379F3">
              <w:rPr>
                <w:lang w:val="fr-FR"/>
              </w:rPr>
              <w:t>, ne peuvent être utilisés que des équipements électriques conformes aux règles de construction de la Partie 9 ou placés dans des locaux répondant aux conditions fixées aux 9.3.1.52.3, 9.3.2.52.3 ou 9.3.3.52.3. Tous les autres équipements électriques marqués en rouge doivent être coupés.</w:t>
            </w:r>
          </w:p>
        </w:tc>
        <w:tc>
          <w:tcPr>
            <w:tcW w:w="5454" w:type="dxa"/>
            <w:shd w:val="clear" w:color="auto" w:fill="auto"/>
          </w:tcPr>
          <w:p w:rsidR="007C14C8" w:rsidRPr="00786CC3" w:rsidRDefault="007C14C8" w:rsidP="009642F0">
            <w:pPr>
              <w:tabs>
                <w:tab w:val="left" w:pos="288"/>
                <w:tab w:val="left" w:pos="576"/>
                <w:tab w:val="left" w:pos="864"/>
                <w:tab w:val="left" w:pos="1152"/>
              </w:tabs>
              <w:suppressAutoHyphens/>
              <w:spacing w:before="40" w:after="80"/>
              <w:ind w:right="115"/>
              <w:rPr>
                <w:lang w:val="fr-FR"/>
              </w:rPr>
            </w:pPr>
          </w:p>
        </w:tc>
      </w:tr>
      <w:tr w:rsidR="004A3EED" w:rsidRPr="00932192" w:rsidTr="00022E93">
        <w:tc>
          <w:tcPr>
            <w:tcW w:w="1437" w:type="dxa"/>
            <w:shd w:val="clear" w:color="auto" w:fill="auto"/>
          </w:tcPr>
          <w:p w:rsidR="004A3EED" w:rsidRPr="00786CC3" w:rsidRDefault="00C379F3" w:rsidP="009642F0">
            <w:pPr>
              <w:tabs>
                <w:tab w:val="left" w:pos="288"/>
                <w:tab w:val="left" w:pos="576"/>
                <w:tab w:val="left" w:pos="864"/>
                <w:tab w:val="left" w:pos="1152"/>
              </w:tabs>
              <w:suppressAutoHyphens/>
              <w:spacing w:before="40" w:after="80"/>
              <w:ind w:right="115"/>
              <w:rPr>
                <w:lang w:val="fr-FR"/>
              </w:rPr>
            </w:pPr>
            <w:r w:rsidRPr="00C379F3">
              <w:rPr>
                <w:lang w:val="fr-FR"/>
              </w:rPr>
              <w:t>7.2.4.51.2</w:t>
            </w:r>
          </w:p>
        </w:tc>
        <w:tc>
          <w:tcPr>
            <w:tcW w:w="6291" w:type="dxa"/>
            <w:shd w:val="clear" w:color="auto" w:fill="auto"/>
          </w:tcPr>
          <w:p w:rsidR="004A3EED" w:rsidRPr="00786CC3" w:rsidRDefault="00C379F3" w:rsidP="009642F0">
            <w:pPr>
              <w:tabs>
                <w:tab w:val="left" w:pos="288"/>
                <w:tab w:val="left" w:pos="576"/>
                <w:tab w:val="left" w:pos="864"/>
                <w:tab w:val="left" w:pos="1152"/>
              </w:tabs>
              <w:suppressAutoHyphens/>
              <w:spacing w:before="40" w:after="80"/>
              <w:ind w:right="115"/>
              <w:rPr>
                <w:lang w:val="fr-FR"/>
              </w:rPr>
            </w:pPr>
            <w:r w:rsidRPr="00C379F3">
              <w:rPr>
                <w:lang w:val="fr-FR"/>
              </w:rPr>
              <w:t xml:space="preserve">Les équipements électriques coupés par le dispositif visé aux 9.3.1.52.3, 9.3.2.52.3 ou 9.3.3.52.3, ne peuvent être rebranchés </w:t>
            </w:r>
            <w:r w:rsidRPr="00C379F3">
              <w:rPr>
                <w:u w:val="single"/>
                <w:lang w:val="fr-FR"/>
              </w:rPr>
              <w:t xml:space="preserve">que si la concentration de gaz inflammables dans les locaux correspondants est inférieure à 10 % de la LIE </w:t>
            </w:r>
            <w:r w:rsidRPr="00C379F3">
              <w:rPr>
                <w:strike/>
                <w:lang w:val="fr-FR"/>
              </w:rPr>
              <w:t>qu’après que l’absence de gaz aura été constatée dans les locaux correspondants</w:t>
            </w:r>
            <w:r w:rsidRPr="00C379F3">
              <w:rPr>
                <w:lang w:val="fr-FR"/>
              </w:rPr>
              <w:t>.</w:t>
            </w:r>
          </w:p>
        </w:tc>
        <w:tc>
          <w:tcPr>
            <w:tcW w:w="5454" w:type="dxa"/>
            <w:shd w:val="clear" w:color="auto" w:fill="auto"/>
          </w:tcPr>
          <w:p w:rsidR="004A3EED" w:rsidRPr="00786CC3" w:rsidRDefault="004A3EED" w:rsidP="009642F0">
            <w:pPr>
              <w:tabs>
                <w:tab w:val="left" w:pos="288"/>
                <w:tab w:val="left" w:pos="576"/>
                <w:tab w:val="left" w:pos="864"/>
                <w:tab w:val="left" w:pos="1152"/>
              </w:tabs>
              <w:suppressAutoHyphens/>
              <w:spacing w:before="40" w:after="80"/>
              <w:ind w:right="115"/>
              <w:rPr>
                <w:lang w:val="fr-FR"/>
              </w:rPr>
            </w:pPr>
          </w:p>
        </w:tc>
      </w:tr>
      <w:tr w:rsidR="004A3EED" w:rsidRPr="00932192" w:rsidTr="00022E93">
        <w:tc>
          <w:tcPr>
            <w:tcW w:w="1437" w:type="dxa"/>
            <w:shd w:val="clear" w:color="auto" w:fill="auto"/>
          </w:tcPr>
          <w:p w:rsidR="004A3EED" w:rsidRPr="00786CC3" w:rsidRDefault="00874888" w:rsidP="009642F0">
            <w:pPr>
              <w:tabs>
                <w:tab w:val="left" w:pos="288"/>
                <w:tab w:val="left" w:pos="576"/>
                <w:tab w:val="left" w:pos="864"/>
                <w:tab w:val="left" w:pos="1152"/>
              </w:tabs>
              <w:suppressAutoHyphens/>
              <w:spacing w:before="40" w:after="80"/>
              <w:ind w:right="115"/>
              <w:rPr>
                <w:lang w:val="fr-FR"/>
              </w:rPr>
            </w:pPr>
            <w:r w:rsidRPr="00874888">
              <w:rPr>
                <w:lang w:val="fr-FR"/>
              </w:rPr>
              <w:t>7.2.5.0.1</w:t>
            </w:r>
          </w:p>
        </w:tc>
        <w:tc>
          <w:tcPr>
            <w:tcW w:w="6291" w:type="dxa"/>
            <w:shd w:val="clear" w:color="auto" w:fill="auto"/>
          </w:tcPr>
          <w:p w:rsidR="004A3EED" w:rsidRPr="00786CC3" w:rsidRDefault="00874888" w:rsidP="00F60883">
            <w:pPr>
              <w:tabs>
                <w:tab w:val="left" w:pos="288"/>
                <w:tab w:val="left" w:pos="576"/>
                <w:tab w:val="left" w:pos="864"/>
                <w:tab w:val="left" w:pos="1152"/>
              </w:tabs>
              <w:suppressAutoHyphens/>
              <w:spacing w:before="40" w:after="80"/>
              <w:ind w:right="115"/>
              <w:rPr>
                <w:lang w:val="fr-FR"/>
              </w:rPr>
            </w:pPr>
            <w:r w:rsidRPr="00874888">
              <w:rPr>
                <w:lang w:val="fr-FR"/>
              </w:rPr>
              <w:t xml:space="preserve">Les bateaux transportant les matières énumérées au tableau C du chapitre 3.2 doivent montrer les cônes bleus ou feux bleus en nombre indiqué dans la colonne (19) dudit tableau et conformes au CEVNI. Lorsqu’en raison de la cargaison transportée aucune signalisation avec des cônes ou des feux bleus n’est prescrite mais que la concentration de gaz inflammables dans les citernes à cargaison est supérieure </w:t>
            </w:r>
            <w:r w:rsidRPr="00874888">
              <w:rPr>
                <w:strike/>
                <w:lang w:val="fr-FR"/>
              </w:rPr>
              <w:t>aux</w:t>
            </w:r>
            <w:r w:rsidRPr="00874888">
              <w:rPr>
                <w:lang w:val="fr-FR"/>
              </w:rPr>
              <w:t xml:space="preserve"> </w:t>
            </w:r>
            <w:r w:rsidRPr="00874888">
              <w:rPr>
                <w:u w:val="single"/>
                <w:lang w:val="fr-FR"/>
              </w:rPr>
              <w:t>à</w:t>
            </w:r>
            <w:r w:rsidRPr="00874888">
              <w:rPr>
                <w:lang w:val="fr-FR"/>
              </w:rPr>
              <w:t xml:space="preserve"> 20</w:t>
            </w:r>
            <w:r w:rsidR="004F5EE5">
              <w:rPr>
                <w:lang w:val="fr-FR"/>
              </w:rPr>
              <w:t> </w:t>
            </w:r>
            <w:r w:rsidRPr="00874888">
              <w:rPr>
                <w:lang w:val="fr-FR"/>
              </w:rPr>
              <w:t xml:space="preserve">% de la </w:t>
            </w:r>
            <w:r w:rsidRPr="00874888">
              <w:rPr>
                <w:strike/>
                <w:lang w:val="fr-FR"/>
              </w:rPr>
              <w:t>limite inférieure d’explosion</w:t>
            </w:r>
            <w:r w:rsidRPr="00874888">
              <w:rPr>
                <w:lang w:val="fr-FR"/>
              </w:rPr>
              <w:t xml:space="preserve"> </w:t>
            </w:r>
            <w:r w:rsidRPr="00874888">
              <w:rPr>
                <w:u w:val="single"/>
                <w:lang w:val="fr-FR"/>
              </w:rPr>
              <w:t>LIE</w:t>
            </w:r>
            <w:r w:rsidRPr="00874888">
              <w:rPr>
                <w:lang w:val="fr-FR"/>
              </w:rPr>
              <w:t>, le nombre de cônes bleus ou de feux bleus à porter est déterminé par la dernière cargaison pour laquelle une telle signalisation était exigée.</w:t>
            </w:r>
          </w:p>
        </w:tc>
        <w:tc>
          <w:tcPr>
            <w:tcW w:w="5454" w:type="dxa"/>
            <w:shd w:val="clear" w:color="auto" w:fill="auto"/>
          </w:tcPr>
          <w:p w:rsidR="004A3EED" w:rsidRPr="00786CC3" w:rsidRDefault="004A3EED" w:rsidP="009642F0">
            <w:pPr>
              <w:tabs>
                <w:tab w:val="left" w:pos="288"/>
                <w:tab w:val="left" w:pos="576"/>
                <w:tab w:val="left" w:pos="864"/>
                <w:tab w:val="left" w:pos="1152"/>
              </w:tabs>
              <w:suppressAutoHyphens/>
              <w:spacing w:before="40" w:after="80"/>
              <w:ind w:right="115"/>
              <w:rPr>
                <w:lang w:val="fr-FR"/>
              </w:rPr>
            </w:pPr>
          </w:p>
        </w:tc>
      </w:tr>
      <w:tr w:rsidR="00DE3F86" w:rsidRPr="00786CC3" w:rsidTr="00022E93">
        <w:tc>
          <w:tcPr>
            <w:tcW w:w="13182" w:type="dxa"/>
            <w:gridSpan w:val="3"/>
            <w:shd w:val="clear" w:color="auto" w:fill="auto"/>
          </w:tcPr>
          <w:p w:rsidR="00DE3F86" w:rsidRPr="00786CC3" w:rsidRDefault="00DE3F86" w:rsidP="009642F0">
            <w:pPr>
              <w:tabs>
                <w:tab w:val="left" w:pos="288"/>
                <w:tab w:val="left" w:pos="576"/>
                <w:tab w:val="left" w:pos="864"/>
                <w:tab w:val="left" w:pos="1152"/>
              </w:tabs>
              <w:suppressAutoHyphens/>
              <w:spacing w:before="40" w:after="80"/>
              <w:ind w:right="115"/>
              <w:rPr>
                <w:lang w:val="fr-FR"/>
              </w:rPr>
            </w:pPr>
            <w:r w:rsidRPr="00DE3F86">
              <w:rPr>
                <w:b/>
                <w:lang w:val="fr-FR"/>
              </w:rPr>
              <w:t>Formation de l’équipage</w:t>
            </w:r>
          </w:p>
        </w:tc>
      </w:tr>
      <w:tr w:rsidR="00DE3F86" w:rsidRPr="00786CC3" w:rsidTr="00022E93">
        <w:tc>
          <w:tcPr>
            <w:tcW w:w="1437" w:type="dxa"/>
            <w:shd w:val="clear" w:color="auto" w:fill="auto"/>
          </w:tcPr>
          <w:p w:rsidR="00DE3F86" w:rsidRPr="00786CC3" w:rsidRDefault="00250C5C" w:rsidP="009642F0">
            <w:pPr>
              <w:tabs>
                <w:tab w:val="left" w:pos="288"/>
                <w:tab w:val="left" w:pos="576"/>
                <w:tab w:val="left" w:pos="864"/>
                <w:tab w:val="left" w:pos="1152"/>
              </w:tabs>
              <w:suppressAutoHyphens/>
              <w:spacing w:before="40" w:after="80"/>
              <w:ind w:right="115"/>
              <w:rPr>
                <w:lang w:val="fr-FR"/>
              </w:rPr>
            </w:pPr>
            <w:r w:rsidRPr="00250C5C">
              <w:rPr>
                <w:lang w:val="fr-FR"/>
              </w:rPr>
              <w:t>8.2.2.3.3.1</w:t>
            </w:r>
          </w:p>
        </w:tc>
        <w:tc>
          <w:tcPr>
            <w:tcW w:w="6291" w:type="dxa"/>
            <w:shd w:val="clear" w:color="auto" w:fill="auto"/>
          </w:tcPr>
          <w:p w:rsidR="00250C5C" w:rsidRPr="00250C5C" w:rsidRDefault="00250C5C" w:rsidP="00250C5C">
            <w:pPr>
              <w:tabs>
                <w:tab w:val="left" w:pos="288"/>
                <w:tab w:val="left" w:pos="576"/>
                <w:tab w:val="left" w:pos="864"/>
                <w:tab w:val="left" w:pos="1152"/>
              </w:tabs>
              <w:suppressAutoHyphens/>
              <w:spacing w:before="40" w:after="80"/>
              <w:ind w:right="115"/>
              <w:rPr>
                <w:lang w:val="fr-FR"/>
              </w:rPr>
            </w:pPr>
            <w:r w:rsidRPr="00250C5C">
              <w:rPr>
                <w:lang w:val="fr-FR"/>
              </w:rPr>
              <w:t>Le cours de spécialisation «</w:t>
            </w:r>
            <w:r w:rsidR="001D18F1">
              <w:rPr>
                <w:lang w:val="fr-FR"/>
              </w:rPr>
              <w:t> </w:t>
            </w:r>
            <w:r w:rsidRPr="00250C5C">
              <w:rPr>
                <w:lang w:val="fr-FR"/>
              </w:rPr>
              <w:t>gaz</w:t>
            </w:r>
            <w:r w:rsidR="001D18F1">
              <w:rPr>
                <w:lang w:val="fr-FR"/>
              </w:rPr>
              <w:t> </w:t>
            </w:r>
            <w:r w:rsidRPr="00250C5C">
              <w:rPr>
                <w:lang w:val="fr-FR"/>
              </w:rPr>
              <w:t>» doit comporter au moins les objectifs suivants</w:t>
            </w:r>
            <w:r>
              <w:rPr>
                <w:lang w:val="fr-FR"/>
              </w:rPr>
              <w:t> </w:t>
            </w:r>
            <w:r w:rsidRPr="00250C5C">
              <w:rPr>
                <w:lang w:val="fr-FR"/>
              </w:rPr>
              <w:t>:</w:t>
            </w:r>
          </w:p>
          <w:p w:rsidR="00250C5C" w:rsidRPr="00250C5C" w:rsidRDefault="00250C5C" w:rsidP="00DB1DEC">
            <w:pPr>
              <w:tabs>
                <w:tab w:val="left" w:pos="288"/>
                <w:tab w:val="left" w:pos="576"/>
                <w:tab w:val="left" w:pos="864"/>
                <w:tab w:val="left" w:pos="1152"/>
              </w:tabs>
              <w:suppressAutoHyphens/>
              <w:spacing w:before="40" w:after="240"/>
              <w:ind w:right="115"/>
              <w:rPr>
                <w:iCs/>
                <w:lang w:val="fr-FR"/>
              </w:rPr>
            </w:pPr>
            <w:r w:rsidRPr="00250C5C">
              <w:rPr>
                <w:iCs/>
                <w:lang w:val="fr-FR"/>
              </w:rPr>
              <w:t>…</w:t>
            </w:r>
          </w:p>
          <w:p w:rsidR="00250C5C" w:rsidRPr="00250C5C" w:rsidRDefault="00250C5C" w:rsidP="00250C5C">
            <w:pPr>
              <w:tabs>
                <w:tab w:val="left" w:pos="288"/>
                <w:tab w:val="left" w:pos="576"/>
                <w:tab w:val="left" w:pos="864"/>
                <w:tab w:val="left" w:pos="1152"/>
              </w:tabs>
              <w:suppressAutoHyphens/>
              <w:spacing w:before="40" w:after="80"/>
              <w:ind w:right="115"/>
              <w:rPr>
                <w:iCs/>
                <w:lang w:val="fr-FR"/>
              </w:rPr>
            </w:pPr>
            <w:r w:rsidRPr="00250C5C">
              <w:rPr>
                <w:i/>
                <w:iCs/>
                <w:lang w:val="fr-FR"/>
              </w:rPr>
              <w:t>Pratique</w:t>
            </w:r>
            <w:r>
              <w:rPr>
                <w:iCs/>
                <w:lang w:val="fr-FR"/>
              </w:rPr>
              <w:t> </w:t>
            </w:r>
            <w:r w:rsidRPr="00250C5C">
              <w:rPr>
                <w:iCs/>
                <w:lang w:val="fr-FR"/>
              </w:rPr>
              <w:t>:</w:t>
            </w:r>
          </w:p>
          <w:p w:rsidR="00250C5C" w:rsidRPr="00250C5C" w:rsidRDefault="00250C5C" w:rsidP="00250C5C">
            <w:pPr>
              <w:tabs>
                <w:tab w:val="left" w:pos="288"/>
                <w:tab w:val="left" w:pos="576"/>
                <w:tab w:val="left" w:pos="864"/>
                <w:tab w:val="left" w:pos="1152"/>
              </w:tabs>
              <w:suppressAutoHyphens/>
              <w:spacing w:before="40" w:after="80"/>
              <w:ind w:right="115"/>
              <w:rPr>
                <w:iCs/>
                <w:lang w:val="fr-FR"/>
              </w:rPr>
            </w:pPr>
            <w:r w:rsidRPr="00250C5C">
              <w:rPr>
                <w:iCs/>
                <w:lang w:val="fr-FR"/>
              </w:rPr>
              <w:t>…</w:t>
            </w:r>
          </w:p>
          <w:p w:rsidR="00250C5C" w:rsidRPr="00250C5C" w:rsidRDefault="00250C5C" w:rsidP="00250C5C">
            <w:pPr>
              <w:tabs>
                <w:tab w:val="left" w:pos="288"/>
                <w:tab w:val="left" w:pos="576"/>
                <w:tab w:val="left" w:pos="864"/>
                <w:tab w:val="left" w:pos="1152"/>
              </w:tabs>
              <w:suppressAutoHyphens/>
              <w:spacing w:before="40" w:after="80"/>
              <w:ind w:right="115"/>
              <w:rPr>
                <w:lang w:val="fr-FR"/>
              </w:rPr>
            </w:pPr>
            <w:r>
              <w:rPr>
                <w:lang w:val="fr-FR"/>
              </w:rPr>
              <w:t>–</w:t>
            </w:r>
            <w:r w:rsidRPr="00250C5C">
              <w:rPr>
                <w:lang w:val="fr-FR"/>
              </w:rPr>
              <w:t xml:space="preserve"> attestations </w:t>
            </w:r>
            <w:r w:rsidRPr="00250C5C">
              <w:rPr>
                <w:strike/>
                <w:lang w:val="fr-FR"/>
              </w:rPr>
              <w:t>de dégazage</w:t>
            </w:r>
            <w:r w:rsidRPr="00250C5C">
              <w:rPr>
                <w:lang w:val="fr-FR"/>
              </w:rPr>
              <w:t xml:space="preserve"> </w:t>
            </w:r>
            <w:r w:rsidRPr="00250C5C">
              <w:rPr>
                <w:u w:val="single"/>
                <w:lang w:val="fr-FR"/>
              </w:rPr>
              <w:t>d’absence de gaz</w:t>
            </w:r>
            <w:r w:rsidRPr="00250C5C">
              <w:rPr>
                <w:lang w:val="fr-FR"/>
              </w:rPr>
              <w:t xml:space="preserve"> et travaux admis;</w:t>
            </w:r>
          </w:p>
          <w:p w:rsidR="00DE3F86" w:rsidRPr="00786CC3" w:rsidRDefault="00250C5C" w:rsidP="00250C5C">
            <w:pPr>
              <w:tabs>
                <w:tab w:val="left" w:pos="288"/>
                <w:tab w:val="left" w:pos="576"/>
                <w:tab w:val="left" w:pos="864"/>
                <w:tab w:val="left" w:pos="1152"/>
              </w:tabs>
              <w:suppressAutoHyphens/>
              <w:spacing w:before="40" w:after="80"/>
              <w:ind w:right="115"/>
              <w:rPr>
                <w:lang w:val="fr-FR"/>
              </w:rPr>
            </w:pPr>
            <w:r w:rsidRPr="00250C5C">
              <w:rPr>
                <w:iCs/>
                <w:lang w:val="fr-FR"/>
              </w:rPr>
              <w:t>…</w:t>
            </w:r>
          </w:p>
        </w:tc>
        <w:tc>
          <w:tcPr>
            <w:tcW w:w="5454" w:type="dxa"/>
            <w:shd w:val="clear" w:color="auto" w:fill="auto"/>
          </w:tcPr>
          <w:p w:rsidR="00DE3F86" w:rsidRPr="00786CC3" w:rsidRDefault="00DE3F86" w:rsidP="009642F0">
            <w:pPr>
              <w:tabs>
                <w:tab w:val="left" w:pos="288"/>
                <w:tab w:val="left" w:pos="576"/>
                <w:tab w:val="left" w:pos="864"/>
                <w:tab w:val="left" w:pos="1152"/>
              </w:tabs>
              <w:suppressAutoHyphens/>
              <w:spacing w:before="40" w:after="80"/>
              <w:ind w:right="115"/>
              <w:rPr>
                <w:lang w:val="fr-FR"/>
              </w:rPr>
            </w:pPr>
          </w:p>
        </w:tc>
      </w:tr>
      <w:tr w:rsidR="00DE3F86" w:rsidRPr="00932192" w:rsidTr="00022E93">
        <w:tc>
          <w:tcPr>
            <w:tcW w:w="1437" w:type="dxa"/>
            <w:shd w:val="clear" w:color="auto" w:fill="auto"/>
          </w:tcPr>
          <w:p w:rsidR="00DE3F86" w:rsidRPr="00786CC3" w:rsidRDefault="001D18F1" w:rsidP="009642F0">
            <w:pPr>
              <w:tabs>
                <w:tab w:val="left" w:pos="288"/>
                <w:tab w:val="left" w:pos="576"/>
                <w:tab w:val="left" w:pos="864"/>
                <w:tab w:val="left" w:pos="1152"/>
              </w:tabs>
              <w:suppressAutoHyphens/>
              <w:spacing w:before="40" w:after="80"/>
              <w:ind w:right="115"/>
              <w:rPr>
                <w:lang w:val="fr-FR"/>
              </w:rPr>
            </w:pPr>
            <w:r w:rsidRPr="001D18F1">
              <w:rPr>
                <w:lang w:val="fr-FR"/>
              </w:rPr>
              <w:t>8.2.2.3.3.2</w:t>
            </w:r>
          </w:p>
        </w:tc>
        <w:tc>
          <w:tcPr>
            <w:tcW w:w="6291" w:type="dxa"/>
            <w:shd w:val="clear" w:color="auto" w:fill="auto"/>
          </w:tcPr>
          <w:p w:rsidR="001D18F1" w:rsidRPr="001D18F1" w:rsidRDefault="001D18F1" w:rsidP="001D18F1">
            <w:pPr>
              <w:tabs>
                <w:tab w:val="left" w:pos="288"/>
                <w:tab w:val="left" w:pos="576"/>
                <w:tab w:val="left" w:pos="864"/>
                <w:tab w:val="left" w:pos="1152"/>
              </w:tabs>
              <w:suppressAutoHyphens/>
              <w:spacing w:before="40" w:after="80"/>
              <w:ind w:right="115"/>
              <w:rPr>
                <w:bCs/>
                <w:lang w:val="fr-FR"/>
              </w:rPr>
            </w:pPr>
            <w:r w:rsidRPr="001D18F1">
              <w:rPr>
                <w:bCs/>
                <w:lang w:val="fr-FR"/>
              </w:rPr>
              <w:t>Le cours de spécialisation «</w:t>
            </w:r>
            <w:r>
              <w:rPr>
                <w:bCs/>
                <w:lang w:val="fr-FR"/>
              </w:rPr>
              <w:t> </w:t>
            </w:r>
            <w:r w:rsidRPr="001D18F1">
              <w:rPr>
                <w:bCs/>
                <w:lang w:val="fr-FR"/>
              </w:rPr>
              <w:t>chimie</w:t>
            </w:r>
            <w:r>
              <w:rPr>
                <w:bCs/>
                <w:lang w:val="fr-FR"/>
              </w:rPr>
              <w:t> </w:t>
            </w:r>
            <w:r w:rsidRPr="001D18F1">
              <w:rPr>
                <w:bCs/>
                <w:lang w:val="fr-FR"/>
              </w:rPr>
              <w:t>» doit comporter au moins les</w:t>
            </w:r>
            <w:r>
              <w:rPr>
                <w:bCs/>
                <w:lang w:val="fr-FR"/>
              </w:rPr>
              <w:t> </w:t>
            </w:r>
            <w:r w:rsidRPr="001D18F1">
              <w:rPr>
                <w:bCs/>
                <w:lang w:val="fr-FR"/>
              </w:rPr>
              <w:t>objectifs suivants</w:t>
            </w:r>
            <w:r>
              <w:rPr>
                <w:bCs/>
                <w:lang w:val="fr-FR"/>
              </w:rPr>
              <w:t> </w:t>
            </w:r>
            <w:r w:rsidRPr="001D18F1">
              <w:rPr>
                <w:bCs/>
                <w:lang w:val="fr-FR"/>
              </w:rPr>
              <w:t>:</w:t>
            </w:r>
          </w:p>
          <w:p w:rsidR="001D18F1" w:rsidRPr="001D18F1" w:rsidRDefault="001D18F1" w:rsidP="001D18F1">
            <w:pPr>
              <w:tabs>
                <w:tab w:val="left" w:pos="288"/>
                <w:tab w:val="left" w:pos="576"/>
                <w:tab w:val="left" w:pos="864"/>
                <w:tab w:val="left" w:pos="1152"/>
              </w:tabs>
              <w:suppressAutoHyphens/>
              <w:spacing w:before="40" w:after="80"/>
              <w:ind w:right="115"/>
              <w:rPr>
                <w:bCs/>
                <w:lang w:val="fr-FR"/>
              </w:rPr>
            </w:pPr>
            <w:r w:rsidRPr="001D18F1">
              <w:rPr>
                <w:bCs/>
                <w:lang w:val="fr-FR"/>
              </w:rPr>
              <w:t>…</w:t>
            </w:r>
          </w:p>
          <w:p w:rsidR="001D18F1" w:rsidRPr="001D18F1" w:rsidRDefault="001D18F1" w:rsidP="001D18F1">
            <w:pPr>
              <w:tabs>
                <w:tab w:val="left" w:pos="288"/>
                <w:tab w:val="left" w:pos="576"/>
                <w:tab w:val="left" w:pos="864"/>
                <w:tab w:val="left" w:pos="1152"/>
              </w:tabs>
              <w:suppressAutoHyphens/>
              <w:spacing w:before="40" w:after="80"/>
              <w:ind w:right="115"/>
              <w:rPr>
                <w:bCs/>
                <w:lang w:val="fr-FR"/>
              </w:rPr>
            </w:pPr>
            <w:r w:rsidRPr="002E11F0">
              <w:rPr>
                <w:bCs/>
                <w:i/>
                <w:lang w:val="fr-FR"/>
              </w:rPr>
              <w:t>Pratique</w:t>
            </w:r>
            <w:r w:rsidR="002E11F0">
              <w:rPr>
                <w:bCs/>
                <w:lang w:val="fr-FR"/>
              </w:rPr>
              <w:t> </w:t>
            </w:r>
            <w:r w:rsidRPr="001D18F1">
              <w:rPr>
                <w:bCs/>
                <w:lang w:val="fr-FR"/>
              </w:rPr>
              <w:t>:</w:t>
            </w:r>
          </w:p>
          <w:p w:rsidR="001D18F1" w:rsidRPr="001D18F1" w:rsidRDefault="003E5972" w:rsidP="001D18F1">
            <w:pPr>
              <w:tabs>
                <w:tab w:val="left" w:pos="288"/>
                <w:tab w:val="left" w:pos="576"/>
                <w:tab w:val="left" w:pos="864"/>
                <w:tab w:val="left" w:pos="1152"/>
              </w:tabs>
              <w:suppressAutoHyphens/>
              <w:spacing w:before="40" w:after="80"/>
              <w:ind w:right="115"/>
              <w:rPr>
                <w:bCs/>
                <w:lang w:val="fr-FR"/>
              </w:rPr>
            </w:pPr>
            <w:r>
              <w:rPr>
                <w:bCs/>
                <w:lang w:val="fr-FR"/>
              </w:rPr>
              <w:t>–</w:t>
            </w:r>
            <w:r w:rsidR="001D18F1" w:rsidRPr="001D18F1">
              <w:rPr>
                <w:bCs/>
                <w:lang w:val="fr-FR"/>
              </w:rPr>
              <w:t xml:space="preserve"> nettoyage des citernes à cargaison, par exemple dégazage, lavage, cargaison restante et récipients pour produits résiduaires</w:t>
            </w:r>
            <w:r w:rsidR="00881167">
              <w:rPr>
                <w:bCs/>
                <w:lang w:val="fr-FR"/>
              </w:rPr>
              <w:t>;</w:t>
            </w:r>
          </w:p>
          <w:p w:rsidR="001D18F1" w:rsidRPr="001D18F1" w:rsidRDefault="001D18F1" w:rsidP="001D18F1">
            <w:pPr>
              <w:tabs>
                <w:tab w:val="left" w:pos="288"/>
                <w:tab w:val="left" w:pos="576"/>
                <w:tab w:val="left" w:pos="864"/>
                <w:tab w:val="left" w:pos="1152"/>
              </w:tabs>
              <w:suppressAutoHyphens/>
              <w:spacing w:before="40" w:after="80"/>
              <w:ind w:right="115"/>
              <w:rPr>
                <w:bCs/>
                <w:lang w:val="fr-FR"/>
              </w:rPr>
            </w:pPr>
            <w:r w:rsidRPr="001D18F1">
              <w:rPr>
                <w:bCs/>
                <w:lang w:val="fr-FR"/>
              </w:rPr>
              <w:t>…</w:t>
            </w:r>
          </w:p>
          <w:p w:rsidR="00DE3F86" w:rsidRPr="00786CC3" w:rsidRDefault="003E5972" w:rsidP="001D18F1">
            <w:pPr>
              <w:tabs>
                <w:tab w:val="left" w:pos="288"/>
                <w:tab w:val="left" w:pos="576"/>
                <w:tab w:val="left" w:pos="864"/>
                <w:tab w:val="left" w:pos="1152"/>
              </w:tabs>
              <w:suppressAutoHyphens/>
              <w:spacing w:before="40" w:after="80"/>
              <w:ind w:right="115"/>
              <w:rPr>
                <w:lang w:val="fr-FR"/>
              </w:rPr>
            </w:pPr>
            <w:r>
              <w:rPr>
                <w:bCs/>
                <w:lang w:val="fr-FR"/>
              </w:rPr>
              <w:t>–</w:t>
            </w:r>
            <w:r w:rsidR="001D18F1" w:rsidRPr="001D18F1">
              <w:rPr>
                <w:bCs/>
                <w:lang w:val="fr-FR"/>
              </w:rPr>
              <w:t xml:space="preserve"> attestations </w:t>
            </w:r>
            <w:r w:rsidR="001D18F1" w:rsidRPr="00D40CED">
              <w:rPr>
                <w:bCs/>
                <w:strike/>
                <w:lang w:val="fr-FR"/>
              </w:rPr>
              <w:t>de dégazage</w:t>
            </w:r>
            <w:r w:rsidR="001D18F1" w:rsidRPr="001D18F1">
              <w:rPr>
                <w:bCs/>
                <w:lang w:val="fr-FR"/>
              </w:rPr>
              <w:t xml:space="preserve"> </w:t>
            </w:r>
            <w:r w:rsidR="001D18F1" w:rsidRPr="001D18F1">
              <w:rPr>
                <w:bCs/>
                <w:u w:val="single"/>
                <w:lang w:val="fr-FR"/>
              </w:rPr>
              <w:t>d’absence de gaz</w:t>
            </w:r>
            <w:r w:rsidR="001D18F1" w:rsidRPr="001D18F1">
              <w:rPr>
                <w:bCs/>
                <w:lang w:val="fr-FR"/>
              </w:rPr>
              <w:t xml:space="preserve"> et travaux admis</w:t>
            </w:r>
            <w:r w:rsidR="00113177">
              <w:rPr>
                <w:bCs/>
                <w:lang w:val="fr-FR"/>
              </w:rPr>
              <w:t>.</w:t>
            </w:r>
          </w:p>
        </w:tc>
        <w:tc>
          <w:tcPr>
            <w:tcW w:w="5454" w:type="dxa"/>
            <w:shd w:val="clear" w:color="auto" w:fill="auto"/>
          </w:tcPr>
          <w:p w:rsidR="00DE3F86" w:rsidRPr="00786CC3" w:rsidRDefault="00DE3F86" w:rsidP="009642F0">
            <w:pPr>
              <w:tabs>
                <w:tab w:val="left" w:pos="288"/>
                <w:tab w:val="left" w:pos="576"/>
                <w:tab w:val="left" w:pos="864"/>
                <w:tab w:val="left" w:pos="1152"/>
              </w:tabs>
              <w:suppressAutoHyphens/>
              <w:spacing w:before="40" w:after="80"/>
              <w:ind w:right="115"/>
              <w:rPr>
                <w:lang w:val="fr-FR"/>
              </w:rPr>
            </w:pPr>
          </w:p>
        </w:tc>
      </w:tr>
      <w:tr w:rsidR="008A7659" w:rsidRPr="00932192" w:rsidTr="00022E93">
        <w:tc>
          <w:tcPr>
            <w:tcW w:w="13182" w:type="dxa"/>
            <w:gridSpan w:val="3"/>
            <w:shd w:val="clear" w:color="auto" w:fill="auto"/>
          </w:tcPr>
          <w:p w:rsidR="008A7659" w:rsidRPr="00786CC3" w:rsidRDefault="008A7659" w:rsidP="009642F0">
            <w:pPr>
              <w:tabs>
                <w:tab w:val="left" w:pos="288"/>
                <w:tab w:val="left" w:pos="576"/>
                <w:tab w:val="left" w:pos="864"/>
                <w:tab w:val="left" w:pos="1152"/>
              </w:tabs>
              <w:suppressAutoHyphens/>
              <w:spacing w:before="40" w:after="80"/>
              <w:ind w:right="115"/>
              <w:rPr>
                <w:lang w:val="fr-FR"/>
              </w:rPr>
            </w:pPr>
            <w:r w:rsidRPr="008A7659">
              <w:rPr>
                <w:b/>
                <w:lang w:val="fr-FR"/>
              </w:rPr>
              <w:t>Travail à chaud à bord</w:t>
            </w:r>
          </w:p>
        </w:tc>
      </w:tr>
      <w:tr w:rsidR="008A7659" w:rsidRPr="00932192" w:rsidTr="00022E93">
        <w:tc>
          <w:tcPr>
            <w:tcW w:w="1437" w:type="dxa"/>
            <w:shd w:val="clear" w:color="auto" w:fill="auto"/>
          </w:tcPr>
          <w:p w:rsidR="008A7659" w:rsidRPr="00786CC3" w:rsidRDefault="007A5CEE" w:rsidP="009642F0">
            <w:pPr>
              <w:tabs>
                <w:tab w:val="left" w:pos="288"/>
                <w:tab w:val="left" w:pos="576"/>
                <w:tab w:val="left" w:pos="864"/>
                <w:tab w:val="left" w:pos="1152"/>
              </w:tabs>
              <w:suppressAutoHyphens/>
              <w:spacing w:before="40" w:after="80"/>
              <w:ind w:right="115"/>
              <w:rPr>
                <w:lang w:val="fr-FR"/>
              </w:rPr>
            </w:pPr>
            <w:r w:rsidRPr="007A5CEE">
              <w:rPr>
                <w:lang w:val="fr-FR"/>
              </w:rPr>
              <w:t>8.3.5</w:t>
            </w:r>
          </w:p>
        </w:tc>
        <w:tc>
          <w:tcPr>
            <w:tcW w:w="6291" w:type="dxa"/>
            <w:shd w:val="clear" w:color="auto" w:fill="auto"/>
          </w:tcPr>
          <w:p w:rsidR="007A5CEE" w:rsidRPr="007A5CEE" w:rsidRDefault="007A5CEE" w:rsidP="007A5CEE">
            <w:pPr>
              <w:tabs>
                <w:tab w:val="left" w:pos="288"/>
                <w:tab w:val="left" w:pos="576"/>
                <w:tab w:val="left" w:pos="864"/>
                <w:tab w:val="left" w:pos="1152"/>
              </w:tabs>
              <w:suppressAutoHyphens/>
              <w:spacing w:before="40" w:after="80"/>
              <w:ind w:right="115"/>
              <w:rPr>
                <w:b/>
                <w:bCs/>
                <w:lang w:val="fr-FR"/>
              </w:rPr>
            </w:pPr>
            <w:r w:rsidRPr="007A5CEE">
              <w:rPr>
                <w:b/>
                <w:bCs/>
                <w:lang w:val="fr-FR"/>
              </w:rPr>
              <w:t>Dangers causés par des travaux à bord</w:t>
            </w:r>
          </w:p>
          <w:p w:rsidR="007A5CEE" w:rsidRPr="007A5CEE" w:rsidRDefault="007A5CEE" w:rsidP="007A5CEE">
            <w:pPr>
              <w:tabs>
                <w:tab w:val="left" w:pos="288"/>
                <w:tab w:val="left" w:pos="576"/>
                <w:tab w:val="left" w:pos="864"/>
                <w:tab w:val="left" w:pos="1152"/>
              </w:tabs>
              <w:suppressAutoHyphens/>
              <w:spacing w:before="40" w:after="80"/>
              <w:ind w:right="115"/>
              <w:rPr>
                <w:lang w:val="fr-FR"/>
              </w:rPr>
            </w:pPr>
            <w:r w:rsidRPr="007A5CEE">
              <w:rPr>
                <w:lang w:val="fr-FR"/>
              </w:rPr>
              <w:t>…</w:t>
            </w:r>
          </w:p>
          <w:p w:rsidR="008A7659" w:rsidRPr="00786CC3" w:rsidRDefault="0003169B" w:rsidP="0003169B">
            <w:pPr>
              <w:tabs>
                <w:tab w:val="left" w:pos="288"/>
                <w:tab w:val="left" w:pos="576"/>
                <w:tab w:val="left" w:pos="864"/>
                <w:tab w:val="left" w:pos="1152"/>
              </w:tabs>
              <w:suppressAutoHyphens/>
              <w:spacing w:before="40" w:after="80"/>
              <w:ind w:right="115"/>
              <w:rPr>
                <w:lang w:val="fr-FR"/>
              </w:rPr>
            </w:pPr>
            <w:r>
              <w:rPr>
                <w:lang w:val="fr-FR"/>
              </w:rPr>
              <w:t>–</w:t>
            </w:r>
            <w:r w:rsidR="007A5CEE" w:rsidRPr="007A5CEE">
              <w:rPr>
                <w:lang w:val="fr-FR"/>
              </w:rPr>
              <w:t xml:space="preserve"> lorsque les bateaux à marchandises sèches sont munis d’une autorisation de l’autorité compétente ou d’une attestation confirmant </w:t>
            </w:r>
            <w:r>
              <w:rPr>
                <w:lang w:val="fr-FR"/>
              </w:rPr>
              <w:br/>
            </w:r>
            <w:r w:rsidR="007A5CEE" w:rsidRPr="0003169B">
              <w:rPr>
                <w:strike/>
                <w:lang w:val="fr-FR"/>
              </w:rPr>
              <w:t xml:space="preserve">le dégazage total de la zone protégée </w:t>
            </w:r>
            <w:r w:rsidR="007A5CEE" w:rsidRPr="007A5CEE">
              <w:rPr>
                <w:u w:val="single"/>
                <w:lang w:val="fr-FR"/>
              </w:rPr>
              <w:t>que le bateau est exempt de gaz inflammables ou toxiques</w:t>
            </w:r>
            <w:r w:rsidR="007A5CEE" w:rsidRPr="007A5CEE">
              <w:rPr>
                <w:lang w:val="fr-FR"/>
              </w:rPr>
              <w:t>;</w:t>
            </w:r>
          </w:p>
        </w:tc>
        <w:tc>
          <w:tcPr>
            <w:tcW w:w="5454" w:type="dxa"/>
            <w:shd w:val="clear" w:color="auto" w:fill="auto"/>
          </w:tcPr>
          <w:p w:rsidR="008A7659" w:rsidRPr="00786CC3" w:rsidRDefault="008A7659" w:rsidP="009642F0">
            <w:pPr>
              <w:tabs>
                <w:tab w:val="left" w:pos="288"/>
                <w:tab w:val="left" w:pos="576"/>
                <w:tab w:val="left" w:pos="864"/>
                <w:tab w:val="left" w:pos="1152"/>
              </w:tabs>
              <w:suppressAutoHyphens/>
              <w:spacing w:before="40" w:after="80"/>
              <w:ind w:right="115"/>
              <w:rPr>
                <w:lang w:val="fr-FR"/>
              </w:rPr>
            </w:pPr>
          </w:p>
        </w:tc>
      </w:tr>
      <w:tr w:rsidR="008A7659" w:rsidRPr="00786CC3" w:rsidTr="003261A3">
        <w:trPr>
          <w:cantSplit/>
        </w:trPr>
        <w:tc>
          <w:tcPr>
            <w:tcW w:w="1437" w:type="dxa"/>
            <w:shd w:val="clear" w:color="auto" w:fill="auto"/>
          </w:tcPr>
          <w:p w:rsidR="008A7659" w:rsidRPr="00786CC3" w:rsidRDefault="008A7659" w:rsidP="003261A3">
            <w:pPr>
              <w:tabs>
                <w:tab w:val="left" w:pos="288"/>
                <w:tab w:val="left" w:pos="576"/>
                <w:tab w:val="left" w:pos="864"/>
                <w:tab w:val="left" w:pos="1152"/>
              </w:tabs>
              <w:suppressAutoHyphens/>
              <w:spacing w:before="40" w:after="80"/>
              <w:ind w:right="115"/>
              <w:rPr>
                <w:lang w:val="fr-FR"/>
              </w:rPr>
            </w:pPr>
          </w:p>
        </w:tc>
        <w:tc>
          <w:tcPr>
            <w:tcW w:w="6291" w:type="dxa"/>
            <w:shd w:val="clear" w:color="auto" w:fill="auto"/>
          </w:tcPr>
          <w:p w:rsidR="0003169B" w:rsidRPr="007A5CEE" w:rsidRDefault="0003169B" w:rsidP="003261A3">
            <w:pPr>
              <w:tabs>
                <w:tab w:val="left" w:pos="288"/>
                <w:tab w:val="left" w:pos="576"/>
                <w:tab w:val="left" w:pos="864"/>
                <w:tab w:val="left" w:pos="1152"/>
              </w:tabs>
              <w:suppressAutoHyphens/>
              <w:spacing w:before="40" w:after="80"/>
              <w:ind w:right="115"/>
              <w:rPr>
                <w:lang w:val="fr-FR"/>
              </w:rPr>
            </w:pPr>
            <w:r>
              <w:rPr>
                <w:lang w:val="fr-FR"/>
              </w:rPr>
              <w:t>–</w:t>
            </w:r>
            <w:r w:rsidRPr="007A5CEE">
              <w:rPr>
                <w:lang w:val="fr-FR"/>
              </w:rPr>
              <w:t xml:space="preserve"> aux opérations d’amarrage.</w:t>
            </w:r>
          </w:p>
          <w:p w:rsidR="0003169B" w:rsidRPr="007A5CEE" w:rsidRDefault="0003169B" w:rsidP="003261A3">
            <w:pPr>
              <w:tabs>
                <w:tab w:val="left" w:pos="288"/>
                <w:tab w:val="left" w:pos="576"/>
                <w:tab w:val="left" w:pos="864"/>
                <w:tab w:val="left" w:pos="1152"/>
              </w:tabs>
              <w:suppressAutoHyphens/>
              <w:spacing w:before="40" w:after="80"/>
              <w:ind w:right="115"/>
              <w:rPr>
                <w:lang w:val="fr-FR"/>
              </w:rPr>
            </w:pPr>
            <w:r w:rsidRPr="007A5CEE">
              <w:rPr>
                <w:lang w:val="fr-FR"/>
              </w:rPr>
              <w:t xml:space="preserve">Ces travaux peuvent être effectués à bord de bateaux-citernes sans autorisation dans les locaux de service en dehors de la zone de cargaison lorsque les portes et fenêtres de ces locaux sont fermées et que le bateau n’est pas en cours de chargement, de déchargement </w:t>
            </w:r>
            <w:r w:rsidRPr="00113177">
              <w:rPr>
                <w:lang w:val="fr-FR"/>
              </w:rPr>
              <w:t>ou de dégazage</w:t>
            </w:r>
            <w:r w:rsidRPr="007A5CEE">
              <w:rPr>
                <w:lang w:val="fr-FR"/>
              </w:rPr>
              <w:t xml:space="preserve"> </w:t>
            </w:r>
            <w:r w:rsidRPr="007A5CEE">
              <w:rPr>
                <w:u w:val="single"/>
                <w:lang w:val="fr-FR"/>
              </w:rPr>
              <w:t>lorsque la concentration de gaz inflammables est supérieure ou égale à 10 % de la LIE.</w:t>
            </w:r>
          </w:p>
          <w:p w:rsidR="008A7659" w:rsidRPr="00786CC3" w:rsidRDefault="0003169B" w:rsidP="003261A3">
            <w:pPr>
              <w:tabs>
                <w:tab w:val="left" w:pos="288"/>
                <w:tab w:val="left" w:pos="576"/>
                <w:tab w:val="left" w:pos="864"/>
                <w:tab w:val="left" w:pos="1152"/>
              </w:tabs>
              <w:suppressAutoHyphens/>
              <w:spacing w:before="40" w:after="80"/>
              <w:ind w:right="115"/>
              <w:rPr>
                <w:lang w:val="fr-FR"/>
              </w:rPr>
            </w:pPr>
            <w:r w:rsidRPr="007A5CEE">
              <w:rPr>
                <w:lang w:val="fr-FR"/>
              </w:rPr>
              <w:t>…</w:t>
            </w:r>
          </w:p>
        </w:tc>
        <w:tc>
          <w:tcPr>
            <w:tcW w:w="5454" w:type="dxa"/>
            <w:shd w:val="clear" w:color="auto" w:fill="auto"/>
          </w:tcPr>
          <w:p w:rsidR="008A7659" w:rsidRPr="00786CC3" w:rsidRDefault="008A7659" w:rsidP="003261A3">
            <w:pPr>
              <w:tabs>
                <w:tab w:val="left" w:pos="288"/>
                <w:tab w:val="left" w:pos="576"/>
                <w:tab w:val="left" w:pos="864"/>
                <w:tab w:val="left" w:pos="1152"/>
              </w:tabs>
              <w:suppressAutoHyphens/>
              <w:spacing w:before="40" w:after="80"/>
              <w:ind w:right="115"/>
              <w:rPr>
                <w:lang w:val="fr-FR"/>
              </w:rPr>
            </w:pPr>
          </w:p>
        </w:tc>
      </w:tr>
      <w:tr w:rsidR="00C27E92" w:rsidRPr="00932192" w:rsidTr="00022E93">
        <w:tc>
          <w:tcPr>
            <w:tcW w:w="13182" w:type="dxa"/>
            <w:gridSpan w:val="3"/>
            <w:shd w:val="clear" w:color="auto" w:fill="auto"/>
          </w:tcPr>
          <w:p w:rsidR="00C27E92" w:rsidRPr="00786CC3" w:rsidRDefault="00C27E92" w:rsidP="003261A3">
            <w:pPr>
              <w:keepNext/>
              <w:keepLines/>
              <w:tabs>
                <w:tab w:val="left" w:pos="288"/>
                <w:tab w:val="left" w:pos="576"/>
                <w:tab w:val="left" w:pos="864"/>
                <w:tab w:val="left" w:pos="1152"/>
              </w:tabs>
              <w:suppressAutoHyphens/>
              <w:spacing w:before="40" w:after="80"/>
              <w:ind w:right="115"/>
              <w:rPr>
                <w:lang w:val="fr-FR"/>
              </w:rPr>
            </w:pPr>
            <w:r w:rsidRPr="00C27E92">
              <w:rPr>
                <w:b/>
                <w:lang w:val="fr-FR"/>
              </w:rPr>
              <w:t>Espaces de cale et citernes à cargaison</w:t>
            </w:r>
          </w:p>
        </w:tc>
      </w:tr>
      <w:tr w:rsidR="008A7659" w:rsidRPr="00932192" w:rsidTr="00022E93">
        <w:tc>
          <w:tcPr>
            <w:tcW w:w="1437" w:type="dxa"/>
            <w:shd w:val="clear" w:color="auto" w:fill="auto"/>
          </w:tcPr>
          <w:p w:rsidR="008A7659" w:rsidRPr="00786CC3" w:rsidRDefault="00A11790" w:rsidP="009642F0">
            <w:pPr>
              <w:tabs>
                <w:tab w:val="left" w:pos="288"/>
                <w:tab w:val="left" w:pos="576"/>
                <w:tab w:val="left" w:pos="864"/>
                <w:tab w:val="left" w:pos="1152"/>
              </w:tabs>
              <w:suppressAutoHyphens/>
              <w:spacing w:before="40" w:after="80"/>
              <w:ind w:right="115"/>
              <w:rPr>
                <w:lang w:val="fr-FR"/>
              </w:rPr>
            </w:pPr>
            <w:r w:rsidRPr="00A11790">
              <w:rPr>
                <w:lang w:val="fr-FR"/>
              </w:rPr>
              <w:t>9.3</w:t>
            </w:r>
            <w:proofErr w:type="gramStart"/>
            <w:r w:rsidRPr="00A11790">
              <w:rPr>
                <w:lang w:val="fr-FR"/>
              </w:rPr>
              <w:t>.X.11.3</w:t>
            </w:r>
            <w:proofErr w:type="gramEnd"/>
          </w:p>
        </w:tc>
        <w:tc>
          <w:tcPr>
            <w:tcW w:w="6291" w:type="dxa"/>
            <w:shd w:val="clear" w:color="auto" w:fill="auto"/>
          </w:tcPr>
          <w:p w:rsidR="00A11790" w:rsidRPr="00A11790" w:rsidRDefault="00A11790" w:rsidP="00A11790">
            <w:pPr>
              <w:tabs>
                <w:tab w:val="left" w:pos="288"/>
                <w:tab w:val="left" w:pos="576"/>
                <w:tab w:val="left" w:pos="864"/>
                <w:tab w:val="left" w:pos="1152"/>
              </w:tabs>
              <w:suppressAutoHyphens/>
              <w:spacing w:before="40" w:after="80"/>
              <w:ind w:right="115"/>
              <w:rPr>
                <w:lang w:val="fr-FR"/>
              </w:rPr>
            </w:pPr>
            <w:r w:rsidRPr="00A11790">
              <w:rPr>
                <w:lang w:val="fr-FR"/>
              </w:rPr>
              <w:t>a)</w:t>
            </w:r>
            <w:r w:rsidR="005330A6">
              <w:rPr>
                <w:lang w:val="fr-FR"/>
              </w:rPr>
              <w:tab/>
              <w:t>…</w:t>
            </w:r>
          </w:p>
          <w:p w:rsidR="00A11790" w:rsidRPr="00A11790" w:rsidRDefault="00A11790" w:rsidP="00A11790">
            <w:pPr>
              <w:tabs>
                <w:tab w:val="left" w:pos="288"/>
                <w:tab w:val="left" w:pos="576"/>
                <w:tab w:val="left" w:pos="864"/>
                <w:tab w:val="left" w:pos="1152"/>
              </w:tabs>
              <w:suppressAutoHyphens/>
              <w:spacing w:before="40" w:after="80"/>
              <w:ind w:right="115"/>
              <w:rPr>
                <w:lang w:val="fr-FR"/>
              </w:rPr>
            </w:pPr>
            <w:r w:rsidRPr="00A11790">
              <w:rPr>
                <w:lang w:val="fr-FR"/>
              </w:rPr>
              <w:t>b)</w:t>
            </w:r>
            <w:r w:rsidR="005330A6">
              <w:rPr>
                <w:lang w:val="fr-FR"/>
              </w:rPr>
              <w:tab/>
              <w:t>…</w:t>
            </w:r>
          </w:p>
          <w:p w:rsidR="008A7659" w:rsidRPr="00786CC3" w:rsidRDefault="005330A6" w:rsidP="00A11790">
            <w:pPr>
              <w:tabs>
                <w:tab w:val="left" w:pos="288"/>
                <w:tab w:val="left" w:pos="576"/>
                <w:tab w:val="left" w:pos="864"/>
                <w:tab w:val="left" w:pos="1152"/>
              </w:tabs>
              <w:suppressAutoHyphens/>
              <w:spacing w:before="40" w:after="80"/>
              <w:ind w:right="115"/>
              <w:rPr>
                <w:lang w:val="fr-FR"/>
              </w:rPr>
            </w:pPr>
            <w:r>
              <w:rPr>
                <w:lang w:val="fr-FR"/>
              </w:rPr>
              <w:t>c)</w:t>
            </w:r>
            <w:r>
              <w:rPr>
                <w:lang w:val="fr-FR"/>
              </w:rPr>
              <w:tab/>
            </w:r>
            <w:r w:rsidR="00A11790" w:rsidRPr="00A11790">
              <w:rPr>
                <w:lang w:val="fr-FR"/>
              </w:rPr>
              <w:t>Tous les locaux dans la zone de cargaison doivent pouvoir être ventilés. Il doit être possible de vérifier qu’ils ne contiennent pas de gaz.</w:t>
            </w:r>
          </w:p>
        </w:tc>
        <w:tc>
          <w:tcPr>
            <w:tcW w:w="5454" w:type="dxa"/>
            <w:shd w:val="clear" w:color="auto" w:fill="auto"/>
          </w:tcPr>
          <w:p w:rsidR="005330A6" w:rsidRPr="00932192" w:rsidRDefault="005330A6" w:rsidP="005330A6">
            <w:pPr>
              <w:tabs>
                <w:tab w:val="left" w:pos="288"/>
                <w:tab w:val="left" w:pos="576"/>
                <w:tab w:val="left" w:pos="864"/>
                <w:tab w:val="left" w:pos="1152"/>
              </w:tabs>
              <w:suppressAutoHyphens/>
              <w:spacing w:before="40" w:after="80"/>
              <w:ind w:right="115"/>
              <w:rPr>
                <w:b/>
                <w:lang w:val="en-GB"/>
              </w:rPr>
            </w:pPr>
            <w:r w:rsidRPr="00932192">
              <w:rPr>
                <w:b/>
                <w:lang w:val="en-GB"/>
              </w:rPr>
              <w:t>Proposition</w:t>
            </w:r>
          </w:p>
          <w:p w:rsidR="008A7659" w:rsidRPr="00786CC3" w:rsidRDefault="005330A6" w:rsidP="00F60883">
            <w:pPr>
              <w:tabs>
                <w:tab w:val="left" w:pos="288"/>
                <w:tab w:val="left" w:pos="576"/>
                <w:tab w:val="left" w:pos="864"/>
                <w:tab w:val="left" w:pos="1152"/>
              </w:tabs>
              <w:suppressAutoHyphens/>
              <w:spacing w:before="40" w:after="80"/>
              <w:ind w:right="115"/>
              <w:rPr>
                <w:lang w:val="fr-FR"/>
              </w:rPr>
            </w:pPr>
            <w:proofErr w:type="spellStart"/>
            <w:proofErr w:type="gramStart"/>
            <w:r w:rsidRPr="00932192">
              <w:rPr>
                <w:lang w:val="en-GB"/>
              </w:rPr>
              <w:t>Dans</w:t>
            </w:r>
            <w:proofErr w:type="spellEnd"/>
            <w:proofErr w:type="gramEnd"/>
            <w:r w:rsidRPr="00932192">
              <w:rPr>
                <w:lang w:val="en-GB"/>
              </w:rPr>
              <w:t xml:space="preserve"> la version </w:t>
            </w:r>
            <w:proofErr w:type="spellStart"/>
            <w:r w:rsidRPr="00932192">
              <w:rPr>
                <w:lang w:val="en-GB"/>
              </w:rPr>
              <w:t>anglaise</w:t>
            </w:r>
            <w:proofErr w:type="spellEnd"/>
            <w:r w:rsidRPr="00932192">
              <w:rPr>
                <w:lang w:val="en-GB"/>
              </w:rPr>
              <w:t xml:space="preserve">, </w:t>
            </w:r>
            <w:proofErr w:type="spellStart"/>
            <w:r w:rsidRPr="00932192">
              <w:rPr>
                <w:lang w:val="en-GB"/>
              </w:rPr>
              <w:t>remplacer</w:t>
            </w:r>
            <w:proofErr w:type="spellEnd"/>
            <w:r w:rsidRPr="00932192">
              <w:rPr>
                <w:lang w:val="en-GB"/>
              </w:rPr>
              <w:t xml:space="preserve"> « </w:t>
            </w:r>
            <w:r w:rsidRPr="00932192">
              <w:rPr>
                <w:i/>
                <w:lang w:val="en-GB"/>
              </w:rPr>
              <w:t>Means for checking their gas-free condition shall be provided </w:t>
            </w:r>
            <w:r w:rsidRPr="00932192">
              <w:rPr>
                <w:lang w:val="en-GB"/>
              </w:rPr>
              <w:t>» par « </w:t>
            </w:r>
            <w:r w:rsidRPr="00932192">
              <w:rPr>
                <w:i/>
                <w:lang w:val="en-GB"/>
              </w:rPr>
              <w:t>It has to be possible to check their gas-free condition</w:t>
            </w:r>
            <w:r w:rsidRPr="00932192">
              <w:rPr>
                <w:lang w:val="en-GB"/>
              </w:rPr>
              <w:t xml:space="preserve">. » </w:t>
            </w:r>
            <w:r w:rsidRPr="005330A6">
              <w:rPr>
                <w:lang w:val="fr-FR"/>
              </w:rPr>
              <w:t>Les différentes versions linguistiques sont actuellement divergentes. Dans les textes français et allemande, il n’est pas obligatoire que l’équipement de contrôle soit à bord.</w:t>
            </w:r>
          </w:p>
        </w:tc>
      </w:tr>
      <w:tr w:rsidR="007944FD" w:rsidRPr="00932192" w:rsidTr="00022E93">
        <w:tc>
          <w:tcPr>
            <w:tcW w:w="1437" w:type="dxa"/>
            <w:shd w:val="clear" w:color="auto" w:fill="auto"/>
          </w:tcPr>
          <w:p w:rsidR="007944FD" w:rsidRPr="00786CC3" w:rsidRDefault="00903A22" w:rsidP="009642F0">
            <w:pPr>
              <w:tabs>
                <w:tab w:val="left" w:pos="288"/>
                <w:tab w:val="left" w:pos="576"/>
                <w:tab w:val="left" w:pos="864"/>
                <w:tab w:val="left" w:pos="1152"/>
              </w:tabs>
              <w:suppressAutoHyphens/>
              <w:spacing w:before="40" w:after="80"/>
              <w:ind w:right="115"/>
              <w:rPr>
                <w:lang w:val="fr-FR"/>
              </w:rPr>
            </w:pPr>
            <w:r w:rsidRPr="00903A22">
              <w:rPr>
                <w:lang w:val="fr-FR"/>
              </w:rPr>
              <w:t>9.3</w:t>
            </w:r>
            <w:proofErr w:type="gramStart"/>
            <w:r w:rsidRPr="00903A22">
              <w:rPr>
                <w:lang w:val="fr-FR"/>
              </w:rPr>
              <w:t>.X.17.6</w:t>
            </w:r>
            <w:proofErr w:type="gramEnd"/>
          </w:p>
        </w:tc>
        <w:tc>
          <w:tcPr>
            <w:tcW w:w="6291" w:type="dxa"/>
            <w:shd w:val="clear" w:color="auto" w:fill="auto"/>
          </w:tcPr>
          <w:p w:rsidR="00903A22" w:rsidRPr="00F60883" w:rsidRDefault="00903A22" w:rsidP="00903A22">
            <w:pPr>
              <w:tabs>
                <w:tab w:val="left" w:pos="288"/>
                <w:tab w:val="left" w:pos="576"/>
                <w:tab w:val="left" w:pos="864"/>
                <w:tab w:val="left" w:pos="1152"/>
              </w:tabs>
              <w:suppressAutoHyphens/>
              <w:spacing w:before="40" w:after="80"/>
              <w:ind w:right="115"/>
              <w:rPr>
                <w:lang w:val="fr-FR"/>
              </w:rPr>
            </w:pPr>
            <w:r w:rsidRPr="00F60883">
              <w:rPr>
                <w:lang w:val="fr-FR"/>
              </w:rPr>
              <w:t>…</w:t>
            </w:r>
          </w:p>
          <w:p w:rsidR="00903A22" w:rsidRPr="00F60883" w:rsidRDefault="00903A22" w:rsidP="00903A22">
            <w:pPr>
              <w:tabs>
                <w:tab w:val="left" w:pos="288"/>
                <w:tab w:val="left" w:pos="576"/>
                <w:tab w:val="left" w:pos="864"/>
                <w:tab w:val="left" w:pos="1152"/>
              </w:tabs>
              <w:suppressAutoHyphens/>
              <w:spacing w:before="40" w:after="80"/>
              <w:ind w:right="115"/>
              <w:rPr>
                <w:lang w:val="fr-FR"/>
              </w:rPr>
            </w:pPr>
            <w:r w:rsidRPr="00F60883">
              <w:rPr>
                <w:lang w:val="fr-FR"/>
              </w:rPr>
              <w:t>– la chambre des pompes à cargaison est pourvue d’une installation de détection de gaz permanente qui indique automatiquement la</w:t>
            </w:r>
            <w:r w:rsidR="00F60883" w:rsidRPr="00F60883">
              <w:rPr>
                <w:lang w:val="fr-FR"/>
              </w:rPr>
              <w:t xml:space="preserve"> </w:t>
            </w:r>
            <w:r w:rsidRPr="00F60883">
              <w:rPr>
                <w:lang w:val="fr-FR"/>
              </w:rPr>
              <w:t xml:space="preserve">présence de gaz </w:t>
            </w:r>
            <w:r w:rsidRPr="00F60883">
              <w:rPr>
                <w:strike/>
                <w:lang w:val="fr-FR"/>
              </w:rPr>
              <w:t>explosifs ou le manque d’oxygène</w:t>
            </w:r>
            <w:r w:rsidRPr="00F60883">
              <w:rPr>
                <w:lang w:val="fr-FR"/>
              </w:rPr>
              <w:t xml:space="preserve"> </w:t>
            </w:r>
            <w:r w:rsidRPr="00F60883">
              <w:rPr>
                <w:u w:val="single"/>
                <w:lang w:val="fr-FR"/>
              </w:rPr>
              <w:t>inflammables ou une teneur en oxygène inférieure à 19,5 %</w:t>
            </w:r>
            <w:r w:rsidRPr="00F60883">
              <w:rPr>
                <w:lang w:val="fr-FR"/>
              </w:rPr>
              <w:t xml:space="preserve"> au moyen de capteurs à mesure directe et qui actionne une alarme optique et acoustique lorsque la concentration de gaz</w:t>
            </w:r>
            <w:r w:rsidRPr="00F60883">
              <w:rPr>
                <w:u w:val="single"/>
                <w:lang w:val="fr-FR"/>
              </w:rPr>
              <w:t xml:space="preserve"> inflammables</w:t>
            </w:r>
            <w:r w:rsidRPr="00F60883">
              <w:rPr>
                <w:lang w:val="fr-FR"/>
              </w:rPr>
              <w:t xml:space="preserve"> atteint 20 % de la </w:t>
            </w:r>
            <w:r w:rsidRPr="00F60883">
              <w:rPr>
                <w:strike/>
                <w:lang w:val="fr-FR"/>
              </w:rPr>
              <w:t xml:space="preserve">limite inférieure d’explosivité </w:t>
            </w:r>
            <w:r w:rsidRPr="00F60883">
              <w:rPr>
                <w:u w:val="single"/>
                <w:lang w:val="fr-FR"/>
              </w:rPr>
              <w:t>LIE</w:t>
            </w:r>
            <w:r w:rsidRPr="00F60883">
              <w:rPr>
                <w:lang w:val="fr-FR"/>
              </w:rPr>
              <w:t xml:space="preserve">. Les capteurs de ce système doivent être placés à des endroits appropriés au fond et directement sous le pont. </w:t>
            </w:r>
          </w:p>
          <w:p w:rsidR="00903A22" w:rsidRPr="00F60883" w:rsidRDefault="00903A22" w:rsidP="00903A22">
            <w:pPr>
              <w:tabs>
                <w:tab w:val="left" w:pos="288"/>
                <w:tab w:val="left" w:pos="576"/>
                <w:tab w:val="left" w:pos="864"/>
                <w:tab w:val="left" w:pos="1152"/>
              </w:tabs>
              <w:suppressAutoHyphens/>
              <w:spacing w:before="40" w:after="80"/>
              <w:ind w:right="115"/>
              <w:rPr>
                <w:lang w:val="fr-FR"/>
              </w:rPr>
            </w:pPr>
            <w:r w:rsidRPr="00F60883">
              <w:rPr>
                <w:lang w:val="fr-FR"/>
              </w:rPr>
              <w:t>La mesure doit être continue.</w:t>
            </w:r>
          </w:p>
          <w:p w:rsidR="00903A22" w:rsidRPr="00F60883" w:rsidRDefault="00903A22" w:rsidP="00903A22">
            <w:pPr>
              <w:tabs>
                <w:tab w:val="left" w:pos="288"/>
                <w:tab w:val="left" w:pos="576"/>
                <w:tab w:val="left" w:pos="864"/>
                <w:tab w:val="left" w:pos="1152"/>
              </w:tabs>
              <w:suppressAutoHyphens/>
              <w:spacing w:before="40" w:after="80"/>
              <w:ind w:right="115"/>
              <w:rPr>
                <w:lang w:val="fr-FR"/>
              </w:rPr>
            </w:pPr>
            <w:r w:rsidRPr="00F60883">
              <w:rPr>
                <w:lang w:val="fr-FR"/>
              </w:rPr>
              <w:t>Des avertisseurs optiques et acoustiques doivent être installés dans la</w:t>
            </w:r>
            <w:r w:rsidR="00F60883" w:rsidRPr="00F60883">
              <w:rPr>
                <w:lang w:val="fr-FR"/>
              </w:rPr>
              <w:t xml:space="preserve"> </w:t>
            </w:r>
            <w:r w:rsidRPr="00F60883">
              <w:rPr>
                <w:lang w:val="fr-FR"/>
              </w:rPr>
              <w:t>timonerie et dans la chambre des pompes à cargaison et, lors du</w:t>
            </w:r>
            <w:r w:rsidR="00F60883" w:rsidRPr="00F60883">
              <w:rPr>
                <w:lang w:val="fr-FR"/>
              </w:rPr>
              <w:t xml:space="preserve"> </w:t>
            </w:r>
            <w:r w:rsidRPr="00F60883">
              <w:rPr>
                <w:lang w:val="fr-FR"/>
              </w:rPr>
              <w:t>déclenchement de l’alarme, le système de chargement et de déchargement du bateau doit être arrêté; les pannes de</w:t>
            </w:r>
            <w:r w:rsidR="00F60883" w:rsidRPr="00F60883">
              <w:rPr>
                <w:lang w:val="fr-FR"/>
              </w:rPr>
              <w:t xml:space="preserve"> </w:t>
            </w:r>
            <w:r w:rsidRPr="00F60883">
              <w:rPr>
                <w:lang w:val="fr-FR"/>
              </w:rPr>
              <w:t xml:space="preserve">l’installation de détection de gaz </w:t>
            </w:r>
            <w:r w:rsidRPr="00F60883">
              <w:rPr>
                <w:u w:val="single"/>
                <w:lang w:val="fr-FR"/>
              </w:rPr>
              <w:t>inflammables</w:t>
            </w:r>
            <w:r w:rsidRPr="00F60883">
              <w:rPr>
                <w:lang w:val="fr-FR"/>
              </w:rPr>
              <w:t xml:space="preserve"> doivent être immédiatement signalées dans la timonerie et sur le pont à l’aide de dispositifs d’alarmes optique et acoustique;</w:t>
            </w:r>
          </w:p>
          <w:p w:rsidR="007944FD" w:rsidRPr="00786CC3" w:rsidRDefault="00903A22" w:rsidP="00903A22">
            <w:pPr>
              <w:tabs>
                <w:tab w:val="left" w:pos="288"/>
                <w:tab w:val="left" w:pos="576"/>
                <w:tab w:val="left" w:pos="864"/>
                <w:tab w:val="left" w:pos="1152"/>
              </w:tabs>
              <w:suppressAutoHyphens/>
              <w:spacing w:before="40" w:after="80"/>
              <w:ind w:right="115"/>
              <w:rPr>
                <w:lang w:val="fr-FR"/>
              </w:rPr>
            </w:pPr>
            <w:r w:rsidRPr="00903A22">
              <w:rPr>
                <w:lang w:val="fr-FR"/>
              </w:rPr>
              <w:t>…</w:t>
            </w:r>
          </w:p>
        </w:tc>
        <w:tc>
          <w:tcPr>
            <w:tcW w:w="5454" w:type="dxa"/>
            <w:shd w:val="clear" w:color="auto" w:fill="auto"/>
          </w:tcPr>
          <w:p w:rsidR="007944FD" w:rsidRPr="00786CC3" w:rsidRDefault="008F43C7" w:rsidP="003D6BF3">
            <w:pPr>
              <w:tabs>
                <w:tab w:val="left" w:pos="288"/>
                <w:tab w:val="left" w:pos="576"/>
                <w:tab w:val="left" w:pos="864"/>
                <w:tab w:val="left" w:pos="1152"/>
              </w:tabs>
              <w:suppressAutoHyphens/>
              <w:spacing w:before="400" w:after="80"/>
              <w:ind w:right="115"/>
              <w:rPr>
                <w:lang w:val="fr-FR"/>
              </w:rPr>
            </w:pPr>
            <w:r w:rsidRPr="008F43C7">
              <w:rPr>
                <w:lang w:val="fr-FR"/>
              </w:rPr>
              <w:t>Le groupe de travail informel de la protection contre les explosions à bord des bateaux citernes soumettra également une proposition d’amendements à cette disposition, avec les</w:t>
            </w:r>
            <w:r>
              <w:rPr>
                <w:lang w:val="fr-FR"/>
              </w:rPr>
              <w:t> </w:t>
            </w:r>
            <w:r w:rsidRPr="008F43C7">
              <w:rPr>
                <w:lang w:val="fr-FR"/>
              </w:rPr>
              <w:t>observations du groupe de travail informel du dégazage des citernes.</w:t>
            </w:r>
          </w:p>
        </w:tc>
      </w:tr>
      <w:tr w:rsidR="007944FD" w:rsidRPr="00932192" w:rsidTr="00022E93">
        <w:tc>
          <w:tcPr>
            <w:tcW w:w="1437" w:type="dxa"/>
            <w:shd w:val="clear" w:color="auto" w:fill="auto"/>
          </w:tcPr>
          <w:p w:rsidR="007944FD" w:rsidRPr="00786CC3" w:rsidRDefault="005C6BB2" w:rsidP="009642F0">
            <w:pPr>
              <w:tabs>
                <w:tab w:val="left" w:pos="288"/>
                <w:tab w:val="left" w:pos="576"/>
                <w:tab w:val="left" w:pos="864"/>
                <w:tab w:val="left" w:pos="1152"/>
              </w:tabs>
              <w:suppressAutoHyphens/>
              <w:spacing w:before="40" w:after="80"/>
              <w:ind w:right="115"/>
              <w:rPr>
                <w:lang w:val="fr-FR"/>
              </w:rPr>
            </w:pPr>
            <w:r>
              <w:rPr>
                <w:lang w:val="fr-FR"/>
              </w:rPr>
              <w:t>9</w:t>
            </w:r>
            <w:r w:rsidRPr="005C6BB2">
              <w:rPr>
                <w:lang w:val="fr-FR"/>
              </w:rPr>
              <w:t>.3</w:t>
            </w:r>
            <w:proofErr w:type="gramStart"/>
            <w:r w:rsidRPr="005C6BB2">
              <w:rPr>
                <w:lang w:val="fr-FR"/>
              </w:rPr>
              <w:t>.X.50.1</w:t>
            </w:r>
            <w:proofErr w:type="gramEnd"/>
          </w:p>
        </w:tc>
        <w:tc>
          <w:tcPr>
            <w:tcW w:w="6291" w:type="dxa"/>
            <w:shd w:val="clear" w:color="auto" w:fill="auto"/>
          </w:tcPr>
          <w:p w:rsidR="007944FD" w:rsidRPr="00786CC3" w:rsidRDefault="007944FD" w:rsidP="009642F0">
            <w:pPr>
              <w:tabs>
                <w:tab w:val="left" w:pos="288"/>
                <w:tab w:val="left" w:pos="576"/>
                <w:tab w:val="left" w:pos="864"/>
                <w:tab w:val="left" w:pos="1152"/>
              </w:tabs>
              <w:suppressAutoHyphens/>
              <w:spacing w:before="40" w:after="80"/>
              <w:ind w:right="115"/>
              <w:rPr>
                <w:lang w:val="fr-FR"/>
              </w:rPr>
            </w:pPr>
          </w:p>
        </w:tc>
        <w:tc>
          <w:tcPr>
            <w:tcW w:w="5454" w:type="dxa"/>
            <w:shd w:val="clear" w:color="auto" w:fill="auto"/>
          </w:tcPr>
          <w:p w:rsidR="007944FD" w:rsidRPr="00786CC3" w:rsidRDefault="003E385C" w:rsidP="009642F0">
            <w:pPr>
              <w:tabs>
                <w:tab w:val="left" w:pos="288"/>
                <w:tab w:val="left" w:pos="576"/>
                <w:tab w:val="left" w:pos="864"/>
                <w:tab w:val="left" w:pos="1152"/>
              </w:tabs>
              <w:suppressAutoHyphens/>
              <w:spacing w:before="40" w:after="80"/>
              <w:ind w:right="115"/>
              <w:rPr>
                <w:lang w:val="fr-FR"/>
              </w:rPr>
            </w:pPr>
            <w:r w:rsidRPr="003E385C">
              <w:rPr>
                <w:lang w:val="fr-FR"/>
              </w:rPr>
              <w:t>Modification sans objet en français.</w:t>
            </w:r>
          </w:p>
        </w:tc>
      </w:tr>
      <w:tr w:rsidR="005C6BB2" w:rsidRPr="00786CC3" w:rsidTr="00022E93">
        <w:tc>
          <w:tcPr>
            <w:tcW w:w="1437" w:type="dxa"/>
            <w:shd w:val="clear" w:color="auto" w:fill="auto"/>
          </w:tcPr>
          <w:p w:rsidR="005C6BB2" w:rsidRPr="00786CC3" w:rsidRDefault="004009C3" w:rsidP="009642F0">
            <w:pPr>
              <w:tabs>
                <w:tab w:val="left" w:pos="288"/>
                <w:tab w:val="left" w:pos="576"/>
                <w:tab w:val="left" w:pos="864"/>
                <w:tab w:val="left" w:pos="1152"/>
              </w:tabs>
              <w:suppressAutoHyphens/>
              <w:spacing w:before="40" w:after="80"/>
              <w:ind w:right="115"/>
              <w:rPr>
                <w:lang w:val="fr-FR"/>
              </w:rPr>
            </w:pPr>
            <w:r w:rsidRPr="004009C3">
              <w:rPr>
                <w:lang w:val="fr-FR"/>
              </w:rPr>
              <w:t>9.3</w:t>
            </w:r>
            <w:proofErr w:type="gramStart"/>
            <w:r w:rsidRPr="004009C3">
              <w:rPr>
                <w:lang w:val="fr-FR"/>
              </w:rPr>
              <w:t>.X.52.3</w:t>
            </w:r>
            <w:proofErr w:type="gramEnd"/>
          </w:p>
        </w:tc>
        <w:tc>
          <w:tcPr>
            <w:tcW w:w="6291" w:type="dxa"/>
            <w:shd w:val="clear" w:color="auto" w:fill="auto"/>
          </w:tcPr>
          <w:p w:rsidR="009113BA" w:rsidRPr="009113BA" w:rsidRDefault="009113BA" w:rsidP="009113BA">
            <w:pPr>
              <w:tabs>
                <w:tab w:val="left" w:pos="288"/>
                <w:tab w:val="left" w:pos="576"/>
                <w:tab w:val="left" w:pos="864"/>
                <w:tab w:val="left" w:pos="1152"/>
              </w:tabs>
              <w:suppressAutoHyphens/>
              <w:spacing w:before="40" w:after="80"/>
              <w:ind w:right="115"/>
              <w:rPr>
                <w:lang w:val="fr-FR"/>
              </w:rPr>
            </w:pPr>
            <w:r>
              <w:rPr>
                <w:lang w:val="fr-FR"/>
              </w:rPr>
              <w:t>a)</w:t>
            </w:r>
            <w:r>
              <w:rPr>
                <w:lang w:val="fr-FR"/>
              </w:rPr>
              <w:tab/>
            </w:r>
            <w:r w:rsidRPr="009113BA">
              <w:rPr>
                <w:lang w:val="fr-FR"/>
              </w:rPr>
              <w:t>Les équipements électriques utilisés pendant le chargement, le</w:t>
            </w:r>
            <w:r w:rsidR="00CF4B64">
              <w:rPr>
                <w:lang w:val="fr-FR"/>
              </w:rPr>
              <w:t xml:space="preserve"> </w:t>
            </w:r>
            <w:r w:rsidRPr="009113BA">
              <w:rPr>
                <w:lang w:val="fr-FR"/>
              </w:rPr>
              <w:t xml:space="preserve">déchargement et le dégazage </w:t>
            </w:r>
            <w:r w:rsidRPr="009113BA">
              <w:rPr>
                <w:u w:val="single"/>
                <w:lang w:val="fr-FR"/>
              </w:rPr>
              <w:t>(lorsque la concentration de gaz inflammables est supérieure ou égale à 10 % de la LIE)</w:t>
            </w:r>
            <w:r w:rsidRPr="009113BA">
              <w:rPr>
                <w:lang w:val="fr-FR"/>
              </w:rPr>
              <w:t xml:space="preserve"> en stationnement, situés à l’extérieur de la zone de cargaison (comparable à la zone 2), doivent être du type «</w:t>
            </w:r>
            <w:r>
              <w:rPr>
                <w:lang w:val="fr-FR"/>
              </w:rPr>
              <w:t> </w:t>
            </w:r>
            <w:r w:rsidRPr="009113BA">
              <w:rPr>
                <w:lang w:val="fr-FR"/>
              </w:rPr>
              <w:t>à risque limité d’explosion</w:t>
            </w:r>
            <w:r>
              <w:rPr>
                <w:lang w:val="fr-FR"/>
              </w:rPr>
              <w:t> </w:t>
            </w:r>
            <w:r w:rsidRPr="009113BA">
              <w:rPr>
                <w:lang w:val="fr-FR"/>
              </w:rPr>
              <w:t>».</w:t>
            </w:r>
          </w:p>
          <w:p w:rsidR="009113BA" w:rsidRPr="009113BA" w:rsidRDefault="009113BA" w:rsidP="009113BA">
            <w:pPr>
              <w:tabs>
                <w:tab w:val="left" w:pos="288"/>
                <w:tab w:val="left" w:pos="576"/>
                <w:tab w:val="left" w:pos="864"/>
                <w:tab w:val="left" w:pos="1152"/>
              </w:tabs>
              <w:suppressAutoHyphens/>
              <w:spacing w:before="40" w:after="80"/>
              <w:ind w:right="115"/>
              <w:rPr>
                <w:lang w:val="fr-FR"/>
              </w:rPr>
            </w:pPr>
            <w:r w:rsidRPr="009113BA">
              <w:rPr>
                <w:lang w:val="fr-FR"/>
              </w:rPr>
              <w:t>b)</w:t>
            </w:r>
            <w:r>
              <w:rPr>
                <w:lang w:val="fr-FR"/>
              </w:rPr>
              <w:tab/>
            </w:r>
            <w:r w:rsidRPr="009113BA">
              <w:rPr>
                <w:lang w:val="fr-FR"/>
              </w:rPr>
              <w:t>…</w:t>
            </w:r>
          </w:p>
          <w:p w:rsidR="009113BA" w:rsidRPr="009113BA" w:rsidRDefault="009113BA" w:rsidP="009113BA">
            <w:pPr>
              <w:tabs>
                <w:tab w:val="left" w:pos="288"/>
                <w:tab w:val="left" w:pos="576"/>
                <w:tab w:val="left" w:pos="864"/>
                <w:tab w:val="left" w:pos="1152"/>
              </w:tabs>
              <w:suppressAutoHyphens/>
              <w:spacing w:before="40" w:after="80"/>
              <w:ind w:right="115"/>
              <w:rPr>
                <w:lang w:val="fr-FR"/>
              </w:rPr>
            </w:pPr>
            <w:r w:rsidRPr="009113BA">
              <w:rPr>
                <w:lang w:val="fr-FR"/>
              </w:rPr>
              <w:t xml:space="preserve">2. Ces locaux doivent être munis d’une installation de détection de gaz </w:t>
            </w:r>
            <w:r w:rsidRPr="009113BA">
              <w:rPr>
                <w:u w:val="single"/>
                <w:lang w:val="fr-FR"/>
              </w:rPr>
              <w:t xml:space="preserve">inflammables </w:t>
            </w:r>
            <w:r w:rsidRPr="009113BA">
              <w:rPr>
                <w:lang w:val="fr-FR"/>
              </w:rPr>
              <w:t>avec des capteurs</w:t>
            </w:r>
            <w:r w:rsidR="001F406A">
              <w:rPr>
                <w:lang w:val="fr-FR"/>
              </w:rPr>
              <w:t> </w:t>
            </w:r>
            <w:r w:rsidRPr="009113BA">
              <w:rPr>
                <w:lang w:val="fr-FR"/>
              </w:rPr>
              <w:t>:</w:t>
            </w:r>
          </w:p>
          <w:p w:rsidR="009113BA" w:rsidRPr="009113BA" w:rsidRDefault="009113BA" w:rsidP="009113BA">
            <w:pPr>
              <w:tabs>
                <w:tab w:val="left" w:pos="288"/>
                <w:tab w:val="left" w:pos="576"/>
                <w:tab w:val="left" w:pos="864"/>
                <w:tab w:val="left" w:pos="1152"/>
              </w:tabs>
              <w:suppressAutoHyphens/>
              <w:spacing w:before="40" w:after="80"/>
              <w:ind w:right="115"/>
              <w:rPr>
                <w:lang w:val="fr-FR"/>
              </w:rPr>
            </w:pPr>
            <w:r w:rsidRPr="009113BA">
              <w:rPr>
                <w:lang w:val="fr-FR"/>
              </w:rPr>
              <w:t>…</w:t>
            </w:r>
          </w:p>
          <w:p w:rsidR="009113BA" w:rsidRPr="009113BA" w:rsidRDefault="009113BA" w:rsidP="009113BA">
            <w:pPr>
              <w:tabs>
                <w:tab w:val="left" w:pos="288"/>
                <w:tab w:val="left" w:pos="576"/>
                <w:tab w:val="left" w:pos="864"/>
                <w:tab w:val="left" w:pos="1152"/>
              </w:tabs>
              <w:suppressAutoHyphens/>
              <w:spacing w:before="40" w:after="80"/>
              <w:ind w:right="115"/>
              <w:rPr>
                <w:lang w:val="fr-FR"/>
              </w:rPr>
            </w:pPr>
            <w:r w:rsidRPr="009113BA">
              <w:rPr>
                <w:lang w:val="fr-FR"/>
              </w:rPr>
              <w:t>3. La mesure doit être continue;</w:t>
            </w:r>
          </w:p>
          <w:p w:rsidR="009113BA" w:rsidRPr="009113BA" w:rsidRDefault="009113BA" w:rsidP="009113BA">
            <w:pPr>
              <w:tabs>
                <w:tab w:val="left" w:pos="288"/>
                <w:tab w:val="left" w:pos="576"/>
                <w:tab w:val="left" w:pos="864"/>
                <w:tab w:val="left" w:pos="1152"/>
              </w:tabs>
              <w:suppressAutoHyphens/>
              <w:spacing w:before="40" w:after="80"/>
              <w:ind w:right="115"/>
              <w:rPr>
                <w:lang w:val="fr-FR"/>
              </w:rPr>
            </w:pPr>
            <w:r w:rsidRPr="009113BA">
              <w:rPr>
                <w:lang w:val="fr-FR"/>
              </w:rPr>
              <w:t xml:space="preserve">4. Lorsque la concentration </w:t>
            </w:r>
            <w:r w:rsidRPr="009113BA">
              <w:rPr>
                <w:u w:val="single"/>
                <w:lang w:val="fr-FR"/>
              </w:rPr>
              <w:t>de gaz inflammables</w:t>
            </w:r>
            <w:r w:rsidRPr="009113BA">
              <w:rPr>
                <w:lang w:val="fr-FR"/>
              </w:rPr>
              <w:t xml:space="preserve"> atteint 20 % </w:t>
            </w:r>
            <w:r w:rsidR="001F406A">
              <w:rPr>
                <w:lang w:val="fr-FR"/>
              </w:rPr>
              <w:br/>
            </w:r>
            <w:r w:rsidRPr="009113BA">
              <w:rPr>
                <w:lang w:val="fr-FR"/>
              </w:rPr>
              <w:t xml:space="preserve">de la </w:t>
            </w:r>
            <w:r w:rsidRPr="001F406A">
              <w:rPr>
                <w:strike/>
                <w:lang w:val="fr-FR"/>
              </w:rPr>
              <w:t>limite inférieure d’explosion</w:t>
            </w:r>
            <w:r w:rsidRPr="009113BA">
              <w:rPr>
                <w:lang w:val="fr-FR"/>
              </w:rPr>
              <w:t xml:space="preserve"> </w:t>
            </w:r>
            <w:r w:rsidRPr="009113BA">
              <w:rPr>
                <w:u w:val="single"/>
                <w:lang w:val="fr-FR"/>
              </w:rPr>
              <w:t>LIE</w:t>
            </w:r>
            <w:r w:rsidRPr="009113BA">
              <w:rPr>
                <w:lang w:val="fr-FR"/>
              </w:rPr>
              <w:t xml:space="preserve">, les ventilateurs doivent être arrêtés. Dans ce cas, et lorsque la surpression n’est plus maintenue </w:t>
            </w:r>
            <w:r w:rsidR="001F406A">
              <w:rPr>
                <w:lang w:val="fr-FR"/>
              </w:rPr>
              <w:br/>
            </w:r>
            <w:r w:rsidRPr="009113BA">
              <w:rPr>
                <w:lang w:val="fr-FR"/>
              </w:rPr>
              <w:t xml:space="preserve">ou en cas de défaillance de l’installation de détection de gaz </w:t>
            </w:r>
            <w:r w:rsidRPr="009113BA">
              <w:rPr>
                <w:u w:val="single"/>
                <w:lang w:val="fr-FR"/>
              </w:rPr>
              <w:t>inflammables</w:t>
            </w:r>
            <w:r w:rsidRPr="009113BA">
              <w:rPr>
                <w:lang w:val="fr-FR"/>
              </w:rPr>
              <w:t xml:space="preserve">, </w:t>
            </w:r>
            <w:r w:rsidR="001F406A">
              <w:rPr>
                <w:lang w:val="fr-FR"/>
              </w:rPr>
              <w:t>l</w:t>
            </w:r>
            <w:r w:rsidRPr="009113BA">
              <w:rPr>
                <w:lang w:val="fr-FR"/>
              </w:rPr>
              <w:t>es installations électriques qui ne sont pas conformes aux prescriptions du paragraphe</w:t>
            </w:r>
            <w:r w:rsidR="001F406A">
              <w:rPr>
                <w:lang w:val="fr-FR"/>
              </w:rPr>
              <w:t> </w:t>
            </w:r>
            <w:r w:rsidRPr="009113BA">
              <w:rPr>
                <w:lang w:val="fr-FR"/>
              </w:rPr>
              <w:t xml:space="preserve">a) ci-dessus doivent être arrêtées. </w:t>
            </w:r>
            <w:r w:rsidR="001F406A">
              <w:rPr>
                <w:lang w:val="fr-FR"/>
              </w:rPr>
              <w:br/>
            </w:r>
            <w:r w:rsidRPr="009113BA">
              <w:rPr>
                <w:lang w:val="fr-FR"/>
              </w:rPr>
              <w:t xml:space="preserve">Ces opérations doivent être effectuées immédiatement et automatiquement et doivent enclencher un éclairage de secours </w:t>
            </w:r>
            <w:r w:rsidR="001F406A">
              <w:rPr>
                <w:lang w:val="fr-FR"/>
              </w:rPr>
              <w:br/>
            </w:r>
            <w:r w:rsidRPr="009113BA">
              <w:rPr>
                <w:lang w:val="fr-FR"/>
              </w:rPr>
              <w:t xml:space="preserve">dans les logements, la timonerie et les locaux de service, qui corresponde au minimum au type pour risque limité d’explosion. L’arrêt doit être signalé dans les logements et la timonerie </w:t>
            </w:r>
            <w:r w:rsidR="001F406A">
              <w:rPr>
                <w:lang w:val="fr-FR"/>
              </w:rPr>
              <w:br/>
            </w:r>
            <w:r w:rsidRPr="009113BA">
              <w:rPr>
                <w:lang w:val="fr-FR"/>
              </w:rPr>
              <w:t>par des avertisseurs optiques et acoustiques;</w:t>
            </w:r>
          </w:p>
          <w:p w:rsidR="009113BA" w:rsidRPr="009113BA" w:rsidRDefault="009113BA" w:rsidP="009113BA">
            <w:pPr>
              <w:tabs>
                <w:tab w:val="left" w:pos="288"/>
                <w:tab w:val="left" w:pos="576"/>
                <w:tab w:val="left" w:pos="864"/>
                <w:tab w:val="left" w:pos="1152"/>
              </w:tabs>
              <w:suppressAutoHyphens/>
              <w:spacing w:before="40" w:after="80"/>
              <w:ind w:right="115"/>
              <w:rPr>
                <w:lang w:val="fr-FR"/>
              </w:rPr>
            </w:pPr>
            <w:r w:rsidRPr="009113BA">
              <w:rPr>
                <w:lang w:val="fr-FR"/>
              </w:rPr>
              <w:t xml:space="preserve">5. Le système de ventilation, l’installation de détection de gaz </w:t>
            </w:r>
            <w:r w:rsidRPr="009113BA">
              <w:rPr>
                <w:u w:val="single"/>
                <w:lang w:val="fr-FR"/>
              </w:rPr>
              <w:t>inflammables</w:t>
            </w:r>
            <w:r w:rsidRPr="009113BA">
              <w:rPr>
                <w:lang w:val="fr-FR"/>
              </w:rPr>
              <w:t xml:space="preserve"> et l’alarme du dispositif d’arrêt doivent être entièrement conformes aux prescriptions du paragraphe</w:t>
            </w:r>
            <w:r w:rsidR="001F406A">
              <w:rPr>
                <w:lang w:val="fr-FR"/>
              </w:rPr>
              <w:t> </w:t>
            </w:r>
            <w:r w:rsidRPr="009113BA">
              <w:rPr>
                <w:lang w:val="fr-FR"/>
              </w:rPr>
              <w:t>a) ci-dessus;</w:t>
            </w:r>
          </w:p>
          <w:p w:rsidR="005C6BB2" w:rsidRPr="00786CC3" w:rsidRDefault="009113BA" w:rsidP="009113BA">
            <w:pPr>
              <w:tabs>
                <w:tab w:val="left" w:pos="288"/>
                <w:tab w:val="left" w:pos="576"/>
                <w:tab w:val="left" w:pos="864"/>
                <w:tab w:val="left" w:pos="1152"/>
              </w:tabs>
              <w:suppressAutoHyphens/>
              <w:spacing w:before="40" w:after="80"/>
              <w:ind w:right="115"/>
              <w:rPr>
                <w:lang w:val="fr-FR"/>
              </w:rPr>
            </w:pPr>
            <w:r w:rsidRPr="009113BA">
              <w:rPr>
                <w:lang w:val="fr-FR"/>
              </w:rPr>
              <w:t>…</w:t>
            </w:r>
          </w:p>
        </w:tc>
        <w:tc>
          <w:tcPr>
            <w:tcW w:w="5454" w:type="dxa"/>
            <w:shd w:val="clear" w:color="auto" w:fill="auto"/>
          </w:tcPr>
          <w:p w:rsidR="005C6BB2" w:rsidRPr="00786CC3" w:rsidRDefault="005C6BB2" w:rsidP="009642F0">
            <w:pPr>
              <w:tabs>
                <w:tab w:val="left" w:pos="288"/>
                <w:tab w:val="left" w:pos="576"/>
                <w:tab w:val="left" w:pos="864"/>
                <w:tab w:val="left" w:pos="1152"/>
              </w:tabs>
              <w:suppressAutoHyphens/>
              <w:spacing w:before="40" w:after="80"/>
              <w:ind w:right="115"/>
              <w:rPr>
                <w:lang w:val="fr-FR"/>
              </w:rPr>
            </w:pPr>
          </w:p>
        </w:tc>
      </w:tr>
      <w:tr w:rsidR="00DA2769" w:rsidRPr="00932192" w:rsidTr="00022E93">
        <w:tc>
          <w:tcPr>
            <w:tcW w:w="13182" w:type="dxa"/>
            <w:gridSpan w:val="3"/>
            <w:shd w:val="clear" w:color="auto" w:fill="auto"/>
          </w:tcPr>
          <w:p w:rsidR="00DA2769" w:rsidRPr="00786CC3" w:rsidRDefault="00DA2769" w:rsidP="009642F0">
            <w:pPr>
              <w:tabs>
                <w:tab w:val="left" w:pos="288"/>
                <w:tab w:val="left" w:pos="576"/>
                <w:tab w:val="left" w:pos="864"/>
                <w:tab w:val="left" w:pos="1152"/>
              </w:tabs>
              <w:suppressAutoHyphens/>
              <w:spacing w:before="40" w:after="80"/>
              <w:ind w:right="115"/>
              <w:rPr>
                <w:lang w:val="fr-FR"/>
              </w:rPr>
            </w:pPr>
            <w:r w:rsidRPr="00DA2769">
              <w:rPr>
                <w:b/>
                <w:lang w:val="fr-FR"/>
              </w:rPr>
              <w:t>Bateaux-citernes, type C/N</w:t>
            </w:r>
          </w:p>
        </w:tc>
      </w:tr>
      <w:tr w:rsidR="005C6BB2" w:rsidRPr="00786CC3" w:rsidTr="00022E93">
        <w:tc>
          <w:tcPr>
            <w:tcW w:w="1437" w:type="dxa"/>
            <w:tcBorders>
              <w:bottom w:val="single" w:sz="12" w:space="0" w:color="auto"/>
            </w:tcBorders>
            <w:shd w:val="clear" w:color="auto" w:fill="auto"/>
          </w:tcPr>
          <w:p w:rsidR="00BE2049" w:rsidRDefault="00BE2049" w:rsidP="00BE2049">
            <w:pPr>
              <w:tabs>
                <w:tab w:val="left" w:pos="288"/>
                <w:tab w:val="left" w:pos="576"/>
                <w:tab w:val="left" w:pos="864"/>
                <w:tab w:val="left" w:pos="1152"/>
              </w:tabs>
              <w:suppressAutoHyphens/>
              <w:spacing w:before="40" w:after="80"/>
              <w:ind w:right="115"/>
              <w:rPr>
                <w:bCs/>
                <w:lang w:val="fr-FR"/>
              </w:rPr>
            </w:pPr>
            <w:r w:rsidRPr="00BE2049">
              <w:rPr>
                <w:bCs/>
                <w:lang w:val="fr-FR"/>
              </w:rPr>
              <w:t>9.3.2.42.4/</w:t>
            </w:r>
          </w:p>
          <w:p w:rsidR="005C6BB2" w:rsidRPr="00786CC3" w:rsidRDefault="00BE2049" w:rsidP="00BE2049">
            <w:pPr>
              <w:tabs>
                <w:tab w:val="left" w:pos="288"/>
                <w:tab w:val="left" w:pos="576"/>
                <w:tab w:val="left" w:pos="864"/>
                <w:tab w:val="left" w:pos="1152"/>
              </w:tabs>
              <w:suppressAutoHyphens/>
              <w:spacing w:before="40" w:after="80"/>
              <w:ind w:right="115"/>
              <w:rPr>
                <w:lang w:val="fr-FR"/>
              </w:rPr>
            </w:pPr>
            <w:r w:rsidRPr="00BE2049">
              <w:rPr>
                <w:bCs/>
                <w:lang w:val="fr-FR"/>
              </w:rPr>
              <w:t>9.3.3.42.4</w:t>
            </w:r>
          </w:p>
        </w:tc>
        <w:tc>
          <w:tcPr>
            <w:tcW w:w="6291" w:type="dxa"/>
            <w:tcBorders>
              <w:bottom w:val="single" w:sz="12" w:space="0" w:color="auto"/>
            </w:tcBorders>
            <w:shd w:val="clear" w:color="auto" w:fill="auto"/>
          </w:tcPr>
          <w:p w:rsidR="00BE2049" w:rsidRPr="00BE2049" w:rsidRDefault="00BE2049" w:rsidP="00BE2049">
            <w:pPr>
              <w:tabs>
                <w:tab w:val="left" w:pos="288"/>
                <w:tab w:val="left" w:pos="576"/>
                <w:tab w:val="left" w:pos="864"/>
                <w:tab w:val="left" w:pos="1152"/>
              </w:tabs>
              <w:suppressAutoHyphens/>
              <w:spacing w:before="40" w:after="80"/>
              <w:ind w:right="115"/>
              <w:rPr>
                <w:lang w:val="fr-FR"/>
              </w:rPr>
            </w:pPr>
            <w:r w:rsidRPr="00BE2049">
              <w:rPr>
                <w:lang w:val="fr-FR"/>
              </w:rPr>
              <w:t xml:space="preserve">Si l’installation de chauffage de la cargaison est utilisée lors du chargement, du déchargement ou du dégazage </w:t>
            </w:r>
            <w:r w:rsidRPr="00BE2049">
              <w:rPr>
                <w:u w:val="single"/>
                <w:lang w:val="fr-FR"/>
              </w:rPr>
              <w:t>avec une concentration supérieure ou égale à 10 % de la LIE</w:t>
            </w:r>
            <w:r w:rsidRPr="00BE2049">
              <w:rPr>
                <w:lang w:val="fr-FR"/>
              </w:rPr>
              <w:t xml:space="preserve">, le local de service dans lequel est placée l’installation doit répondre entièrement aux prescriptions du 9.3.2.52.3. Cette prescription ne s’applique pas aux orifices d’aspiration du système de ventilation. </w:t>
            </w:r>
          </w:p>
          <w:p w:rsidR="005C6BB2" w:rsidRPr="00786CC3" w:rsidRDefault="00BE2049" w:rsidP="00BE2049">
            <w:pPr>
              <w:tabs>
                <w:tab w:val="left" w:pos="288"/>
                <w:tab w:val="left" w:pos="576"/>
                <w:tab w:val="left" w:pos="864"/>
                <w:tab w:val="left" w:pos="1152"/>
              </w:tabs>
              <w:suppressAutoHyphens/>
              <w:spacing w:before="40" w:after="80"/>
              <w:ind w:right="115"/>
              <w:rPr>
                <w:lang w:val="fr-FR"/>
              </w:rPr>
            </w:pPr>
            <w:r w:rsidRPr="00BE2049">
              <w:rPr>
                <w:lang w:val="fr-FR"/>
              </w:rPr>
              <w:t>…</w:t>
            </w:r>
          </w:p>
        </w:tc>
        <w:tc>
          <w:tcPr>
            <w:tcW w:w="5454" w:type="dxa"/>
            <w:tcBorders>
              <w:bottom w:val="single" w:sz="12" w:space="0" w:color="auto"/>
            </w:tcBorders>
            <w:shd w:val="clear" w:color="auto" w:fill="auto"/>
          </w:tcPr>
          <w:p w:rsidR="005C6BB2" w:rsidRPr="00786CC3" w:rsidRDefault="005C6BB2" w:rsidP="009642F0">
            <w:pPr>
              <w:tabs>
                <w:tab w:val="left" w:pos="288"/>
                <w:tab w:val="left" w:pos="576"/>
                <w:tab w:val="left" w:pos="864"/>
                <w:tab w:val="left" w:pos="1152"/>
              </w:tabs>
              <w:suppressAutoHyphens/>
              <w:spacing w:before="40" w:after="80"/>
              <w:ind w:right="115"/>
              <w:rPr>
                <w:lang w:val="fr-FR"/>
              </w:rPr>
            </w:pPr>
          </w:p>
        </w:tc>
      </w:tr>
    </w:tbl>
    <w:p w:rsidR="00A93121" w:rsidRPr="003F363D" w:rsidRDefault="00A93121" w:rsidP="00E643EE">
      <w:pPr>
        <w:pStyle w:val="SingleTxt"/>
        <w:rPr>
          <w:lang w:val="fr-FR"/>
        </w:rPr>
        <w:sectPr w:rsidR="00A93121" w:rsidRPr="003F363D" w:rsidSect="00A93121">
          <w:headerReference w:type="even" r:id="rId15"/>
          <w:headerReference w:type="default" r:id="rId16"/>
          <w:footerReference w:type="even" r:id="rId17"/>
          <w:footerReference w:type="default" r:id="rId18"/>
          <w:pgSz w:w="16834" w:h="11909" w:orient="landscape"/>
          <w:pgMar w:top="1195" w:right="1742" w:bottom="1195" w:left="1901" w:header="576" w:footer="1037" w:gutter="0"/>
          <w:cols w:space="720"/>
          <w:noEndnote/>
          <w:bidi/>
          <w:rtlGutter/>
          <w:docGrid w:linePitch="360"/>
        </w:sectPr>
      </w:pPr>
    </w:p>
    <w:p w:rsidR="00A93121" w:rsidRPr="003F363D" w:rsidRDefault="00CF4B64" w:rsidP="00A93121">
      <w:pPr>
        <w:spacing w:line="240" w:lineRule="auto"/>
        <w:rPr>
          <w:lang w:val="fr-FR"/>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960120</wp:posOffset>
                </wp:positionH>
                <wp:positionV relativeFrom="page">
                  <wp:posOffset>3566160</wp:posOffset>
                </wp:positionV>
                <wp:extent cx="0" cy="9144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75.6pt,280.8pt" to="75.6pt,3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" strokecolor="#010000" strokeweight=".25pt">
                <w10:wrap anchorx="page" anchory="page"/>
              </v:line>
            </w:pict>
          </mc:Fallback>
        </mc:AlternateContent>
      </w:r>
    </w:p>
    <w:sectPr w:rsidR="00A93121" w:rsidRPr="003F363D" w:rsidSect="00E1160C">
      <w:headerReference w:type="even" r:id="rId19"/>
      <w:headerReference w:type="default" r:id="rId20"/>
      <w:footerReference w:type="even" r:id="rId21"/>
      <w:footerReference w:type="default" r:id="rId22"/>
      <w:type w:val="continuous"/>
      <w:pgSz w:w="16834" w:h="11909" w:orient="landscape"/>
      <w:pgMar w:top="936" w:right="1742" w:bottom="936" w:left="1898"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C7A" w:rsidRDefault="00665C7A" w:rsidP="00F3330B">
      <w:pPr>
        <w:spacing w:line="240" w:lineRule="auto"/>
      </w:pPr>
      <w:r>
        <w:separator/>
      </w:r>
    </w:p>
  </w:endnote>
  <w:endnote w:type="continuationSeparator" w:id="0">
    <w:p w:rsidR="00665C7A" w:rsidRDefault="00665C7A"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65C7A" w:rsidTr="00496EED">
      <w:trPr>
        <w:jc w:val="center"/>
      </w:trPr>
      <w:tc>
        <w:tcPr>
          <w:tcW w:w="5126" w:type="dxa"/>
          <w:shd w:val="clear" w:color="auto" w:fill="auto"/>
        </w:tcPr>
        <w:p w:rsidR="00665C7A" w:rsidRPr="00496EED" w:rsidRDefault="00665C7A" w:rsidP="00496EE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32192">
            <w:rPr>
              <w:b w:val="0"/>
              <w:w w:val="103"/>
              <w:sz w:val="14"/>
            </w:rPr>
            <w:t>GE. 15-08909</w:t>
          </w:r>
          <w:r>
            <w:rPr>
              <w:b w:val="0"/>
              <w:w w:val="103"/>
              <w:sz w:val="14"/>
            </w:rPr>
            <w:fldChar w:fldCharType="end"/>
          </w:r>
        </w:p>
      </w:tc>
      <w:tc>
        <w:tcPr>
          <w:tcW w:w="5127" w:type="dxa"/>
          <w:shd w:val="clear" w:color="auto" w:fill="auto"/>
        </w:tcPr>
        <w:p w:rsidR="00665C7A" w:rsidRPr="00496EED" w:rsidRDefault="00665C7A" w:rsidP="00496EED">
          <w:pPr>
            <w:pStyle w:val="Footer"/>
            <w:rPr>
              <w:w w:val="103"/>
            </w:rPr>
          </w:pPr>
          <w:r>
            <w:rPr>
              <w:w w:val="103"/>
            </w:rPr>
            <w:fldChar w:fldCharType="begin"/>
          </w:r>
          <w:r>
            <w:rPr>
              <w:w w:val="103"/>
            </w:rPr>
            <w:instrText xml:space="preserve"> PAGE  \* Arabic  \* MERGEFORMAT </w:instrText>
          </w:r>
          <w:r>
            <w:rPr>
              <w:w w:val="103"/>
            </w:rPr>
            <w:fldChar w:fldCharType="separate"/>
          </w:r>
          <w:r w:rsidR="00932192">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32192">
            <w:rPr>
              <w:noProof/>
              <w:w w:val="103"/>
            </w:rPr>
            <w:t>18</w:t>
          </w:r>
          <w:r>
            <w:rPr>
              <w:w w:val="103"/>
            </w:rPr>
            <w:fldChar w:fldCharType="end"/>
          </w:r>
        </w:p>
      </w:tc>
    </w:tr>
  </w:tbl>
  <w:p w:rsidR="00665C7A" w:rsidRPr="00496EED" w:rsidRDefault="00665C7A" w:rsidP="00496E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65C7A" w:rsidTr="00496EED">
      <w:trPr>
        <w:jc w:val="center"/>
      </w:trPr>
      <w:tc>
        <w:tcPr>
          <w:tcW w:w="5126" w:type="dxa"/>
          <w:shd w:val="clear" w:color="auto" w:fill="auto"/>
        </w:tcPr>
        <w:p w:rsidR="00665C7A" w:rsidRPr="00496EED" w:rsidRDefault="00665C7A" w:rsidP="00496EE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32192">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32192">
            <w:rPr>
              <w:noProof/>
              <w:w w:val="103"/>
            </w:rPr>
            <w:t>18</w:t>
          </w:r>
          <w:r>
            <w:rPr>
              <w:w w:val="103"/>
            </w:rPr>
            <w:fldChar w:fldCharType="end"/>
          </w:r>
        </w:p>
      </w:tc>
      <w:tc>
        <w:tcPr>
          <w:tcW w:w="5127" w:type="dxa"/>
          <w:shd w:val="clear" w:color="auto" w:fill="auto"/>
        </w:tcPr>
        <w:p w:rsidR="00665C7A" w:rsidRPr="00496EED" w:rsidRDefault="00665C7A" w:rsidP="00496EE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32192">
            <w:rPr>
              <w:b w:val="0"/>
              <w:w w:val="103"/>
              <w:sz w:val="14"/>
            </w:rPr>
            <w:t>GE. 15-08909</w:t>
          </w:r>
          <w:r>
            <w:rPr>
              <w:b w:val="0"/>
              <w:w w:val="103"/>
              <w:sz w:val="14"/>
            </w:rPr>
            <w:fldChar w:fldCharType="end"/>
          </w:r>
        </w:p>
      </w:tc>
    </w:tr>
  </w:tbl>
  <w:p w:rsidR="00665C7A" w:rsidRPr="00496EED" w:rsidRDefault="00665C7A" w:rsidP="00496E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7A" w:rsidRDefault="00665C7A">
    <w:pPr>
      <w:pStyle w:val="Footer"/>
    </w:pPr>
    <w:r>
      <w:rPr>
        <w:noProof/>
        <w:lang w:val="en-GB" w:eastAsia="en-GB"/>
      </w:rPr>
      <w:drawing>
        <wp:anchor distT="0" distB="0" distL="114300" distR="114300" simplePos="0" relativeHeight="251658240" behindDoc="0" locked="0" layoutInCell="1" allowOverlap="1" wp14:anchorId="23C79271" wp14:editId="3A49C9AD">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2/2015/2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2/2015/2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665C7A" w:rsidTr="00496EED">
      <w:tc>
        <w:tcPr>
          <w:tcW w:w="3859" w:type="dxa"/>
        </w:tcPr>
        <w:p w:rsidR="00665C7A" w:rsidRDefault="00665C7A" w:rsidP="00496EE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32192">
            <w:rPr>
              <w:b w:val="0"/>
              <w:sz w:val="20"/>
            </w:rPr>
            <w:t>GE. 15-08909 (F)</w:t>
          </w:r>
          <w:r>
            <w:rPr>
              <w:b w:val="0"/>
              <w:sz w:val="20"/>
            </w:rPr>
            <w:fldChar w:fldCharType="end"/>
          </w:r>
          <w:r>
            <w:rPr>
              <w:b w:val="0"/>
              <w:sz w:val="20"/>
            </w:rPr>
            <w:t xml:space="preserve">    290615    010715</w:t>
          </w:r>
        </w:p>
        <w:p w:rsidR="00665C7A" w:rsidRPr="00496EED" w:rsidRDefault="00665C7A" w:rsidP="00496EE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32192">
            <w:rPr>
              <w:rFonts w:ascii="Barcode 3 of 9 by request" w:hAnsi="Barcode 3 of 9 by request"/>
              <w:b w:val="0"/>
              <w:spacing w:val="0"/>
              <w:w w:val="100"/>
              <w:sz w:val="24"/>
            </w:rPr>
            <w:t>*1508909*</w:t>
          </w:r>
          <w:r>
            <w:rPr>
              <w:rFonts w:ascii="Barcode 3 of 9 by request" w:hAnsi="Barcode 3 of 9 by request"/>
              <w:b w:val="0"/>
              <w:spacing w:val="0"/>
              <w:w w:val="100"/>
              <w:sz w:val="24"/>
            </w:rPr>
            <w:fldChar w:fldCharType="end"/>
          </w:r>
        </w:p>
      </w:tc>
      <w:tc>
        <w:tcPr>
          <w:tcW w:w="5127" w:type="dxa"/>
        </w:tcPr>
        <w:p w:rsidR="00665C7A" w:rsidRDefault="00665C7A" w:rsidP="00496EED">
          <w:pPr>
            <w:pStyle w:val="Footer"/>
            <w:spacing w:line="240" w:lineRule="atLeast"/>
            <w:jc w:val="right"/>
            <w:rPr>
              <w:b w:val="0"/>
              <w:sz w:val="20"/>
            </w:rPr>
          </w:pPr>
          <w:r>
            <w:rPr>
              <w:b w:val="0"/>
              <w:noProof/>
              <w:sz w:val="20"/>
              <w:lang w:val="en-GB" w:eastAsia="en-GB"/>
            </w:rPr>
            <w:drawing>
              <wp:inline distT="0" distB="0" distL="0" distR="0" wp14:anchorId="3BCAB668" wp14:editId="6AC4955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665C7A" w:rsidRPr="00496EED" w:rsidRDefault="00665C7A" w:rsidP="00496EED">
    <w:pPr>
      <w:pStyle w:val="Footer"/>
      <w:spacing w:line="56" w:lineRule="exact"/>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665C7A" w:rsidRPr="00A93121" w:rsidTr="00A93121">
      <w:trPr>
        <w:cantSplit/>
        <w:trHeight w:val="4925"/>
      </w:trPr>
      <w:tc>
        <w:tcPr>
          <w:tcW w:w="13407" w:type="dxa"/>
          <w:shd w:val="clear" w:color="auto" w:fill="auto"/>
          <w:textDirection w:val="tbRl"/>
        </w:tcPr>
        <w:p w:rsidR="00665C7A" w:rsidRPr="00A93121" w:rsidRDefault="00665C7A" w:rsidP="00A93121">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932192">
            <w:rPr>
              <w:noProof/>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32192">
            <w:rPr>
              <w:noProof/>
              <w:w w:val="103"/>
            </w:rPr>
            <w:t>18</w:t>
          </w:r>
          <w:r>
            <w:rPr>
              <w:w w:val="103"/>
            </w:rPr>
            <w:fldChar w:fldCharType="end"/>
          </w:r>
        </w:p>
      </w:tc>
    </w:tr>
    <w:tr w:rsidR="00665C7A" w:rsidRPr="00A93121" w:rsidTr="00A93121">
      <w:trPr>
        <w:cantSplit/>
        <w:trHeight w:val="4925"/>
      </w:trPr>
      <w:tc>
        <w:tcPr>
          <w:tcW w:w="13407" w:type="dxa"/>
          <w:shd w:val="clear" w:color="auto" w:fill="auto"/>
          <w:textDirection w:val="tbRl"/>
        </w:tcPr>
        <w:p w:rsidR="00665C7A" w:rsidRPr="00A93121" w:rsidRDefault="00665C7A" w:rsidP="00A93121">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32192">
            <w:rPr>
              <w:b w:val="0"/>
              <w:w w:val="103"/>
              <w:sz w:val="14"/>
            </w:rPr>
            <w:t>GE. 15-08909</w:t>
          </w:r>
          <w:r>
            <w:rPr>
              <w:b w:val="0"/>
              <w:w w:val="103"/>
              <w:sz w:val="14"/>
            </w:rPr>
            <w:fldChar w:fldCharType="end"/>
          </w:r>
        </w:p>
      </w:tc>
    </w:tr>
  </w:tbl>
  <w:p w:rsidR="00665C7A" w:rsidRPr="00A93121" w:rsidRDefault="00665C7A" w:rsidP="00A9312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665C7A" w:rsidRPr="00A93121" w:rsidTr="00A93121">
      <w:trPr>
        <w:cantSplit/>
        <w:trHeight w:val="4925"/>
      </w:trPr>
      <w:tc>
        <w:tcPr>
          <w:tcW w:w="13407" w:type="dxa"/>
          <w:shd w:val="clear" w:color="auto" w:fill="auto"/>
          <w:textDirection w:val="tbRl"/>
        </w:tcPr>
        <w:p w:rsidR="00665C7A" w:rsidRPr="00A93121" w:rsidRDefault="00665C7A" w:rsidP="00A93121">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32192">
            <w:rPr>
              <w:b w:val="0"/>
              <w:w w:val="103"/>
              <w:sz w:val="14"/>
            </w:rPr>
            <w:t>GE. 15-08909</w:t>
          </w:r>
          <w:r>
            <w:rPr>
              <w:b w:val="0"/>
              <w:w w:val="103"/>
              <w:sz w:val="14"/>
            </w:rPr>
            <w:fldChar w:fldCharType="end"/>
          </w:r>
        </w:p>
      </w:tc>
    </w:tr>
    <w:tr w:rsidR="00665C7A" w:rsidRPr="00A93121" w:rsidTr="00A93121">
      <w:trPr>
        <w:cantSplit/>
        <w:trHeight w:val="4925"/>
      </w:trPr>
      <w:tc>
        <w:tcPr>
          <w:tcW w:w="13407" w:type="dxa"/>
          <w:shd w:val="clear" w:color="auto" w:fill="auto"/>
          <w:textDirection w:val="tbRl"/>
        </w:tcPr>
        <w:p w:rsidR="00665C7A" w:rsidRPr="00A93121" w:rsidRDefault="00665C7A" w:rsidP="00A93121">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932192">
            <w:rPr>
              <w:noProof/>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32192">
            <w:rPr>
              <w:noProof/>
              <w:w w:val="103"/>
            </w:rPr>
            <w:t>18</w:t>
          </w:r>
          <w:r>
            <w:rPr>
              <w:w w:val="103"/>
            </w:rPr>
            <w:fldChar w:fldCharType="end"/>
          </w:r>
        </w:p>
      </w:tc>
    </w:tr>
  </w:tbl>
  <w:p w:rsidR="00665C7A" w:rsidRPr="00A93121" w:rsidRDefault="00665C7A" w:rsidP="00A9312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65C7A" w:rsidTr="00496EED">
      <w:trPr>
        <w:jc w:val="center"/>
      </w:trPr>
      <w:tc>
        <w:tcPr>
          <w:tcW w:w="5126" w:type="dxa"/>
          <w:shd w:val="clear" w:color="auto" w:fill="auto"/>
        </w:tcPr>
        <w:p w:rsidR="00665C7A" w:rsidRPr="00496EED" w:rsidRDefault="00665C7A" w:rsidP="00496EE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32192">
            <w:rPr>
              <w:b w:val="0"/>
              <w:w w:val="103"/>
              <w:sz w:val="14"/>
            </w:rPr>
            <w:t>GE. 15-08909</w:t>
          </w:r>
          <w:r>
            <w:rPr>
              <w:b w:val="0"/>
              <w:w w:val="103"/>
              <w:sz w:val="14"/>
            </w:rPr>
            <w:fldChar w:fldCharType="end"/>
          </w:r>
        </w:p>
      </w:tc>
      <w:tc>
        <w:tcPr>
          <w:tcW w:w="5127" w:type="dxa"/>
          <w:shd w:val="clear" w:color="auto" w:fill="auto"/>
        </w:tcPr>
        <w:p w:rsidR="00665C7A" w:rsidRPr="00496EED" w:rsidRDefault="00665C7A" w:rsidP="00496EED">
          <w:pPr>
            <w:pStyle w:val="Footer"/>
            <w:rPr>
              <w:w w:val="103"/>
            </w:rPr>
          </w:pPr>
          <w:r>
            <w:rPr>
              <w:w w:val="103"/>
            </w:rPr>
            <w:fldChar w:fldCharType="begin"/>
          </w:r>
          <w:r>
            <w:rPr>
              <w:w w:val="103"/>
            </w:rPr>
            <w:instrText xml:space="preserve"> PAGE  \* Arabic  \* MERGEFORMAT </w:instrText>
          </w:r>
          <w:r>
            <w:rPr>
              <w:w w:val="103"/>
            </w:rPr>
            <w:fldChar w:fldCharType="separate"/>
          </w:r>
          <w:r w:rsidR="00272F5B">
            <w:rPr>
              <w:noProof/>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32192">
            <w:rPr>
              <w:noProof/>
              <w:w w:val="103"/>
            </w:rPr>
            <w:t>18</w:t>
          </w:r>
          <w:r>
            <w:rPr>
              <w:w w:val="103"/>
            </w:rPr>
            <w:fldChar w:fldCharType="end"/>
          </w:r>
        </w:p>
      </w:tc>
    </w:tr>
  </w:tbl>
  <w:p w:rsidR="00665C7A" w:rsidRPr="00496EED" w:rsidRDefault="00665C7A" w:rsidP="00496EE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65C7A" w:rsidTr="00496EED">
      <w:trPr>
        <w:jc w:val="center"/>
      </w:trPr>
      <w:tc>
        <w:tcPr>
          <w:tcW w:w="5126" w:type="dxa"/>
          <w:shd w:val="clear" w:color="auto" w:fill="auto"/>
        </w:tcPr>
        <w:p w:rsidR="00665C7A" w:rsidRPr="00496EED" w:rsidRDefault="00665C7A" w:rsidP="00496EE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72F5B">
            <w:rPr>
              <w:noProof/>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32192">
            <w:rPr>
              <w:noProof/>
              <w:w w:val="103"/>
            </w:rPr>
            <w:t>18</w:t>
          </w:r>
          <w:r>
            <w:rPr>
              <w:w w:val="103"/>
            </w:rPr>
            <w:fldChar w:fldCharType="end"/>
          </w:r>
        </w:p>
      </w:tc>
      <w:tc>
        <w:tcPr>
          <w:tcW w:w="5127" w:type="dxa"/>
          <w:shd w:val="clear" w:color="auto" w:fill="auto"/>
        </w:tcPr>
        <w:p w:rsidR="00665C7A" w:rsidRPr="00496EED" w:rsidRDefault="00665C7A" w:rsidP="00496EE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32192">
            <w:rPr>
              <w:b w:val="0"/>
              <w:w w:val="103"/>
              <w:sz w:val="14"/>
            </w:rPr>
            <w:t>GE. 15-08909</w:t>
          </w:r>
          <w:r>
            <w:rPr>
              <w:b w:val="0"/>
              <w:w w:val="103"/>
              <w:sz w:val="14"/>
            </w:rPr>
            <w:fldChar w:fldCharType="end"/>
          </w:r>
        </w:p>
      </w:tc>
    </w:tr>
  </w:tbl>
  <w:p w:rsidR="00665C7A" w:rsidRPr="00496EED" w:rsidRDefault="00665C7A" w:rsidP="00496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C7A" w:rsidRPr="00D013C2" w:rsidRDefault="00665C7A" w:rsidP="00D013C2">
      <w:pPr>
        <w:pStyle w:val="Footer"/>
        <w:spacing w:after="80"/>
        <w:ind w:left="792"/>
        <w:rPr>
          <w:sz w:val="16"/>
        </w:rPr>
      </w:pPr>
      <w:r w:rsidRPr="00D013C2">
        <w:rPr>
          <w:sz w:val="16"/>
        </w:rPr>
        <w:t>__________________</w:t>
      </w:r>
    </w:p>
  </w:footnote>
  <w:footnote w:type="continuationSeparator" w:id="0">
    <w:p w:rsidR="00665C7A" w:rsidRPr="00D013C2" w:rsidRDefault="00665C7A" w:rsidP="00D013C2">
      <w:pPr>
        <w:pStyle w:val="Footer"/>
        <w:spacing w:after="80"/>
        <w:ind w:left="792"/>
        <w:rPr>
          <w:sz w:val="16"/>
        </w:rPr>
      </w:pPr>
      <w:r w:rsidRPr="00D013C2">
        <w:rPr>
          <w:sz w:val="16"/>
        </w:rPr>
        <w:t>__________________</w:t>
      </w:r>
    </w:p>
  </w:footnote>
  <w:footnote w:id="1">
    <w:p w:rsidR="00665C7A" w:rsidRPr="00D013C2" w:rsidRDefault="00665C7A" w:rsidP="00D013C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tab/>
      </w:r>
      <w:r w:rsidRPr="00DC0E5A">
        <w:rPr>
          <w:rStyle w:val="FootnoteReference"/>
          <w:color w:val="auto"/>
        </w:rPr>
        <w:footnoteRef/>
      </w:r>
      <w:r w:rsidRPr="00932192">
        <w:rPr>
          <w:lang w:val="fr-CH"/>
        </w:rPr>
        <w:tab/>
        <w:t>Distribué en langue allemande par la Commission centrale pour la navigation du Rhin sous la cote CCNR-ZKR/AD</w:t>
      </w:r>
      <w:bookmarkStart w:id="1" w:name="insstart"/>
      <w:bookmarkEnd w:id="1"/>
      <w:r w:rsidRPr="00932192">
        <w:rPr>
          <w:lang w:val="fr-CH"/>
        </w:rPr>
        <w:t>N/WP.15/AC.2/2015/29.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665C7A" w:rsidTr="00496EED">
      <w:trPr>
        <w:trHeight w:hRule="exact" w:val="864"/>
        <w:jc w:val="center"/>
      </w:trPr>
      <w:tc>
        <w:tcPr>
          <w:tcW w:w="4882" w:type="dxa"/>
          <w:shd w:val="clear" w:color="auto" w:fill="auto"/>
          <w:vAlign w:val="bottom"/>
        </w:tcPr>
        <w:p w:rsidR="00665C7A" w:rsidRPr="00496EED" w:rsidRDefault="00665C7A" w:rsidP="00496EED">
          <w:pPr>
            <w:pStyle w:val="Header"/>
            <w:spacing w:after="80"/>
            <w:rPr>
              <w:b/>
            </w:rPr>
          </w:pPr>
          <w:r>
            <w:rPr>
              <w:b/>
            </w:rPr>
            <w:fldChar w:fldCharType="begin"/>
          </w:r>
          <w:r>
            <w:rPr>
              <w:b/>
            </w:rPr>
            <w:instrText xml:space="preserve"> DOCVARIABLE "sss1" \* MERGEFORMAT </w:instrText>
          </w:r>
          <w:r>
            <w:rPr>
              <w:b/>
            </w:rPr>
            <w:fldChar w:fldCharType="separate"/>
          </w:r>
          <w:r w:rsidR="00932192">
            <w:rPr>
              <w:b/>
            </w:rPr>
            <w:t>ECE/TRANS/WP.15/AC.2/2015/29</w:t>
          </w:r>
          <w:r>
            <w:rPr>
              <w:b/>
            </w:rPr>
            <w:fldChar w:fldCharType="end"/>
          </w:r>
        </w:p>
      </w:tc>
      <w:tc>
        <w:tcPr>
          <w:tcW w:w="5127" w:type="dxa"/>
          <w:shd w:val="clear" w:color="auto" w:fill="auto"/>
          <w:vAlign w:val="bottom"/>
        </w:tcPr>
        <w:p w:rsidR="00665C7A" w:rsidRDefault="00665C7A" w:rsidP="00496EED">
          <w:pPr>
            <w:pStyle w:val="Header"/>
          </w:pPr>
        </w:p>
      </w:tc>
    </w:tr>
  </w:tbl>
  <w:p w:rsidR="00665C7A" w:rsidRPr="00496EED" w:rsidRDefault="00665C7A" w:rsidP="00496E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665C7A" w:rsidTr="00496EED">
      <w:trPr>
        <w:trHeight w:hRule="exact" w:val="864"/>
        <w:jc w:val="center"/>
      </w:trPr>
      <w:tc>
        <w:tcPr>
          <w:tcW w:w="4882" w:type="dxa"/>
          <w:shd w:val="clear" w:color="auto" w:fill="auto"/>
          <w:vAlign w:val="bottom"/>
        </w:tcPr>
        <w:p w:rsidR="00665C7A" w:rsidRDefault="00665C7A" w:rsidP="00496EED">
          <w:pPr>
            <w:pStyle w:val="Header"/>
          </w:pPr>
        </w:p>
      </w:tc>
      <w:tc>
        <w:tcPr>
          <w:tcW w:w="5127" w:type="dxa"/>
          <w:shd w:val="clear" w:color="auto" w:fill="auto"/>
          <w:vAlign w:val="bottom"/>
        </w:tcPr>
        <w:p w:rsidR="00665C7A" w:rsidRPr="00496EED" w:rsidRDefault="00665C7A" w:rsidP="00496EED">
          <w:pPr>
            <w:pStyle w:val="Header"/>
            <w:spacing w:after="80"/>
            <w:jc w:val="right"/>
            <w:rPr>
              <w:b/>
            </w:rPr>
          </w:pPr>
          <w:r>
            <w:rPr>
              <w:b/>
            </w:rPr>
            <w:fldChar w:fldCharType="begin"/>
          </w:r>
          <w:r>
            <w:rPr>
              <w:b/>
            </w:rPr>
            <w:instrText xml:space="preserve"> DOCVARIABLE "sss1" \* MERGEFORMAT </w:instrText>
          </w:r>
          <w:r>
            <w:rPr>
              <w:b/>
            </w:rPr>
            <w:fldChar w:fldCharType="separate"/>
          </w:r>
          <w:r w:rsidR="00932192">
            <w:rPr>
              <w:b/>
            </w:rPr>
            <w:t>ECE/TRANS/WP.15/AC.2/2015/29</w:t>
          </w:r>
          <w:r>
            <w:rPr>
              <w:b/>
            </w:rPr>
            <w:fldChar w:fldCharType="end"/>
          </w:r>
        </w:p>
      </w:tc>
    </w:tr>
  </w:tbl>
  <w:p w:rsidR="00665C7A" w:rsidRPr="00496EED" w:rsidRDefault="00665C7A" w:rsidP="00496E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665C7A" w:rsidTr="00496EED">
      <w:trPr>
        <w:trHeight w:hRule="exact" w:val="864"/>
      </w:trPr>
      <w:tc>
        <w:tcPr>
          <w:tcW w:w="1267" w:type="dxa"/>
          <w:tcBorders>
            <w:bottom w:val="single" w:sz="4" w:space="0" w:color="auto"/>
          </w:tcBorders>
          <w:shd w:val="clear" w:color="auto" w:fill="auto"/>
          <w:vAlign w:val="bottom"/>
        </w:tcPr>
        <w:p w:rsidR="00665C7A" w:rsidRDefault="00665C7A" w:rsidP="00496EED">
          <w:pPr>
            <w:pStyle w:val="Header"/>
            <w:spacing w:after="120"/>
          </w:pPr>
        </w:p>
      </w:tc>
      <w:tc>
        <w:tcPr>
          <w:tcW w:w="2059" w:type="dxa"/>
          <w:tcBorders>
            <w:bottom w:val="single" w:sz="4" w:space="0" w:color="auto"/>
          </w:tcBorders>
          <w:shd w:val="clear" w:color="auto" w:fill="auto"/>
          <w:vAlign w:val="bottom"/>
        </w:tcPr>
        <w:p w:rsidR="00665C7A" w:rsidRPr="00496EED" w:rsidRDefault="00665C7A" w:rsidP="00496EED">
          <w:pPr>
            <w:pStyle w:val="HCH"/>
            <w:spacing w:after="80"/>
            <w:rPr>
              <w:b w:val="0"/>
              <w:color w:val="010000"/>
              <w:spacing w:val="2"/>
              <w:w w:val="96"/>
            </w:rPr>
          </w:pPr>
          <w:r>
            <w:rPr>
              <w:b w:val="0"/>
              <w:color w:val="010000"/>
              <w:spacing w:val="2"/>
              <w:w w:val="96"/>
            </w:rPr>
            <w:t xml:space="preserve">Nations </w:t>
          </w:r>
          <w:proofErr w:type="spellStart"/>
          <w:r>
            <w:rPr>
              <w:b w:val="0"/>
              <w:color w:val="010000"/>
              <w:spacing w:val="2"/>
              <w:w w:val="96"/>
            </w:rPr>
            <w:t>Unies</w:t>
          </w:r>
          <w:proofErr w:type="spellEnd"/>
        </w:p>
      </w:tc>
      <w:tc>
        <w:tcPr>
          <w:tcW w:w="58" w:type="dxa"/>
          <w:tcBorders>
            <w:bottom w:val="single" w:sz="4" w:space="0" w:color="auto"/>
          </w:tcBorders>
          <w:shd w:val="clear" w:color="auto" w:fill="auto"/>
          <w:vAlign w:val="bottom"/>
        </w:tcPr>
        <w:p w:rsidR="00665C7A" w:rsidRDefault="00665C7A" w:rsidP="00496EED">
          <w:pPr>
            <w:pStyle w:val="Header"/>
            <w:spacing w:after="120"/>
          </w:pPr>
        </w:p>
      </w:tc>
      <w:tc>
        <w:tcPr>
          <w:tcW w:w="6653" w:type="dxa"/>
          <w:gridSpan w:val="4"/>
          <w:tcBorders>
            <w:bottom w:val="single" w:sz="4" w:space="0" w:color="auto"/>
          </w:tcBorders>
          <w:shd w:val="clear" w:color="auto" w:fill="auto"/>
          <w:vAlign w:val="bottom"/>
        </w:tcPr>
        <w:p w:rsidR="00665C7A" w:rsidRPr="00496EED" w:rsidRDefault="00665C7A" w:rsidP="00496EED">
          <w:pPr>
            <w:spacing w:after="80" w:line="240" w:lineRule="auto"/>
            <w:jc w:val="right"/>
            <w:rPr>
              <w:position w:val="-4"/>
            </w:rPr>
          </w:pPr>
          <w:r>
            <w:rPr>
              <w:position w:val="-4"/>
              <w:sz w:val="40"/>
            </w:rPr>
            <w:t>ECE</w:t>
          </w:r>
          <w:r>
            <w:rPr>
              <w:position w:val="-4"/>
            </w:rPr>
            <w:t>/TRANS/WP.15/AC.2/2015/29</w:t>
          </w:r>
        </w:p>
      </w:tc>
    </w:tr>
    <w:tr w:rsidR="00665C7A" w:rsidRPr="00932192" w:rsidTr="00496EED">
      <w:trPr>
        <w:gridAfter w:val="1"/>
        <w:wAfter w:w="18" w:type="dxa"/>
        <w:trHeight w:hRule="exact" w:val="2880"/>
      </w:trPr>
      <w:tc>
        <w:tcPr>
          <w:tcW w:w="1267" w:type="dxa"/>
          <w:tcBorders>
            <w:top w:val="single" w:sz="4" w:space="0" w:color="auto"/>
            <w:bottom w:val="single" w:sz="12" w:space="0" w:color="auto"/>
          </w:tcBorders>
          <w:shd w:val="clear" w:color="auto" w:fill="auto"/>
        </w:tcPr>
        <w:p w:rsidR="00665C7A" w:rsidRPr="00496EED" w:rsidRDefault="00665C7A" w:rsidP="00496EED">
          <w:pPr>
            <w:pStyle w:val="Header"/>
            <w:spacing w:before="120" w:line="240" w:lineRule="auto"/>
            <w:ind w:left="-72"/>
            <w:jc w:val="center"/>
          </w:pPr>
          <w:r>
            <w:t xml:space="preserve">  </w:t>
          </w:r>
          <w:r>
            <w:rPr>
              <w:noProof/>
              <w:lang w:val="en-GB" w:eastAsia="en-GB"/>
            </w:rPr>
            <w:drawing>
              <wp:inline distT="0" distB="0" distL="0" distR="0" wp14:anchorId="352AFC51" wp14:editId="4D1E705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65C7A" w:rsidRPr="00496EED" w:rsidRDefault="00665C7A" w:rsidP="00496EED">
          <w:pPr>
            <w:pStyle w:val="XLarge"/>
            <w:spacing w:before="109"/>
          </w:pPr>
          <w:proofErr w:type="spellStart"/>
          <w:r>
            <w:t>Conseil</w:t>
          </w:r>
          <w:proofErr w:type="spellEnd"/>
          <w:r>
            <w:t xml:space="preserve"> </w:t>
          </w:r>
          <w:proofErr w:type="spellStart"/>
          <w:r>
            <w:t>économique</w:t>
          </w:r>
          <w:proofErr w:type="spellEnd"/>
          <w:r>
            <w:t xml:space="preserve"> et social</w:t>
          </w:r>
        </w:p>
      </w:tc>
      <w:tc>
        <w:tcPr>
          <w:tcW w:w="245" w:type="dxa"/>
          <w:tcBorders>
            <w:top w:val="single" w:sz="4" w:space="0" w:color="auto"/>
            <w:bottom w:val="single" w:sz="12" w:space="0" w:color="auto"/>
          </w:tcBorders>
          <w:shd w:val="clear" w:color="auto" w:fill="auto"/>
        </w:tcPr>
        <w:p w:rsidR="00665C7A" w:rsidRPr="00496EED" w:rsidRDefault="00665C7A" w:rsidP="00496EED">
          <w:pPr>
            <w:pStyle w:val="Header"/>
            <w:spacing w:before="109"/>
          </w:pPr>
        </w:p>
      </w:tc>
      <w:tc>
        <w:tcPr>
          <w:tcW w:w="3280" w:type="dxa"/>
          <w:tcBorders>
            <w:top w:val="single" w:sz="4" w:space="0" w:color="auto"/>
            <w:bottom w:val="single" w:sz="12" w:space="0" w:color="auto"/>
          </w:tcBorders>
          <w:shd w:val="clear" w:color="auto" w:fill="auto"/>
        </w:tcPr>
        <w:p w:rsidR="00665C7A" w:rsidRPr="00932192" w:rsidRDefault="00665C7A" w:rsidP="00496EED">
          <w:pPr>
            <w:pStyle w:val="Distribution"/>
            <w:rPr>
              <w:color w:val="000000"/>
              <w:lang w:val="fr-CH"/>
            </w:rPr>
          </w:pPr>
          <w:proofErr w:type="spellStart"/>
          <w:r w:rsidRPr="00932192">
            <w:rPr>
              <w:color w:val="000000"/>
              <w:lang w:val="fr-CH"/>
            </w:rPr>
            <w:t>Distr</w:t>
          </w:r>
          <w:proofErr w:type="spellEnd"/>
          <w:r w:rsidRPr="00932192">
            <w:rPr>
              <w:color w:val="000000"/>
              <w:lang w:val="fr-CH"/>
            </w:rPr>
            <w:t>. générale</w:t>
          </w:r>
        </w:p>
        <w:p w:rsidR="00665C7A" w:rsidRPr="00932192" w:rsidRDefault="00665C7A" w:rsidP="00496EED">
          <w:pPr>
            <w:pStyle w:val="Publication"/>
            <w:rPr>
              <w:color w:val="000000"/>
              <w:lang w:val="fr-CH"/>
            </w:rPr>
          </w:pPr>
          <w:r w:rsidRPr="00932192">
            <w:rPr>
              <w:color w:val="000000"/>
              <w:lang w:val="fr-CH"/>
            </w:rPr>
            <w:t>4 juin 2015</w:t>
          </w:r>
        </w:p>
        <w:p w:rsidR="00665C7A" w:rsidRPr="00932192" w:rsidRDefault="00665C7A" w:rsidP="00496EED">
          <w:pPr>
            <w:rPr>
              <w:lang w:val="fr-CH"/>
            </w:rPr>
          </w:pPr>
          <w:r w:rsidRPr="00932192">
            <w:rPr>
              <w:lang w:val="fr-CH"/>
            </w:rPr>
            <w:t>Français</w:t>
          </w:r>
        </w:p>
        <w:p w:rsidR="00665C7A" w:rsidRPr="00932192" w:rsidRDefault="00665C7A" w:rsidP="00496EED">
          <w:pPr>
            <w:pStyle w:val="Original"/>
            <w:rPr>
              <w:color w:val="000000"/>
              <w:lang w:val="fr-CH"/>
            </w:rPr>
          </w:pPr>
          <w:r w:rsidRPr="00932192">
            <w:rPr>
              <w:color w:val="000000"/>
              <w:lang w:val="fr-CH"/>
            </w:rPr>
            <w:t>Original : anglais</w:t>
          </w:r>
        </w:p>
      </w:tc>
    </w:tr>
  </w:tbl>
  <w:p w:rsidR="00665C7A" w:rsidRPr="00932192" w:rsidRDefault="00665C7A" w:rsidP="00496EED">
    <w:pPr>
      <w:pStyle w:val="Header"/>
      <w:spacing w:line="240" w:lineRule="auto"/>
      <w:rPr>
        <w:sz w:val="2"/>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665C7A" w:rsidRPr="00A93121" w:rsidTr="00A93121">
      <w:trPr>
        <w:cantSplit/>
        <w:trHeight w:val="4925"/>
      </w:trPr>
      <w:tc>
        <w:tcPr>
          <w:tcW w:w="13407" w:type="dxa"/>
          <w:shd w:val="clear" w:color="auto" w:fill="auto"/>
          <w:textDirection w:val="tbRl"/>
          <w:vAlign w:val="bottom"/>
        </w:tcPr>
        <w:p w:rsidR="00665C7A" w:rsidRPr="00A93121" w:rsidRDefault="00665C7A" w:rsidP="00A93121">
          <w:pPr>
            <w:pStyle w:val="Header"/>
            <w:spacing w:line="240" w:lineRule="auto"/>
            <w:ind w:left="14" w:right="14"/>
            <w:rPr>
              <w:b/>
              <w:w w:val="103"/>
            </w:rPr>
          </w:pPr>
          <w:r w:rsidRPr="00A93121">
            <w:rPr>
              <w:b/>
              <w:w w:val="103"/>
            </w:rPr>
            <w:fldChar w:fldCharType="begin"/>
          </w:r>
          <w:r w:rsidRPr="00A93121">
            <w:rPr>
              <w:b/>
              <w:w w:val="103"/>
            </w:rPr>
            <w:instrText xml:space="preserve"> DOCVARIABLE "sss1" \* MERGEFORMAT </w:instrText>
          </w:r>
          <w:r w:rsidRPr="00A93121">
            <w:rPr>
              <w:b/>
              <w:w w:val="103"/>
            </w:rPr>
            <w:fldChar w:fldCharType="separate"/>
          </w:r>
          <w:r w:rsidR="00932192">
            <w:rPr>
              <w:b/>
              <w:w w:val="103"/>
            </w:rPr>
            <w:t>ECE/TRANS/WP.15/AC.2/2015/29</w:t>
          </w:r>
          <w:r w:rsidRPr="00A93121">
            <w:rPr>
              <w:b/>
              <w:w w:val="103"/>
            </w:rPr>
            <w:fldChar w:fldCharType="end"/>
          </w:r>
        </w:p>
      </w:tc>
    </w:tr>
    <w:tr w:rsidR="00665C7A" w:rsidRPr="00A93121" w:rsidTr="00A93121">
      <w:trPr>
        <w:cantSplit/>
        <w:trHeight w:val="4925"/>
      </w:trPr>
      <w:tc>
        <w:tcPr>
          <w:tcW w:w="13407" w:type="dxa"/>
          <w:shd w:val="clear" w:color="auto" w:fill="auto"/>
          <w:textDirection w:val="tbRl"/>
          <w:vAlign w:val="bottom"/>
        </w:tcPr>
        <w:p w:rsidR="00665C7A" w:rsidRPr="00A93121" w:rsidRDefault="00665C7A" w:rsidP="00A93121">
          <w:pPr>
            <w:pStyle w:val="Header"/>
            <w:spacing w:line="240" w:lineRule="auto"/>
            <w:ind w:left="14" w:right="14"/>
            <w:rPr>
              <w:w w:val="103"/>
            </w:rPr>
          </w:pPr>
        </w:p>
      </w:tc>
    </w:tr>
  </w:tbl>
  <w:p w:rsidR="00665C7A" w:rsidRPr="00A93121" w:rsidRDefault="00665C7A" w:rsidP="00A9312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665C7A" w:rsidRPr="00A93121" w:rsidTr="00A93121">
      <w:trPr>
        <w:trHeight w:val="4925"/>
      </w:trPr>
      <w:tc>
        <w:tcPr>
          <w:tcW w:w="13407" w:type="dxa"/>
          <w:shd w:val="clear" w:color="auto" w:fill="auto"/>
          <w:vAlign w:val="bottom"/>
        </w:tcPr>
        <w:p w:rsidR="00665C7A" w:rsidRPr="00A93121" w:rsidRDefault="00665C7A" w:rsidP="00A93121">
          <w:pPr>
            <w:pStyle w:val="Header"/>
            <w:spacing w:line="240" w:lineRule="auto"/>
            <w:ind w:left="14" w:right="14"/>
            <w:jc w:val="right"/>
            <w:rPr>
              <w:bCs/>
              <w:w w:val="103"/>
              <w:szCs w:val="26"/>
            </w:rPr>
          </w:pPr>
        </w:p>
      </w:tc>
    </w:tr>
    <w:tr w:rsidR="00665C7A" w:rsidRPr="00A93121" w:rsidTr="00A93121">
      <w:trPr>
        <w:cantSplit/>
        <w:trHeight w:val="4925"/>
      </w:trPr>
      <w:tc>
        <w:tcPr>
          <w:tcW w:w="13407" w:type="dxa"/>
          <w:shd w:val="clear" w:color="auto" w:fill="auto"/>
          <w:textDirection w:val="tbRl"/>
          <w:vAlign w:val="bottom"/>
        </w:tcPr>
        <w:p w:rsidR="00665C7A" w:rsidRPr="00A93121" w:rsidRDefault="00665C7A" w:rsidP="00A93121">
          <w:pPr>
            <w:pStyle w:val="Header"/>
            <w:spacing w:line="240" w:lineRule="auto"/>
            <w:ind w:left="14" w:right="14"/>
            <w:jc w:val="right"/>
            <w:rPr>
              <w:b/>
              <w:bCs/>
              <w:w w:val="103"/>
              <w:szCs w:val="26"/>
            </w:rPr>
          </w:pPr>
          <w:r w:rsidRPr="00A93121">
            <w:rPr>
              <w:b/>
              <w:bCs/>
              <w:w w:val="103"/>
              <w:szCs w:val="26"/>
            </w:rPr>
            <w:fldChar w:fldCharType="begin"/>
          </w:r>
          <w:r w:rsidRPr="00A93121">
            <w:rPr>
              <w:b/>
              <w:bCs/>
              <w:w w:val="103"/>
              <w:szCs w:val="26"/>
            </w:rPr>
            <w:instrText xml:space="preserve"> DOCVARIABLE "sss1" \* MERGEFORMAT </w:instrText>
          </w:r>
          <w:r w:rsidRPr="00A93121">
            <w:rPr>
              <w:b/>
              <w:bCs/>
              <w:w w:val="103"/>
              <w:szCs w:val="26"/>
            </w:rPr>
            <w:fldChar w:fldCharType="separate"/>
          </w:r>
          <w:r w:rsidR="00932192">
            <w:rPr>
              <w:b/>
              <w:bCs/>
              <w:w w:val="103"/>
              <w:szCs w:val="26"/>
            </w:rPr>
            <w:t>ECE/TRANS/WP.15/AC.2/2015/29</w:t>
          </w:r>
          <w:r w:rsidRPr="00A93121">
            <w:rPr>
              <w:b/>
              <w:bCs/>
              <w:w w:val="103"/>
              <w:szCs w:val="26"/>
            </w:rPr>
            <w:fldChar w:fldCharType="end"/>
          </w:r>
        </w:p>
      </w:tc>
    </w:tr>
  </w:tbl>
  <w:p w:rsidR="00665C7A" w:rsidRPr="00A93121" w:rsidRDefault="00665C7A" w:rsidP="00A9312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665C7A" w:rsidTr="00496EED">
      <w:trPr>
        <w:trHeight w:hRule="exact" w:val="864"/>
        <w:jc w:val="center"/>
      </w:trPr>
      <w:tc>
        <w:tcPr>
          <w:tcW w:w="4882" w:type="dxa"/>
          <w:shd w:val="clear" w:color="auto" w:fill="auto"/>
          <w:vAlign w:val="bottom"/>
        </w:tcPr>
        <w:p w:rsidR="00665C7A" w:rsidRPr="00496EED" w:rsidRDefault="00665C7A" w:rsidP="00496EED">
          <w:pPr>
            <w:pStyle w:val="Header"/>
            <w:spacing w:after="80"/>
            <w:rPr>
              <w:b/>
            </w:rPr>
          </w:pPr>
          <w:r>
            <w:rPr>
              <w:b/>
            </w:rPr>
            <w:fldChar w:fldCharType="begin"/>
          </w:r>
          <w:r>
            <w:rPr>
              <w:b/>
            </w:rPr>
            <w:instrText xml:space="preserve"> DOCVARIABLE "sss1" \* MERGEFORMAT </w:instrText>
          </w:r>
          <w:r>
            <w:rPr>
              <w:b/>
            </w:rPr>
            <w:fldChar w:fldCharType="separate"/>
          </w:r>
          <w:r w:rsidR="00932192">
            <w:rPr>
              <w:b/>
            </w:rPr>
            <w:t>ECE/TRANS/WP.15/AC.2/2015/29</w:t>
          </w:r>
          <w:r>
            <w:rPr>
              <w:b/>
            </w:rPr>
            <w:fldChar w:fldCharType="end"/>
          </w:r>
        </w:p>
      </w:tc>
      <w:tc>
        <w:tcPr>
          <w:tcW w:w="5127" w:type="dxa"/>
          <w:shd w:val="clear" w:color="auto" w:fill="auto"/>
          <w:vAlign w:val="bottom"/>
        </w:tcPr>
        <w:p w:rsidR="00665C7A" w:rsidRDefault="00665C7A" w:rsidP="00496EED">
          <w:pPr>
            <w:pStyle w:val="Header"/>
          </w:pPr>
        </w:p>
      </w:tc>
    </w:tr>
  </w:tbl>
  <w:p w:rsidR="00665C7A" w:rsidRPr="00496EED" w:rsidRDefault="00665C7A" w:rsidP="00496EE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665C7A" w:rsidTr="00496EED">
      <w:trPr>
        <w:trHeight w:hRule="exact" w:val="864"/>
        <w:jc w:val="center"/>
      </w:trPr>
      <w:tc>
        <w:tcPr>
          <w:tcW w:w="4882" w:type="dxa"/>
          <w:shd w:val="clear" w:color="auto" w:fill="auto"/>
          <w:vAlign w:val="bottom"/>
        </w:tcPr>
        <w:p w:rsidR="00665C7A" w:rsidRDefault="00665C7A" w:rsidP="00496EED">
          <w:pPr>
            <w:pStyle w:val="Header"/>
          </w:pPr>
        </w:p>
      </w:tc>
      <w:tc>
        <w:tcPr>
          <w:tcW w:w="5127" w:type="dxa"/>
          <w:shd w:val="clear" w:color="auto" w:fill="auto"/>
          <w:vAlign w:val="bottom"/>
        </w:tcPr>
        <w:p w:rsidR="00665C7A" w:rsidRPr="00496EED" w:rsidRDefault="00665C7A" w:rsidP="00496EED">
          <w:pPr>
            <w:pStyle w:val="Header"/>
            <w:spacing w:after="80"/>
            <w:jc w:val="right"/>
            <w:rPr>
              <w:b/>
            </w:rPr>
          </w:pPr>
          <w:r>
            <w:rPr>
              <w:b/>
            </w:rPr>
            <w:fldChar w:fldCharType="begin"/>
          </w:r>
          <w:r>
            <w:rPr>
              <w:b/>
            </w:rPr>
            <w:instrText xml:space="preserve"> DOCVARIABLE "sss1" \* MERGEFORMAT </w:instrText>
          </w:r>
          <w:r>
            <w:rPr>
              <w:b/>
            </w:rPr>
            <w:fldChar w:fldCharType="separate"/>
          </w:r>
          <w:r w:rsidR="00932192">
            <w:rPr>
              <w:b/>
            </w:rPr>
            <w:t>ECE/TRANS/WP.15/AC.2/2015/29</w:t>
          </w:r>
          <w:r>
            <w:rPr>
              <w:b/>
            </w:rPr>
            <w:fldChar w:fldCharType="end"/>
          </w:r>
        </w:p>
      </w:tc>
    </w:tr>
  </w:tbl>
  <w:p w:rsidR="00665C7A" w:rsidRPr="00496EED" w:rsidRDefault="00665C7A" w:rsidP="00496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162112"/>
    <w:multiLevelType w:val="hybridMultilevel"/>
    <w:tmpl w:val="A69C51E2"/>
    <w:lvl w:ilvl="0" w:tplc="4BCC34D2">
      <w:start w:val="7"/>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D9F17DD"/>
    <w:multiLevelType w:val="hybridMultilevel"/>
    <w:tmpl w:val="E3246764"/>
    <w:lvl w:ilvl="0" w:tplc="C8200E3E">
      <w:start w:val="7"/>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SortMethod w:val="0003"/>
  <w:defaultTabStop w:val="475"/>
  <w:doNotHyphenateCaps/>
  <w:evenAndOddHeaders/>
  <w:characterSpacingControl w:val="doNotCompress"/>
  <w:hdrShapeDefaults>
    <o:shapedefaults v:ext="edit" spidmax="30721"/>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8909*"/>
    <w:docVar w:name="CreationDt" w:val="6/30/2015 5:48: PM"/>
    <w:docVar w:name="DocCategory" w:val="Doc"/>
    <w:docVar w:name="DocType" w:val="Final"/>
    <w:docVar w:name="DutyStation" w:val="Geneva"/>
    <w:docVar w:name="FooterJN" w:val="GE. 15-08909"/>
    <w:docVar w:name="jobn" w:val="GE. 15-08909 (F)"/>
    <w:docVar w:name="jobnDT" w:val="GE. 15-08909 (F)   300615"/>
    <w:docVar w:name="jobnDTDT" w:val="GE. 15-08909 (F)   300615   300615"/>
    <w:docVar w:name="JobNo" w:val="GE. 1508909F"/>
    <w:docVar w:name="JobNo2" w:val="GE. 1511326F"/>
    <w:docVar w:name="LocalDrive" w:val="0"/>
    <w:docVar w:name="OandT" w:val="Chautagnat"/>
    <w:docVar w:name="PaperSize" w:val="A4"/>
    <w:docVar w:name="sss1" w:val="ECE/TRANS/WP.15/AC.2/2015/29"/>
    <w:docVar w:name="sss2" w:val="-"/>
    <w:docVar w:name="Symbol1" w:val="ECE/TRANS/WP.15/AC.2/2015/29"/>
    <w:docVar w:name="Symbol2" w:val="-"/>
  </w:docVars>
  <w:rsids>
    <w:rsidRoot w:val="00C45237"/>
    <w:rsid w:val="0000157E"/>
    <w:rsid w:val="000015B8"/>
    <w:rsid w:val="000046A5"/>
    <w:rsid w:val="0000492F"/>
    <w:rsid w:val="000055FB"/>
    <w:rsid w:val="0001095E"/>
    <w:rsid w:val="00016483"/>
    <w:rsid w:val="00022173"/>
    <w:rsid w:val="0002226F"/>
    <w:rsid w:val="00022B4A"/>
    <w:rsid w:val="00022E93"/>
    <w:rsid w:val="000249FF"/>
    <w:rsid w:val="00025DE5"/>
    <w:rsid w:val="000274C2"/>
    <w:rsid w:val="0003169B"/>
    <w:rsid w:val="00033DC9"/>
    <w:rsid w:val="000378DE"/>
    <w:rsid w:val="00040497"/>
    <w:rsid w:val="000449FF"/>
    <w:rsid w:val="00046145"/>
    <w:rsid w:val="00050D9C"/>
    <w:rsid w:val="00054482"/>
    <w:rsid w:val="0005669A"/>
    <w:rsid w:val="00057151"/>
    <w:rsid w:val="000571B5"/>
    <w:rsid w:val="000616D7"/>
    <w:rsid w:val="000636D2"/>
    <w:rsid w:val="000643C1"/>
    <w:rsid w:val="0006543E"/>
    <w:rsid w:val="000658A4"/>
    <w:rsid w:val="00065BD4"/>
    <w:rsid w:val="000675CF"/>
    <w:rsid w:val="00071173"/>
    <w:rsid w:val="0007246F"/>
    <w:rsid w:val="000746A5"/>
    <w:rsid w:val="000776CA"/>
    <w:rsid w:val="00077CC4"/>
    <w:rsid w:val="00083D89"/>
    <w:rsid w:val="00085112"/>
    <w:rsid w:val="0008610C"/>
    <w:rsid w:val="0008708F"/>
    <w:rsid w:val="00091BC1"/>
    <w:rsid w:val="00091DBD"/>
    <w:rsid w:val="00094998"/>
    <w:rsid w:val="00094AD4"/>
    <w:rsid w:val="000A18B6"/>
    <w:rsid w:val="000A24DE"/>
    <w:rsid w:val="000A2612"/>
    <w:rsid w:val="000A4A47"/>
    <w:rsid w:val="000B0E9A"/>
    <w:rsid w:val="000B1A18"/>
    <w:rsid w:val="000B2CD0"/>
    <w:rsid w:val="000B3ED4"/>
    <w:rsid w:val="000B5AF0"/>
    <w:rsid w:val="000B644E"/>
    <w:rsid w:val="000B6B84"/>
    <w:rsid w:val="000B7004"/>
    <w:rsid w:val="000C349B"/>
    <w:rsid w:val="000C6048"/>
    <w:rsid w:val="000C683C"/>
    <w:rsid w:val="000D3BE9"/>
    <w:rsid w:val="000D44E3"/>
    <w:rsid w:val="000D5D82"/>
    <w:rsid w:val="000D66AC"/>
    <w:rsid w:val="000D7ED4"/>
    <w:rsid w:val="000E1ABE"/>
    <w:rsid w:val="000F04A8"/>
    <w:rsid w:val="000F1B8A"/>
    <w:rsid w:val="000F299A"/>
    <w:rsid w:val="000F36A0"/>
    <w:rsid w:val="000F53E9"/>
    <w:rsid w:val="000F6A05"/>
    <w:rsid w:val="000F6E7D"/>
    <w:rsid w:val="00101610"/>
    <w:rsid w:val="0010384F"/>
    <w:rsid w:val="0010575E"/>
    <w:rsid w:val="00106549"/>
    <w:rsid w:val="00107710"/>
    <w:rsid w:val="00107C97"/>
    <w:rsid w:val="0011255C"/>
    <w:rsid w:val="001126A7"/>
    <w:rsid w:val="00113177"/>
    <w:rsid w:val="0011497A"/>
    <w:rsid w:val="0011543F"/>
    <w:rsid w:val="001156F7"/>
    <w:rsid w:val="00116149"/>
    <w:rsid w:val="0012253E"/>
    <w:rsid w:val="00123812"/>
    <w:rsid w:val="001256F6"/>
    <w:rsid w:val="00126DB0"/>
    <w:rsid w:val="00126FB2"/>
    <w:rsid w:val="0013186C"/>
    <w:rsid w:val="00132799"/>
    <w:rsid w:val="00132A45"/>
    <w:rsid w:val="001359FA"/>
    <w:rsid w:val="00140666"/>
    <w:rsid w:val="0014233F"/>
    <w:rsid w:val="00143703"/>
    <w:rsid w:val="00144DE1"/>
    <w:rsid w:val="00145A1F"/>
    <w:rsid w:val="001466A3"/>
    <w:rsid w:val="00147051"/>
    <w:rsid w:val="001471CF"/>
    <w:rsid w:val="00151710"/>
    <w:rsid w:val="00151AC8"/>
    <w:rsid w:val="00152B77"/>
    <w:rsid w:val="0015360A"/>
    <w:rsid w:val="00153A7E"/>
    <w:rsid w:val="00155B70"/>
    <w:rsid w:val="00160E65"/>
    <w:rsid w:val="00161368"/>
    <w:rsid w:val="0016199B"/>
    <w:rsid w:val="00162C83"/>
    <w:rsid w:val="001639FC"/>
    <w:rsid w:val="00163D26"/>
    <w:rsid w:val="00164BB5"/>
    <w:rsid w:val="00166384"/>
    <w:rsid w:val="001709F1"/>
    <w:rsid w:val="00170E3B"/>
    <w:rsid w:val="00180387"/>
    <w:rsid w:val="001834CA"/>
    <w:rsid w:val="00183EBF"/>
    <w:rsid w:val="00186793"/>
    <w:rsid w:val="001869F3"/>
    <w:rsid w:val="0019082C"/>
    <w:rsid w:val="00192D05"/>
    <w:rsid w:val="00193A8C"/>
    <w:rsid w:val="00193EE6"/>
    <w:rsid w:val="001A01BF"/>
    <w:rsid w:val="001A1124"/>
    <w:rsid w:val="001A2E2D"/>
    <w:rsid w:val="001A4BAA"/>
    <w:rsid w:val="001A4F4E"/>
    <w:rsid w:val="001A76F3"/>
    <w:rsid w:val="001B35CF"/>
    <w:rsid w:val="001B5583"/>
    <w:rsid w:val="001B5A24"/>
    <w:rsid w:val="001C0599"/>
    <w:rsid w:val="001C1B1F"/>
    <w:rsid w:val="001C3C57"/>
    <w:rsid w:val="001C4664"/>
    <w:rsid w:val="001C4EBE"/>
    <w:rsid w:val="001D0E60"/>
    <w:rsid w:val="001D18F1"/>
    <w:rsid w:val="001D22B6"/>
    <w:rsid w:val="001D272D"/>
    <w:rsid w:val="001D280C"/>
    <w:rsid w:val="001D294E"/>
    <w:rsid w:val="001E44F3"/>
    <w:rsid w:val="001F053A"/>
    <w:rsid w:val="001F143D"/>
    <w:rsid w:val="001F2DA6"/>
    <w:rsid w:val="001F406A"/>
    <w:rsid w:val="001F62AF"/>
    <w:rsid w:val="001F793D"/>
    <w:rsid w:val="001F7E9D"/>
    <w:rsid w:val="002021E9"/>
    <w:rsid w:val="00202789"/>
    <w:rsid w:val="00202F1F"/>
    <w:rsid w:val="00205199"/>
    <w:rsid w:val="00206598"/>
    <w:rsid w:val="00207CAA"/>
    <w:rsid w:val="0021168F"/>
    <w:rsid w:val="002161B3"/>
    <w:rsid w:val="002178A7"/>
    <w:rsid w:val="002220FF"/>
    <w:rsid w:val="00237D01"/>
    <w:rsid w:val="00240F64"/>
    <w:rsid w:val="002410E3"/>
    <w:rsid w:val="00241864"/>
    <w:rsid w:val="00243D1C"/>
    <w:rsid w:val="00245B48"/>
    <w:rsid w:val="00246425"/>
    <w:rsid w:val="00250C5C"/>
    <w:rsid w:val="00252402"/>
    <w:rsid w:val="00254656"/>
    <w:rsid w:val="0025545A"/>
    <w:rsid w:val="00257CE5"/>
    <w:rsid w:val="00261E82"/>
    <w:rsid w:val="0026332C"/>
    <w:rsid w:val="002643A0"/>
    <w:rsid w:val="0026552F"/>
    <w:rsid w:val="0026565F"/>
    <w:rsid w:val="00265CC1"/>
    <w:rsid w:val="00266AFD"/>
    <w:rsid w:val="00266D00"/>
    <w:rsid w:val="00272F5B"/>
    <w:rsid w:val="002730C7"/>
    <w:rsid w:val="0027435B"/>
    <w:rsid w:val="00276E85"/>
    <w:rsid w:val="002778AB"/>
    <w:rsid w:val="0028007B"/>
    <w:rsid w:val="00280143"/>
    <w:rsid w:val="002810F0"/>
    <w:rsid w:val="00281BC7"/>
    <w:rsid w:val="00286531"/>
    <w:rsid w:val="002867C7"/>
    <w:rsid w:val="0029018C"/>
    <w:rsid w:val="002978B1"/>
    <w:rsid w:val="002A07EF"/>
    <w:rsid w:val="002A27E5"/>
    <w:rsid w:val="002A5EC8"/>
    <w:rsid w:val="002A69DB"/>
    <w:rsid w:val="002B1D15"/>
    <w:rsid w:val="002B3B4A"/>
    <w:rsid w:val="002B4A7F"/>
    <w:rsid w:val="002B5928"/>
    <w:rsid w:val="002C3640"/>
    <w:rsid w:val="002C3FD3"/>
    <w:rsid w:val="002C472D"/>
    <w:rsid w:val="002C77CF"/>
    <w:rsid w:val="002D45C0"/>
    <w:rsid w:val="002D5981"/>
    <w:rsid w:val="002D7EC0"/>
    <w:rsid w:val="002D7EFC"/>
    <w:rsid w:val="002E11E9"/>
    <w:rsid w:val="002E11F0"/>
    <w:rsid w:val="002E20E0"/>
    <w:rsid w:val="002E2420"/>
    <w:rsid w:val="002E2E27"/>
    <w:rsid w:val="002E3850"/>
    <w:rsid w:val="002E3856"/>
    <w:rsid w:val="002E420C"/>
    <w:rsid w:val="002E44B9"/>
    <w:rsid w:val="002E56C8"/>
    <w:rsid w:val="002E76EC"/>
    <w:rsid w:val="002E79AF"/>
    <w:rsid w:val="002E7F85"/>
    <w:rsid w:val="002F048A"/>
    <w:rsid w:val="002F0E01"/>
    <w:rsid w:val="002F1E33"/>
    <w:rsid w:val="002F5482"/>
    <w:rsid w:val="002F5972"/>
    <w:rsid w:val="00303A3C"/>
    <w:rsid w:val="00303D82"/>
    <w:rsid w:val="00303E4E"/>
    <w:rsid w:val="003047D2"/>
    <w:rsid w:val="0030788D"/>
    <w:rsid w:val="00311626"/>
    <w:rsid w:val="00313F82"/>
    <w:rsid w:val="003156C2"/>
    <w:rsid w:val="00316628"/>
    <w:rsid w:val="00316B58"/>
    <w:rsid w:val="003235C7"/>
    <w:rsid w:val="003261A3"/>
    <w:rsid w:val="00326270"/>
    <w:rsid w:val="00332A87"/>
    <w:rsid w:val="003342DF"/>
    <w:rsid w:val="00337015"/>
    <w:rsid w:val="003406CA"/>
    <w:rsid w:val="00340736"/>
    <w:rsid w:val="003432EC"/>
    <w:rsid w:val="00343F8A"/>
    <w:rsid w:val="003441A5"/>
    <w:rsid w:val="003451D8"/>
    <w:rsid w:val="003506F1"/>
    <w:rsid w:val="003555DE"/>
    <w:rsid w:val="00355810"/>
    <w:rsid w:val="003559A7"/>
    <w:rsid w:val="00356B67"/>
    <w:rsid w:val="00362737"/>
    <w:rsid w:val="00362F57"/>
    <w:rsid w:val="00365932"/>
    <w:rsid w:val="00366930"/>
    <w:rsid w:val="003738C0"/>
    <w:rsid w:val="00375A2F"/>
    <w:rsid w:val="0037721A"/>
    <w:rsid w:val="003810FF"/>
    <w:rsid w:val="003824F9"/>
    <w:rsid w:val="00384511"/>
    <w:rsid w:val="003854A0"/>
    <w:rsid w:val="00385D78"/>
    <w:rsid w:val="003864EE"/>
    <w:rsid w:val="00386953"/>
    <w:rsid w:val="003909DD"/>
    <w:rsid w:val="00391295"/>
    <w:rsid w:val="00391342"/>
    <w:rsid w:val="003923FF"/>
    <w:rsid w:val="00393A67"/>
    <w:rsid w:val="00393C9F"/>
    <w:rsid w:val="003942F1"/>
    <w:rsid w:val="00395031"/>
    <w:rsid w:val="00395EB8"/>
    <w:rsid w:val="003968AB"/>
    <w:rsid w:val="00396ABF"/>
    <w:rsid w:val="00397343"/>
    <w:rsid w:val="003A2037"/>
    <w:rsid w:val="003A3AA1"/>
    <w:rsid w:val="003A4ED6"/>
    <w:rsid w:val="003A5341"/>
    <w:rsid w:val="003A56DC"/>
    <w:rsid w:val="003B411E"/>
    <w:rsid w:val="003B445F"/>
    <w:rsid w:val="003B49BF"/>
    <w:rsid w:val="003B60DA"/>
    <w:rsid w:val="003B60EE"/>
    <w:rsid w:val="003B668A"/>
    <w:rsid w:val="003C012D"/>
    <w:rsid w:val="003C222D"/>
    <w:rsid w:val="003C252F"/>
    <w:rsid w:val="003C6DDA"/>
    <w:rsid w:val="003C7D21"/>
    <w:rsid w:val="003D15A3"/>
    <w:rsid w:val="003D2BAD"/>
    <w:rsid w:val="003D35C1"/>
    <w:rsid w:val="003D56B8"/>
    <w:rsid w:val="003D635C"/>
    <w:rsid w:val="003D6BF3"/>
    <w:rsid w:val="003D7BC4"/>
    <w:rsid w:val="003E1642"/>
    <w:rsid w:val="003E385C"/>
    <w:rsid w:val="003E3E2D"/>
    <w:rsid w:val="003E3E48"/>
    <w:rsid w:val="003E47D8"/>
    <w:rsid w:val="003E4E03"/>
    <w:rsid w:val="003E5972"/>
    <w:rsid w:val="003E5E07"/>
    <w:rsid w:val="003F108A"/>
    <w:rsid w:val="003F27A0"/>
    <w:rsid w:val="003F363D"/>
    <w:rsid w:val="003F57D1"/>
    <w:rsid w:val="004009C3"/>
    <w:rsid w:val="00401219"/>
    <w:rsid w:val="004039C7"/>
    <w:rsid w:val="00403A2A"/>
    <w:rsid w:val="004065B7"/>
    <w:rsid w:val="004066EB"/>
    <w:rsid w:val="00406E1E"/>
    <w:rsid w:val="00414C9D"/>
    <w:rsid w:val="0041591F"/>
    <w:rsid w:val="00415A2B"/>
    <w:rsid w:val="00416293"/>
    <w:rsid w:val="004204AE"/>
    <w:rsid w:val="0042753D"/>
    <w:rsid w:val="004309B5"/>
    <w:rsid w:val="0043103D"/>
    <w:rsid w:val="00432662"/>
    <w:rsid w:val="004342B2"/>
    <w:rsid w:val="00441593"/>
    <w:rsid w:val="00444609"/>
    <w:rsid w:val="004448E6"/>
    <w:rsid w:val="00447FAB"/>
    <w:rsid w:val="00450D24"/>
    <w:rsid w:val="00452DA5"/>
    <w:rsid w:val="00453DAB"/>
    <w:rsid w:val="004548AC"/>
    <w:rsid w:val="00455176"/>
    <w:rsid w:val="00455E42"/>
    <w:rsid w:val="00457D04"/>
    <w:rsid w:val="00460112"/>
    <w:rsid w:val="00461031"/>
    <w:rsid w:val="004627F7"/>
    <w:rsid w:val="004638A8"/>
    <w:rsid w:val="00464787"/>
    <w:rsid w:val="004669E9"/>
    <w:rsid w:val="00472198"/>
    <w:rsid w:val="00472794"/>
    <w:rsid w:val="00475F9F"/>
    <w:rsid w:val="00476698"/>
    <w:rsid w:val="00477592"/>
    <w:rsid w:val="00477B72"/>
    <w:rsid w:val="004814BB"/>
    <w:rsid w:val="00481634"/>
    <w:rsid w:val="00482EC6"/>
    <w:rsid w:val="00487428"/>
    <w:rsid w:val="00491CD5"/>
    <w:rsid w:val="00492DC3"/>
    <w:rsid w:val="00496EED"/>
    <w:rsid w:val="004A0AA6"/>
    <w:rsid w:val="004A186E"/>
    <w:rsid w:val="004A2319"/>
    <w:rsid w:val="004A2455"/>
    <w:rsid w:val="004A3EED"/>
    <w:rsid w:val="004A698E"/>
    <w:rsid w:val="004A7606"/>
    <w:rsid w:val="004B7E99"/>
    <w:rsid w:val="004C1A6A"/>
    <w:rsid w:val="004C304C"/>
    <w:rsid w:val="004C5C41"/>
    <w:rsid w:val="004D00C0"/>
    <w:rsid w:val="004D13C8"/>
    <w:rsid w:val="004D4F44"/>
    <w:rsid w:val="004D5D20"/>
    <w:rsid w:val="004D6212"/>
    <w:rsid w:val="004D7174"/>
    <w:rsid w:val="004D789D"/>
    <w:rsid w:val="004E0FB8"/>
    <w:rsid w:val="004E272F"/>
    <w:rsid w:val="004E2B64"/>
    <w:rsid w:val="004E4258"/>
    <w:rsid w:val="004E47A4"/>
    <w:rsid w:val="004E66E7"/>
    <w:rsid w:val="004F1F9F"/>
    <w:rsid w:val="004F2765"/>
    <w:rsid w:val="004F35A8"/>
    <w:rsid w:val="004F53F0"/>
    <w:rsid w:val="004F5EE5"/>
    <w:rsid w:val="004F69D3"/>
    <w:rsid w:val="004F6B7C"/>
    <w:rsid w:val="004F7EC9"/>
    <w:rsid w:val="00505F1C"/>
    <w:rsid w:val="0050603C"/>
    <w:rsid w:val="00506B44"/>
    <w:rsid w:val="005100BC"/>
    <w:rsid w:val="00510E92"/>
    <w:rsid w:val="0051451F"/>
    <w:rsid w:val="00514B78"/>
    <w:rsid w:val="0051772A"/>
    <w:rsid w:val="00517E8B"/>
    <w:rsid w:val="00520271"/>
    <w:rsid w:val="00520B7B"/>
    <w:rsid w:val="00522657"/>
    <w:rsid w:val="00523069"/>
    <w:rsid w:val="00523378"/>
    <w:rsid w:val="0052413A"/>
    <w:rsid w:val="00525A3D"/>
    <w:rsid w:val="00527615"/>
    <w:rsid w:val="00527DD0"/>
    <w:rsid w:val="005330A6"/>
    <w:rsid w:val="00533905"/>
    <w:rsid w:val="005372C0"/>
    <w:rsid w:val="00541630"/>
    <w:rsid w:val="0054168D"/>
    <w:rsid w:val="00542357"/>
    <w:rsid w:val="00551176"/>
    <w:rsid w:val="00551EAE"/>
    <w:rsid w:val="00552150"/>
    <w:rsid w:val="005522D6"/>
    <w:rsid w:val="005648B0"/>
    <w:rsid w:val="0056582E"/>
    <w:rsid w:val="005669CA"/>
    <w:rsid w:val="00573391"/>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5BA3"/>
    <w:rsid w:val="00596647"/>
    <w:rsid w:val="00597A85"/>
    <w:rsid w:val="005A037D"/>
    <w:rsid w:val="005A0DEC"/>
    <w:rsid w:val="005A1E12"/>
    <w:rsid w:val="005A305D"/>
    <w:rsid w:val="005A67A6"/>
    <w:rsid w:val="005A6A6E"/>
    <w:rsid w:val="005A6DD6"/>
    <w:rsid w:val="005A7976"/>
    <w:rsid w:val="005A7E73"/>
    <w:rsid w:val="005B30E9"/>
    <w:rsid w:val="005B33A4"/>
    <w:rsid w:val="005B5D99"/>
    <w:rsid w:val="005B6754"/>
    <w:rsid w:val="005B74B8"/>
    <w:rsid w:val="005C1353"/>
    <w:rsid w:val="005C284C"/>
    <w:rsid w:val="005C3A63"/>
    <w:rsid w:val="005C3D69"/>
    <w:rsid w:val="005C65C2"/>
    <w:rsid w:val="005C6BB2"/>
    <w:rsid w:val="005D7CA9"/>
    <w:rsid w:val="005E0D9D"/>
    <w:rsid w:val="005E1004"/>
    <w:rsid w:val="005E392C"/>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6EC4"/>
    <w:rsid w:val="00617EBE"/>
    <w:rsid w:val="0062117B"/>
    <w:rsid w:val="00622055"/>
    <w:rsid w:val="006263EB"/>
    <w:rsid w:val="006361EE"/>
    <w:rsid w:val="0063657E"/>
    <w:rsid w:val="00636EB6"/>
    <w:rsid w:val="006407EF"/>
    <w:rsid w:val="00640CEF"/>
    <w:rsid w:val="00646F60"/>
    <w:rsid w:val="0064762B"/>
    <w:rsid w:val="00650623"/>
    <w:rsid w:val="0065129E"/>
    <w:rsid w:val="006512C8"/>
    <w:rsid w:val="00653CD3"/>
    <w:rsid w:val="00656E62"/>
    <w:rsid w:val="006573FC"/>
    <w:rsid w:val="00660D00"/>
    <w:rsid w:val="00662686"/>
    <w:rsid w:val="006634EC"/>
    <w:rsid w:val="00665605"/>
    <w:rsid w:val="00665692"/>
    <w:rsid w:val="00665C7A"/>
    <w:rsid w:val="00673F2C"/>
    <w:rsid w:val="00675A53"/>
    <w:rsid w:val="006770E8"/>
    <w:rsid w:val="006803F5"/>
    <w:rsid w:val="006817AB"/>
    <w:rsid w:val="006853D8"/>
    <w:rsid w:val="006866E8"/>
    <w:rsid w:val="00687FB1"/>
    <w:rsid w:val="0069608C"/>
    <w:rsid w:val="00696DD4"/>
    <w:rsid w:val="00697952"/>
    <w:rsid w:val="006A04E6"/>
    <w:rsid w:val="006A0B3D"/>
    <w:rsid w:val="006A2F71"/>
    <w:rsid w:val="006A5910"/>
    <w:rsid w:val="006B1AB7"/>
    <w:rsid w:val="006B1ABC"/>
    <w:rsid w:val="006B6015"/>
    <w:rsid w:val="006B64BE"/>
    <w:rsid w:val="006B7F93"/>
    <w:rsid w:val="006C1A92"/>
    <w:rsid w:val="006C3BDD"/>
    <w:rsid w:val="006C4423"/>
    <w:rsid w:val="006C449D"/>
    <w:rsid w:val="006D0C9B"/>
    <w:rsid w:val="006D1115"/>
    <w:rsid w:val="006D1B76"/>
    <w:rsid w:val="006D5832"/>
    <w:rsid w:val="006E215F"/>
    <w:rsid w:val="006E3D5C"/>
    <w:rsid w:val="006E4078"/>
    <w:rsid w:val="006E4E12"/>
    <w:rsid w:val="006E5649"/>
    <w:rsid w:val="006F41DD"/>
    <w:rsid w:val="006F5A33"/>
    <w:rsid w:val="006F6787"/>
    <w:rsid w:val="006F6EDD"/>
    <w:rsid w:val="007033D2"/>
    <w:rsid w:val="00703FEB"/>
    <w:rsid w:val="007046FD"/>
    <w:rsid w:val="00704AF5"/>
    <w:rsid w:val="0070555E"/>
    <w:rsid w:val="00707DF8"/>
    <w:rsid w:val="00711F00"/>
    <w:rsid w:val="0071328D"/>
    <w:rsid w:val="007155D3"/>
    <w:rsid w:val="00721866"/>
    <w:rsid w:val="0072320E"/>
    <w:rsid w:val="00723F34"/>
    <w:rsid w:val="00725E0B"/>
    <w:rsid w:val="007336C1"/>
    <w:rsid w:val="00733DAE"/>
    <w:rsid w:val="00735F3A"/>
    <w:rsid w:val="00735FB1"/>
    <w:rsid w:val="007367E1"/>
    <w:rsid w:val="007379A0"/>
    <w:rsid w:val="00743048"/>
    <w:rsid w:val="00743131"/>
    <w:rsid w:val="0074339E"/>
    <w:rsid w:val="0074405C"/>
    <w:rsid w:val="00744D58"/>
    <w:rsid w:val="00745376"/>
    <w:rsid w:val="0074587F"/>
    <w:rsid w:val="0074713F"/>
    <w:rsid w:val="00750C8F"/>
    <w:rsid w:val="007517F6"/>
    <w:rsid w:val="007531C9"/>
    <w:rsid w:val="007537B8"/>
    <w:rsid w:val="00754913"/>
    <w:rsid w:val="00755393"/>
    <w:rsid w:val="007553FC"/>
    <w:rsid w:val="00760F66"/>
    <w:rsid w:val="00762F97"/>
    <w:rsid w:val="0076382E"/>
    <w:rsid w:val="00763AE4"/>
    <w:rsid w:val="00765152"/>
    <w:rsid w:val="00767FBE"/>
    <w:rsid w:val="007709FD"/>
    <w:rsid w:val="00770DEF"/>
    <w:rsid w:val="00770EB4"/>
    <w:rsid w:val="00771661"/>
    <w:rsid w:val="00772106"/>
    <w:rsid w:val="00772CF6"/>
    <w:rsid w:val="00774368"/>
    <w:rsid w:val="0077589C"/>
    <w:rsid w:val="00775BFD"/>
    <w:rsid w:val="007769D2"/>
    <w:rsid w:val="00780058"/>
    <w:rsid w:val="007804F4"/>
    <w:rsid w:val="00781F43"/>
    <w:rsid w:val="0078267A"/>
    <w:rsid w:val="00783270"/>
    <w:rsid w:val="00783630"/>
    <w:rsid w:val="0078374C"/>
    <w:rsid w:val="007842C1"/>
    <w:rsid w:val="00784E92"/>
    <w:rsid w:val="007867FB"/>
    <w:rsid w:val="00786CC3"/>
    <w:rsid w:val="00790459"/>
    <w:rsid w:val="00790682"/>
    <w:rsid w:val="00791633"/>
    <w:rsid w:val="00792100"/>
    <w:rsid w:val="0079292B"/>
    <w:rsid w:val="0079302E"/>
    <w:rsid w:val="0079379B"/>
    <w:rsid w:val="007944FD"/>
    <w:rsid w:val="0079452A"/>
    <w:rsid w:val="00794EC6"/>
    <w:rsid w:val="00794FED"/>
    <w:rsid w:val="00795AD7"/>
    <w:rsid w:val="007961E2"/>
    <w:rsid w:val="007A345A"/>
    <w:rsid w:val="007A5CEE"/>
    <w:rsid w:val="007A74D2"/>
    <w:rsid w:val="007A78C2"/>
    <w:rsid w:val="007B05E9"/>
    <w:rsid w:val="007B1E03"/>
    <w:rsid w:val="007B1E17"/>
    <w:rsid w:val="007C0C1F"/>
    <w:rsid w:val="007C14C8"/>
    <w:rsid w:val="007C206E"/>
    <w:rsid w:val="007C2936"/>
    <w:rsid w:val="007C7D7F"/>
    <w:rsid w:val="007D0A73"/>
    <w:rsid w:val="007D33BA"/>
    <w:rsid w:val="007D7FD4"/>
    <w:rsid w:val="007E074C"/>
    <w:rsid w:val="007E2FEB"/>
    <w:rsid w:val="007E472C"/>
    <w:rsid w:val="007E74E9"/>
    <w:rsid w:val="007F0ED6"/>
    <w:rsid w:val="007F3DCC"/>
    <w:rsid w:val="007F49BD"/>
    <w:rsid w:val="007F6F95"/>
    <w:rsid w:val="007F77CB"/>
    <w:rsid w:val="00800903"/>
    <w:rsid w:val="008040BA"/>
    <w:rsid w:val="00804131"/>
    <w:rsid w:val="00804565"/>
    <w:rsid w:val="0080464B"/>
    <w:rsid w:val="00806A3B"/>
    <w:rsid w:val="00807CA4"/>
    <w:rsid w:val="008100FD"/>
    <w:rsid w:val="008114C3"/>
    <w:rsid w:val="00811C56"/>
    <w:rsid w:val="00814722"/>
    <w:rsid w:val="008173CF"/>
    <w:rsid w:val="00817884"/>
    <w:rsid w:val="0082537E"/>
    <w:rsid w:val="008306C1"/>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3E44"/>
    <w:rsid w:val="00865A5F"/>
    <w:rsid w:val="00867F04"/>
    <w:rsid w:val="008703DB"/>
    <w:rsid w:val="00870C27"/>
    <w:rsid w:val="008710A1"/>
    <w:rsid w:val="00874888"/>
    <w:rsid w:val="0087489F"/>
    <w:rsid w:val="00875E49"/>
    <w:rsid w:val="00876100"/>
    <w:rsid w:val="00877539"/>
    <w:rsid w:val="00881167"/>
    <w:rsid w:val="0088158E"/>
    <w:rsid w:val="008829F3"/>
    <w:rsid w:val="00882D4B"/>
    <w:rsid w:val="00887256"/>
    <w:rsid w:val="00890EF0"/>
    <w:rsid w:val="00891ADA"/>
    <w:rsid w:val="00893C34"/>
    <w:rsid w:val="008962D4"/>
    <w:rsid w:val="008A3ABC"/>
    <w:rsid w:val="008A4631"/>
    <w:rsid w:val="008A4C0E"/>
    <w:rsid w:val="008A5334"/>
    <w:rsid w:val="008A630B"/>
    <w:rsid w:val="008A734B"/>
    <w:rsid w:val="008A7659"/>
    <w:rsid w:val="008B24ED"/>
    <w:rsid w:val="008B4290"/>
    <w:rsid w:val="008B5932"/>
    <w:rsid w:val="008C1225"/>
    <w:rsid w:val="008C1646"/>
    <w:rsid w:val="008C189A"/>
    <w:rsid w:val="008C1E51"/>
    <w:rsid w:val="008C541C"/>
    <w:rsid w:val="008C5E6B"/>
    <w:rsid w:val="008C6672"/>
    <w:rsid w:val="008D2DCF"/>
    <w:rsid w:val="008D3043"/>
    <w:rsid w:val="008D32A4"/>
    <w:rsid w:val="008D3318"/>
    <w:rsid w:val="008D3433"/>
    <w:rsid w:val="008D4C00"/>
    <w:rsid w:val="008D52CD"/>
    <w:rsid w:val="008D5C5F"/>
    <w:rsid w:val="008D613D"/>
    <w:rsid w:val="008D756B"/>
    <w:rsid w:val="008E4FFA"/>
    <w:rsid w:val="008E5112"/>
    <w:rsid w:val="008E5935"/>
    <w:rsid w:val="008E5CC1"/>
    <w:rsid w:val="008E6532"/>
    <w:rsid w:val="008E6BE5"/>
    <w:rsid w:val="008E7FF5"/>
    <w:rsid w:val="008F125F"/>
    <w:rsid w:val="008F3DAE"/>
    <w:rsid w:val="008F43C7"/>
    <w:rsid w:val="008F5EE7"/>
    <w:rsid w:val="008F6630"/>
    <w:rsid w:val="008F7622"/>
    <w:rsid w:val="0090311E"/>
    <w:rsid w:val="00903A22"/>
    <w:rsid w:val="0090438E"/>
    <w:rsid w:val="0090458A"/>
    <w:rsid w:val="0090704E"/>
    <w:rsid w:val="00910435"/>
    <w:rsid w:val="009113BA"/>
    <w:rsid w:val="009133F5"/>
    <w:rsid w:val="00914079"/>
    <w:rsid w:val="00914786"/>
    <w:rsid w:val="00915680"/>
    <w:rsid w:val="0091610E"/>
    <w:rsid w:val="00916373"/>
    <w:rsid w:val="00916548"/>
    <w:rsid w:val="00916A77"/>
    <w:rsid w:val="00921BE8"/>
    <w:rsid w:val="00926623"/>
    <w:rsid w:val="00931752"/>
    <w:rsid w:val="00932192"/>
    <w:rsid w:val="00932FDF"/>
    <w:rsid w:val="00936529"/>
    <w:rsid w:val="00940B65"/>
    <w:rsid w:val="0094133A"/>
    <w:rsid w:val="00946B38"/>
    <w:rsid w:val="0095064A"/>
    <w:rsid w:val="00951A0B"/>
    <w:rsid w:val="009535B3"/>
    <w:rsid w:val="00953A36"/>
    <w:rsid w:val="00955DBA"/>
    <w:rsid w:val="00956954"/>
    <w:rsid w:val="00957244"/>
    <w:rsid w:val="00962CAC"/>
    <w:rsid w:val="009642F0"/>
    <w:rsid w:val="00964BDE"/>
    <w:rsid w:val="009676D3"/>
    <w:rsid w:val="00971E24"/>
    <w:rsid w:val="00972EA5"/>
    <w:rsid w:val="0098128C"/>
    <w:rsid w:val="009813FE"/>
    <w:rsid w:val="00983DD0"/>
    <w:rsid w:val="00985FC8"/>
    <w:rsid w:val="00991387"/>
    <w:rsid w:val="00993B88"/>
    <w:rsid w:val="00993D02"/>
    <w:rsid w:val="009943AB"/>
    <w:rsid w:val="00994740"/>
    <w:rsid w:val="009966F8"/>
    <w:rsid w:val="009A142A"/>
    <w:rsid w:val="009A17F4"/>
    <w:rsid w:val="009A325B"/>
    <w:rsid w:val="009A4787"/>
    <w:rsid w:val="009A7DEC"/>
    <w:rsid w:val="009B0AF7"/>
    <w:rsid w:val="009B0BFB"/>
    <w:rsid w:val="009B2F34"/>
    <w:rsid w:val="009B4398"/>
    <w:rsid w:val="009B4EEC"/>
    <w:rsid w:val="009C1815"/>
    <w:rsid w:val="009C2AC3"/>
    <w:rsid w:val="009D5538"/>
    <w:rsid w:val="009E0573"/>
    <w:rsid w:val="009E06DE"/>
    <w:rsid w:val="009E246F"/>
    <w:rsid w:val="009E76A1"/>
    <w:rsid w:val="009F004A"/>
    <w:rsid w:val="009F235E"/>
    <w:rsid w:val="009F29EB"/>
    <w:rsid w:val="009F3B80"/>
    <w:rsid w:val="009F3C78"/>
    <w:rsid w:val="009F5ACE"/>
    <w:rsid w:val="009F75CD"/>
    <w:rsid w:val="009F7FE9"/>
    <w:rsid w:val="00A0063D"/>
    <w:rsid w:val="00A00A92"/>
    <w:rsid w:val="00A02426"/>
    <w:rsid w:val="00A0589C"/>
    <w:rsid w:val="00A06CAB"/>
    <w:rsid w:val="00A11790"/>
    <w:rsid w:val="00A11817"/>
    <w:rsid w:val="00A12DBB"/>
    <w:rsid w:val="00A150A7"/>
    <w:rsid w:val="00A157E7"/>
    <w:rsid w:val="00A210DD"/>
    <w:rsid w:val="00A21443"/>
    <w:rsid w:val="00A2272C"/>
    <w:rsid w:val="00A22ED0"/>
    <w:rsid w:val="00A24099"/>
    <w:rsid w:val="00A264B0"/>
    <w:rsid w:val="00A2768E"/>
    <w:rsid w:val="00A33E3C"/>
    <w:rsid w:val="00A3426E"/>
    <w:rsid w:val="00A353ED"/>
    <w:rsid w:val="00A375D9"/>
    <w:rsid w:val="00A43CAC"/>
    <w:rsid w:val="00A45E20"/>
    <w:rsid w:val="00A46DB8"/>
    <w:rsid w:val="00A52DF2"/>
    <w:rsid w:val="00A55810"/>
    <w:rsid w:val="00A56E3B"/>
    <w:rsid w:val="00A56E65"/>
    <w:rsid w:val="00A57C5A"/>
    <w:rsid w:val="00A64AD2"/>
    <w:rsid w:val="00A64D79"/>
    <w:rsid w:val="00A67AE5"/>
    <w:rsid w:val="00A72C1F"/>
    <w:rsid w:val="00A76EC6"/>
    <w:rsid w:val="00A82724"/>
    <w:rsid w:val="00A8273C"/>
    <w:rsid w:val="00A83E5E"/>
    <w:rsid w:val="00A84B66"/>
    <w:rsid w:val="00A84C12"/>
    <w:rsid w:val="00A85CA4"/>
    <w:rsid w:val="00A85D04"/>
    <w:rsid w:val="00A85DB4"/>
    <w:rsid w:val="00A86044"/>
    <w:rsid w:val="00A86435"/>
    <w:rsid w:val="00A93121"/>
    <w:rsid w:val="00A96709"/>
    <w:rsid w:val="00A97EBD"/>
    <w:rsid w:val="00AA260F"/>
    <w:rsid w:val="00AA5F19"/>
    <w:rsid w:val="00AA750A"/>
    <w:rsid w:val="00AB001C"/>
    <w:rsid w:val="00AB201F"/>
    <w:rsid w:val="00AB37EB"/>
    <w:rsid w:val="00AB39C5"/>
    <w:rsid w:val="00AB4438"/>
    <w:rsid w:val="00AB4466"/>
    <w:rsid w:val="00AB6814"/>
    <w:rsid w:val="00AB6863"/>
    <w:rsid w:val="00AB6BE3"/>
    <w:rsid w:val="00AB71F3"/>
    <w:rsid w:val="00AC0555"/>
    <w:rsid w:val="00AC625F"/>
    <w:rsid w:val="00AC67C3"/>
    <w:rsid w:val="00AC6CA3"/>
    <w:rsid w:val="00AC6DB5"/>
    <w:rsid w:val="00AC7871"/>
    <w:rsid w:val="00AD019C"/>
    <w:rsid w:val="00AD3D04"/>
    <w:rsid w:val="00AD500D"/>
    <w:rsid w:val="00AD7C27"/>
    <w:rsid w:val="00AE0DF0"/>
    <w:rsid w:val="00AE10E9"/>
    <w:rsid w:val="00AE164F"/>
    <w:rsid w:val="00AE5EDA"/>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383D"/>
    <w:rsid w:val="00B249F3"/>
    <w:rsid w:val="00B25B74"/>
    <w:rsid w:val="00B26B93"/>
    <w:rsid w:val="00B26C0B"/>
    <w:rsid w:val="00B27126"/>
    <w:rsid w:val="00B32CDE"/>
    <w:rsid w:val="00B362BE"/>
    <w:rsid w:val="00B363A2"/>
    <w:rsid w:val="00B37213"/>
    <w:rsid w:val="00B41711"/>
    <w:rsid w:val="00B501C6"/>
    <w:rsid w:val="00B503F3"/>
    <w:rsid w:val="00B504C9"/>
    <w:rsid w:val="00B52A47"/>
    <w:rsid w:val="00B53FB4"/>
    <w:rsid w:val="00B54024"/>
    <w:rsid w:val="00B541C6"/>
    <w:rsid w:val="00B556DD"/>
    <w:rsid w:val="00B5798F"/>
    <w:rsid w:val="00B6104B"/>
    <w:rsid w:val="00B61CB4"/>
    <w:rsid w:val="00B65DB9"/>
    <w:rsid w:val="00B66644"/>
    <w:rsid w:val="00B67756"/>
    <w:rsid w:val="00B70DA9"/>
    <w:rsid w:val="00B712B0"/>
    <w:rsid w:val="00B71802"/>
    <w:rsid w:val="00B7200B"/>
    <w:rsid w:val="00B77EB8"/>
    <w:rsid w:val="00B81A2A"/>
    <w:rsid w:val="00B84109"/>
    <w:rsid w:val="00B85BDA"/>
    <w:rsid w:val="00B870D6"/>
    <w:rsid w:val="00B932C8"/>
    <w:rsid w:val="00B93B31"/>
    <w:rsid w:val="00B9457F"/>
    <w:rsid w:val="00B965BF"/>
    <w:rsid w:val="00BA06B1"/>
    <w:rsid w:val="00BA3125"/>
    <w:rsid w:val="00BA3654"/>
    <w:rsid w:val="00BA600B"/>
    <w:rsid w:val="00BA7CE7"/>
    <w:rsid w:val="00BC0F9A"/>
    <w:rsid w:val="00BC43E2"/>
    <w:rsid w:val="00BD1607"/>
    <w:rsid w:val="00BD45A0"/>
    <w:rsid w:val="00BE1D55"/>
    <w:rsid w:val="00BE2049"/>
    <w:rsid w:val="00BE2790"/>
    <w:rsid w:val="00BE2F51"/>
    <w:rsid w:val="00BE3214"/>
    <w:rsid w:val="00BE5439"/>
    <w:rsid w:val="00BE62DB"/>
    <w:rsid w:val="00BE7E1A"/>
    <w:rsid w:val="00BF0050"/>
    <w:rsid w:val="00BF055A"/>
    <w:rsid w:val="00BF0B13"/>
    <w:rsid w:val="00BF2096"/>
    <w:rsid w:val="00BF651C"/>
    <w:rsid w:val="00BF7BD3"/>
    <w:rsid w:val="00C01B04"/>
    <w:rsid w:val="00C01B3A"/>
    <w:rsid w:val="00C03721"/>
    <w:rsid w:val="00C05291"/>
    <w:rsid w:val="00C06025"/>
    <w:rsid w:val="00C115C1"/>
    <w:rsid w:val="00C118DD"/>
    <w:rsid w:val="00C13C81"/>
    <w:rsid w:val="00C14A5C"/>
    <w:rsid w:val="00C14B0A"/>
    <w:rsid w:val="00C23EFE"/>
    <w:rsid w:val="00C26CD3"/>
    <w:rsid w:val="00C27E92"/>
    <w:rsid w:val="00C3047B"/>
    <w:rsid w:val="00C30749"/>
    <w:rsid w:val="00C3163F"/>
    <w:rsid w:val="00C354B2"/>
    <w:rsid w:val="00C35E4D"/>
    <w:rsid w:val="00C379F3"/>
    <w:rsid w:val="00C436F7"/>
    <w:rsid w:val="00C45237"/>
    <w:rsid w:val="00C45692"/>
    <w:rsid w:val="00C46175"/>
    <w:rsid w:val="00C47E57"/>
    <w:rsid w:val="00C55B02"/>
    <w:rsid w:val="00C56142"/>
    <w:rsid w:val="00C56B3A"/>
    <w:rsid w:val="00C56EFE"/>
    <w:rsid w:val="00C57F00"/>
    <w:rsid w:val="00C60C0B"/>
    <w:rsid w:val="00C66382"/>
    <w:rsid w:val="00C67F09"/>
    <w:rsid w:val="00C72788"/>
    <w:rsid w:val="00C76A5E"/>
    <w:rsid w:val="00C800A6"/>
    <w:rsid w:val="00C865D9"/>
    <w:rsid w:val="00C86760"/>
    <w:rsid w:val="00C87110"/>
    <w:rsid w:val="00C90813"/>
    <w:rsid w:val="00C90C2B"/>
    <w:rsid w:val="00C9582B"/>
    <w:rsid w:val="00C959F7"/>
    <w:rsid w:val="00C978FA"/>
    <w:rsid w:val="00CA13F9"/>
    <w:rsid w:val="00CA2B14"/>
    <w:rsid w:val="00CA2D2A"/>
    <w:rsid w:val="00CA40E0"/>
    <w:rsid w:val="00CA4C49"/>
    <w:rsid w:val="00CA67AB"/>
    <w:rsid w:val="00CA789C"/>
    <w:rsid w:val="00CB0CBE"/>
    <w:rsid w:val="00CB1649"/>
    <w:rsid w:val="00CB1C6D"/>
    <w:rsid w:val="00CB5956"/>
    <w:rsid w:val="00CB60A9"/>
    <w:rsid w:val="00CC3EAA"/>
    <w:rsid w:val="00CD25E9"/>
    <w:rsid w:val="00CD26A7"/>
    <w:rsid w:val="00CD4A8B"/>
    <w:rsid w:val="00CE3799"/>
    <w:rsid w:val="00CE4AA9"/>
    <w:rsid w:val="00CE5477"/>
    <w:rsid w:val="00CE76BA"/>
    <w:rsid w:val="00CE7ADD"/>
    <w:rsid w:val="00CF4B64"/>
    <w:rsid w:val="00CF5E7B"/>
    <w:rsid w:val="00CF7A75"/>
    <w:rsid w:val="00D00362"/>
    <w:rsid w:val="00D013C2"/>
    <w:rsid w:val="00D02293"/>
    <w:rsid w:val="00D026B6"/>
    <w:rsid w:val="00D03953"/>
    <w:rsid w:val="00D03F61"/>
    <w:rsid w:val="00D047D6"/>
    <w:rsid w:val="00D047EE"/>
    <w:rsid w:val="00D12CFB"/>
    <w:rsid w:val="00D1326C"/>
    <w:rsid w:val="00D1431B"/>
    <w:rsid w:val="00D14690"/>
    <w:rsid w:val="00D15BBA"/>
    <w:rsid w:val="00D16F48"/>
    <w:rsid w:val="00D2248F"/>
    <w:rsid w:val="00D229B5"/>
    <w:rsid w:val="00D258C9"/>
    <w:rsid w:val="00D265B2"/>
    <w:rsid w:val="00D26BA6"/>
    <w:rsid w:val="00D27D4B"/>
    <w:rsid w:val="00D320C3"/>
    <w:rsid w:val="00D324A3"/>
    <w:rsid w:val="00D33B40"/>
    <w:rsid w:val="00D35146"/>
    <w:rsid w:val="00D3596F"/>
    <w:rsid w:val="00D40CED"/>
    <w:rsid w:val="00D42F04"/>
    <w:rsid w:val="00D447E5"/>
    <w:rsid w:val="00D457D0"/>
    <w:rsid w:val="00D463A4"/>
    <w:rsid w:val="00D4699C"/>
    <w:rsid w:val="00D47877"/>
    <w:rsid w:val="00D513A1"/>
    <w:rsid w:val="00D54B5E"/>
    <w:rsid w:val="00D57D07"/>
    <w:rsid w:val="00D618E7"/>
    <w:rsid w:val="00D619A2"/>
    <w:rsid w:val="00D633CE"/>
    <w:rsid w:val="00D66AB5"/>
    <w:rsid w:val="00D676A0"/>
    <w:rsid w:val="00D70856"/>
    <w:rsid w:val="00D73117"/>
    <w:rsid w:val="00D73D86"/>
    <w:rsid w:val="00D8335C"/>
    <w:rsid w:val="00D9068D"/>
    <w:rsid w:val="00D92B16"/>
    <w:rsid w:val="00D93862"/>
    <w:rsid w:val="00D93CC2"/>
    <w:rsid w:val="00D9629E"/>
    <w:rsid w:val="00D97633"/>
    <w:rsid w:val="00DA0044"/>
    <w:rsid w:val="00DA2106"/>
    <w:rsid w:val="00DA23EB"/>
    <w:rsid w:val="00DA2769"/>
    <w:rsid w:val="00DA4ECD"/>
    <w:rsid w:val="00DB02EF"/>
    <w:rsid w:val="00DB0A56"/>
    <w:rsid w:val="00DB1182"/>
    <w:rsid w:val="00DB1699"/>
    <w:rsid w:val="00DB1DEC"/>
    <w:rsid w:val="00DB3DC8"/>
    <w:rsid w:val="00DB5115"/>
    <w:rsid w:val="00DB5177"/>
    <w:rsid w:val="00DB5C75"/>
    <w:rsid w:val="00DB66E6"/>
    <w:rsid w:val="00DC0E5A"/>
    <w:rsid w:val="00DC23FE"/>
    <w:rsid w:val="00DC2E39"/>
    <w:rsid w:val="00DC38B9"/>
    <w:rsid w:val="00DC5B37"/>
    <w:rsid w:val="00DC5DDD"/>
    <w:rsid w:val="00DD1971"/>
    <w:rsid w:val="00DD2714"/>
    <w:rsid w:val="00DD2F9C"/>
    <w:rsid w:val="00DD309E"/>
    <w:rsid w:val="00DD49C1"/>
    <w:rsid w:val="00DE01B6"/>
    <w:rsid w:val="00DE0813"/>
    <w:rsid w:val="00DE1304"/>
    <w:rsid w:val="00DE1FBD"/>
    <w:rsid w:val="00DE3F86"/>
    <w:rsid w:val="00DE4677"/>
    <w:rsid w:val="00DE64ED"/>
    <w:rsid w:val="00DF064D"/>
    <w:rsid w:val="00DF0CBF"/>
    <w:rsid w:val="00DF5375"/>
    <w:rsid w:val="00E003D9"/>
    <w:rsid w:val="00E017CF"/>
    <w:rsid w:val="00E028F6"/>
    <w:rsid w:val="00E0753F"/>
    <w:rsid w:val="00E10BF1"/>
    <w:rsid w:val="00E1160C"/>
    <w:rsid w:val="00E11B5C"/>
    <w:rsid w:val="00E13E2B"/>
    <w:rsid w:val="00E22DB7"/>
    <w:rsid w:val="00E23C1B"/>
    <w:rsid w:val="00E24D2B"/>
    <w:rsid w:val="00E25DDC"/>
    <w:rsid w:val="00E274D3"/>
    <w:rsid w:val="00E345BF"/>
    <w:rsid w:val="00E34D59"/>
    <w:rsid w:val="00E35DC3"/>
    <w:rsid w:val="00E405EA"/>
    <w:rsid w:val="00E40877"/>
    <w:rsid w:val="00E40C37"/>
    <w:rsid w:val="00E51F8B"/>
    <w:rsid w:val="00E51FCF"/>
    <w:rsid w:val="00E529D4"/>
    <w:rsid w:val="00E53839"/>
    <w:rsid w:val="00E53956"/>
    <w:rsid w:val="00E53C18"/>
    <w:rsid w:val="00E53F41"/>
    <w:rsid w:val="00E54488"/>
    <w:rsid w:val="00E55F02"/>
    <w:rsid w:val="00E56D2F"/>
    <w:rsid w:val="00E6196B"/>
    <w:rsid w:val="00E635B9"/>
    <w:rsid w:val="00E6363C"/>
    <w:rsid w:val="00E643EE"/>
    <w:rsid w:val="00E66700"/>
    <w:rsid w:val="00E66AD7"/>
    <w:rsid w:val="00E67B0A"/>
    <w:rsid w:val="00E71BAD"/>
    <w:rsid w:val="00E733FF"/>
    <w:rsid w:val="00E74106"/>
    <w:rsid w:val="00E74864"/>
    <w:rsid w:val="00E74FBD"/>
    <w:rsid w:val="00E754E8"/>
    <w:rsid w:val="00E75EF4"/>
    <w:rsid w:val="00E82FD8"/>
    <w:rsid w:val="00E834E7"/>
    <w:rsid w:val="00E83ABA"/>
    <w:rsid w:val="00E83E70"/>
    <w:rsid w:val="00E86286"/>
    <w:rsid w:val="00E90645"/>
    <w:rsid w:val="00E91E16"/>
    <w:rsid w:val="00E952EF"/>
    <w:rsid w:val="00E96437"/>
    <w:rsid w:val="00E968A0"/>
    <w:rsid w:val="00E97145"/>
    <w:rsid w:val="00E97BB6"/>
    <w:rsid w:val="00EA4196"/>
    <w:rsid w:val="00EB0BAE"/>
    <w:rsid w:val="00EB0F20"/>
    <w:rsid w:val="00EB1632"/>
    <w:rsid w:val="00EB4EB6"/>
    <w:rsid w:val="00EB535D"/>
    <w:rsid w:val="00EC34E0"/>
    <w:rsid w:val="00EC5385"/>
    <w:rsid w:val="00EC5430"/>
    <w:rsid w:val="00EC6025"/>
    <w:rsid w:val="00EC60B6"/>
    <w:rsid w:val="00EC6373"/>
    <w:rsid w:val="00EC7853"/>
    <w:rsid w:val="00ED047D"/>
    <w:rsid w:val="00ED0A59"/>
    <w:rsid w:val="00ED297E"/>
    <w:rsid w:val="00ED4626"/>
    <w:rsid w:val="00ED732D"/>
    <w:rsid w:val="00ED7BC4"/>
    <w:rsid w:val="00EE104D"/>
    <w:rsid w:val="00EE4150"/>
    <w:rsid w:val="00EE5F6D"/>
    <w:rsid w:val="00EF0701"/>
    <w:rsid w:val="00EF11F2"/>
    <w:rsid w:val="00EF236F"/>
    <w:rsid w:val="00EF3067"/>
    <w:rsid w:val="00F0000E"/>
    <w:rsid w:val="00F03AFB"/>
    <w:rsid w:val="00F11484"/>
    <w:rsid w:val="00F14729"/>
    <w:rsid w:val="00F14ED7"/>
    <w:rsid w:val="00F150D6"/>
    <w:rsid w:val="00F17670"/>
    <w:rsid w:val="00F17A90"/>
    <w:rsid w:val="00F2031D"/>
    <w:rsid w:val="00F224A5"/>
    <w:rsid w:val="00F23181"/>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111"/>
    <w:rsid w:val="00F51EF7"/>
    <w:rsid w:val="00F52A72"/>
    <w:rsid w:val="00F54C59"/>
    <w:rsid w:val="00F60883"/>
    <w:rsid w:val="00F609CB"/>
    <w:rsid w:val="00F64004"/>
    <w:rsid w:val="00F642D3"/>
    <w:rsid w:val="00F65F73"/>
    <w:rsid w:val="00F6631A"/>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5080"/>
    <w:rsid w:val="00F9544F"/>
    <w:rsid w:val="00F96224"/>
    <w:rsid w:val="00F9741A"/>
    <w:rsid w:val="00FA2589"/>
    <w:rsid w:val="00FA34DF"/>
    <w:rsid w:val="00FA3F4D"/>
    <w:rsid w:val="00FA3FBD"/>
    <w:rsid w:val="00FA4E21"/>
    <w:rsid w:val="00FA62B4"/>
    <w:rsid w:val="00FA70CF"/>
    <w:rsid w:val="00FA71DD"/>
    <w:rsid w:val="00FA79D7"/>
    <w:rsid w:val="00FB3AA4"/>
    <w:rsid w:val="00FB3C35"/>
    <w:rsid w:val="00FB4243"/>
    <w:rsid w:val="00FB4627"/>
    <w:rsid w:val="00FC0F57"/>
    <w:rsid w:val="00FC1BC9"/>
    <w:rsid w:val="00FC27DB"/>
    <w:rsid w:val="00FC41DA"/>
    <w:rsid w:val="00FC5C65"/>
    <w:rsid w:val="00FC6C26"/>
    <w:rsid w:val="00FC75B8"/>
    <w:rsid w:val="00FC75D3"/>
    <w:rsid w:val="00FD2561"/>
    <w:rsid w:val="00FD318F"/>
    <w:rsid w:val="00FD54BE"/>
    <w:rsid w:val="00FD7CD4"/>
    <w:rsid w:val="00FE2498"/>
    <w:rsid w:val="00FE2831"/>
    <w:rsid w:val="00FE3548"/>
    <w:rsid w:val="00FE6556"/>
    <w:rsid w:val="00FF09A4"/>
    <w:rsid w:val="00FF204B"/>
    <w:rsid w:val="00FF2151"/>
    <w:rsid w:val="00FF2899"/>
    <w:rsid w:val="00FF3067"/>
    <w:rsid w:val="00FF30B7"/>
    <w:rsid w:val="00FF4236"/>
    <w:rsid w:val="00FF5A88"/>
    <w:rsid w:val="00FF60DE"/>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496EED"/>
    <w:rPr>
      <w:sz w:val="16"/>
      <w:szCs w:val="16"/>
    </w:rPr>
  </w:style>
  <w:style w:type="paragraph" w:styleId="CommentText">
    <w:name w:val="annotation text"/>
    <w:basedOn w:val="Normal"/>
    <w:link w:val="CommentTextChar"/>
    <w:uiPriority w:val="99"/>
    <w:semiHidden/>
    <w:unhideWhenUsed/>
    <w:rsid w:val="00496EED"/>
    <w:pPr>
      <w:spacing w:line="240" w:lineRule="auto"/>
    </w:pPr>
    <w:rPr>
      <w:szCs w:val="20"/>
    </w:rPr>
  </w:style>
  <w:style w:type="character" w:customStyle="1" w:styleId="CommentTextChar">
    <w:name w:val="Comment Text Char"/>
    <w:basedOn w:val="DefaultParagraphFont"/>
    <w:link w:val="CommentText"/>
    <w:uiPriority w:val="99"/>
    <w:semiHidden/>
    <w:rsid w:val="00496EED"/>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496EED"/>
    <w:rPr>
      <w:b/>
      <w:bCs/>
    </w:rPr>
  </w:style>
  <w:style w:type="character" w:customStyle="1" w:styleId="CommentSubjectChar">
    <w:name w:val="Comment Subject Char"/>
    <w:basedOn w:val="CommentTextChar"/>
    <w:link w:val="CommentSubject"/>
    <w:uiPriority w:val="99"/>
    <w:semiHidden/>
    <w:rsid w:val="00496EED"/>
    <w:rPr>
      <w:rFonts w:ascii="Times New Roman" w:hAnsi="Times New Roman"/>
      <w:b/>
      <w:bCs/>
      <w:spacing w:val="4"/>
      <w:w w:val="103"/>
      <w:kern w:val="14"/>
    </w:rPr>
  </w:style>
  <w:style w:type="table" w:styleId="TableGrid">
    <w:name w:val="Table Grid"/>
    <w:basedOn w:val="TableNormal"/>
    <w:uiPriority w:val="59"/>
    <w:rsid w:val="00A93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935"/>
    <w:rPr>
      <w:color w:val="0000FF" w:themeColor="hyperlink"/>
      <w:u w:val="single"/>
    </w:rPr>
  </w:style>
  <w:style w:type="character" w:styleId="FollowedHyperlink">
    <w:name w:val="FollowedHyperlink"/>
    <w:basedOn w:val="DefaultParagraphFont"/>
    <w:uiPriority w:val="99"/>
    <w:semiHidden/>
    <w:unhideWhenUsed/>
    <w:rsid w:val="008E59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496EED"/>
    <w:rPr>
      <w:sz w:val="16"/>
      <w:szCs w:val="16"/>
    </w:rPr>
  </w:style>
  <w:style w:type="paragraph" w:styleId="CommentText">
    <w:name w:val="annotation text"/>
    <w:basedOn w:val="Normal"/>
    <w:link w:val="CommentTextChar"/>
    <w:uiPriority w:val="99"/>
    <w:semiHidden/>
    <w:unhideWhenUsed/>
    <w:rsid w:val="00496EED"/>
    <w:pPr>
      <w:spacing w:line="240" w:lineRule="auto"/>
    </w:pPr>
    <w:rPr>
      <w:szCs w:val="20"/>
    </w:rPr>
  </w:style>
  <w:style w:type="character" w:customStyle="1" w:styleId="CommentTextChar">
    <w:name w:val="Comment Text Char"/>
    <w:basedOn w:val="DefaultParagraphFont"/>
    <w:link w:val="CommentText"/>
    <w:uiPriority w:val="99"/>
    <w:semiHidden/>
    <w:rsid w:val="00496EED"/>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496EED"/>
    <w:rPr>
      <w:b/>
      <w:bCs/>
    </w:rPr>
  </w:style>
  <w:style w:type="character" w:customStyle="1" w:styleId="CommentSubjectChar">
    <w:name w:val="Comment Subject Char"/>
    <w:basedOn w:val="CommentTextChar"/>
    <w:link w:val="CommentSubject"/>
    <w:uiPriority w:val="99"/>
    <w:semiHidden/>
    <w:rsid w:val="00496EED"/>
    <w:rPr>
      <w:rFonts w:ascii="Times New Roman" w:hAnsi="Times New Roman"/>
      <w:b/>
      <w:bCs/>
      <w:spacing w:val="4"/>
      <w:w w:val="103"/>
      <w:kern w:val="14"/>
    </w:rPr>
  </w:style>
  <w:style w:type="table" w:styleId="TableGrid">
    <w:name w:val="Table Grid"/>
    <w:basedOn w:val="TableNormal"/>
    <w:uiPriority w:val="59"/>
    <w:rsid w:val="00A93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935"/>
    <w:rPr>
      <w:color w:val="0000FF" w:themeColor="hyperlink"/>
      <w:u w:val="single"/>
    </w:rPr>
  </w:style>
  <w:style w:type="character" w:styleId="FollowedHyperlink">
    <w:name w:val="FollowedHyperlink"/>
    <w:basedOn w:val="DefaultParagraphFont"/>
    <w:uiPriority w:val="99"/>
    <w:semiHidden/>
    <w:unhideWhenUsed/>
    <w:rsid w:val="008E59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CBBFA-7E79-40DC-8520-7CCA8480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5987</Words>
  <Characters>34130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Chautagnat</dc:creator>
  <cp:lastModifiedBy>Christopher Smith</cp:lastModifiedBy>
  <cp:revision>4</cp:revision>
  <cp:lastPrinted>2015-07-02T09:57:00Z</cp:lastPrinted>
  <dcterms:created xsi:type="dcterms:W3CDTF">2015-07-02T09:54:00Z</dcterms:created>
  <dcterms:modified xsi:type="dcterms:W3CDTF">2015-07-02T09:57:00Z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1508909F</vt:lpwstr>
  </property>
  <property fmtid="{D5CDD505-2E9C-101B-9397-08002B2CF9AE}" pid="3" name="ODSRefJobNo">
    <vt:lpwstr>1511326F</vt:lpwstr>
  </property>
  <property fmtid="{D5CDD505-2E9C-101B-9397-08002B2CF9AE}" pid="4" name="Symbol1">
    <vt:lpwstr>ECE/TRANS/WP.15/AC.2/2015/29</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4 juin 2015</vt:lpwstr>
  </property>
  <property fmtid="{D5CDD505-2E9C-101B-9397-08002B2CF9AE}" pid="9" name="Original">
    <vt:lpwstr>anglais</vt:lpwstr>
  </property>
  <property fmtid="{D5CDD505-2E9C-101B-9397-08002B2CF9AE}" pid="10" name="Release Date">
    <vt:lpwstr>300615</vt:lpwstr>
  </property>
  <property fmtid="{D5CDD505-2E9C-101B-9397-08002B2CF9AE}" pid="11" name="Comment">
    <vt:lpwstr/>
  </property>
  <property fmtid="{D5CDD505-2E9C-101B-9397-08002B2CF9AE}" pid="12" name="DraftPages">
    <vt:lpwstr> </vt:lpwstr>
  </property>
  <property fmtid="{D5CDD505-2E9C-101B-9397-08002B2CF9AE}" pid="13" name="Operator">
    <vt:lpwstr>Chautagnat</vt:lpwstr>
  </property>
</Properties>
</file>