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E016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E0168" w:rsidP="00CE0168">
            <w:pPr>
              <w:jc w:val="right"/>
            </w:pPr>
            <w:r w:rsidRPr="00CE0168">
              <w:rPr>
                <w:sz w:val="40"/>
              </w:rPr>
              <w:t>ECE</w:t>
            </w:r>
            <w:r>
              <w:t>/TRANS/WP.15/AC.2/2015/18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E0168" w:rsidP="00892A2F">
            <w:pPr>
              <w:spacing w:before="240"/>
            </w:pPr>
            <w:r>
              <w:t>Distr. générale</w:t>
            </w:r>
          </w:p>
          <w:p w:rsidR="00CE0168" w:rsidRDefault="00CE0168" w:rsidP="00CE0168">
            <w:pPr>
              <w:spacing w:line="240" w:lineRule="exact"/>
            </w:pPr>
            <w:r>
              <w:t>1</w:t>
            </w:r>
            <w:r w:rsidRPr="00CE0168">
              <w:rPr>
                <w:vertAlign w:val="superscript"/>
              </w:rPr>
              <w:t>er</w:t>
            </w:r>
            <w:r>
              <w:t> mai 2015</w:t>
            </w:r>
          </w:p>
          <w:p w:rsidR="00CE0168" w:rsidRDefault="00CE0168" w:rsidP="00CE0168">
            <w:pPr>
              <w:spacing w:line="240" w:lineRule="exact"/>
            </w:pPr>
            <w:r>
              <w:t>Français</w:t>
            </w:r>
          </w:p>
          <w:p w:rsidR="00CE0168" w:rsidRPr="00DB58B5" w:rsidRDefault="00CE0168" w:rsidP="00CE0168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D2C1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A489A" w:rsidRPr="009E01B8" w:rsidRDefault="000A489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0A489A" w:rsidRPr="004812F5" w:rsidRDefault="000A489A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ED2C1B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ED2C1B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ED2C1B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CE0168" w:rsidRPr="00234E40" w:rsidRDefault="00CE0168" w:rsidP="00CE0168">
      <w:pPr>
        <w:spacing w:before="120"/>
        <w:rPr>
          <w:b/>
        </w:rPr>
      </w:pPr>
      <w:r>
        <w:rPr>
          <w:b/>
        </w:rPr>
        <w:t xml:space="preserve">Vingt-septième </w:t>
      </w:r>
      <w:r w:rsidRPr="00234E40">
        <w:rPr>
          <w:b/>
        </w:rPr>
        <w:t>session</w:t>
      </w:r>
    </w:p>
    <w:p w:rsidR="00CE0168" w:rsidRDefault="00CE0168" w:rsidP="00CE0168">
      <w:r>
        <w:t>Genève, 24-28 août 2015</w:t>
      </w:r>
    </w:p>
    <w:p w:rsidR="00CE0168" w:rsidRDefault="00CE0168" w:rsidP="00CE0168">
      <w:r w:rsidRPr="00B93E72">
        <w:t xml:space="preserve">Point </w:t>
      </w:r>
      <w:r>
        <w:t xml:space="preserve">3 c) </w:t>
      </w:r>
      <w:r w:rsidRPr="00B93E72">
        <w:t>de l</w:t>
      </w:r>
      <w:r w:rsidR="00ED2C1B">
        <w:t>’</w:t>
      </w:r>
      <w:r w:rsidRPr="00B93E72">
        <w:t>ordre du jour provisoire</w:t>
      </w:r>
    </w:p>
    <w:p w:rsidR="00CE0168" w:rsidRDefault="00CE0168" w:rsidP="00CE0168">
      <w:pPr>
        <w:rPr>
          <w:b/>
        </w:rPr>
      </w:pPr>
      <w:r>
        <w:rPr>
          <w:b/>
        </w:rPr>
        <w:t>Mise en œuvre de l</w:t>
      </w:r>
      <w:r w:rsidR="00ED2C1B">
        <w:rPr>
          <w:b/>
        </w:rPr>
        <w:t>’</w:t>
      </w:r>
      <w:r>
        <w:rPr>
          <w:b/>
        </w:rPr>
        <w:t>ADN: Interprétation</w:t>
      </w:r>
      <w:r>
        <w:rPr>
          <w:b/>
        </w:rPr>
        <w:br/>
        <w:t>du Règlement annexé à l</w:t>
      </w:r>
      <w:r w:rsidR="00ED2C1B">
        <w:rPr>
          <w:b/>
        </w:rPr>
        <w:t>’</w:t>
      </w:r>
      <w:r>
        <w:rPr>
          <w:b/>
        </w:rPr>
        <w:t>ADN</w:t>
      </w:r>
    </w:p>
    <w:p w:rsidR="00CE0168" w:rsidRDefault="00CE0168" w:rsidP="00CE0168">
      <w:pPr>
        <w:pStyle w:val="HChG"/>
      </w:pPr>
      <w:r>
        <w:tab/>
      </w:r>
      <w:r>
        <w:tab/>
      </w:r>
      <w:r w:rsidRPr="00CE0168">
        <w:t>Interprétation</w:t>
      </w:r>
      <w:r>
        <w:t xml:space="preserve">s nationales </w:t>
      </w:r>
    </w:p>
    <w:p w:rsidR="00CE0168" w:rsidRDefault="00CE0168" w:rsidP="00CE0168">
      <w:pPr>
        <w:pStyle w:val="H1G"/>
      </w:pPr>
      <w:r>
        <w:tab/>
      </w:r>
      <w:r>
        <w:tab/>
      </w:r>
      <w:r w:rsidRPr="00CE0168">
        <w:t>Communication</w:t>
      </w:r>
      <w:r>
        <w:t xml:space="preserve"> du Gouvernement des Pays-Bas</w:t>
      </w:r>
      <w:r w:rsidRPr="00CE0168">
        <w:rPr>
          <w:rStyle w:val="FootnoteReference"/>
          <w:b w:val="0"/>
        </w:rPr>
        <w:footnoteReference w:id="2"/>
      </w:r>
    </w:p>
    <w:p w:rsidR="00CE0168" w:rsidRDefault="00CE0168" w:rsidP="004E3E35">
      <w:pPr>
        <w:pStyle w:val="HChG"/>
        <w:tabs>
          <w:tab w:val="clear" w:pos="851"/>
        </w:tabs>
      </w:pPr>
      <w:r>
        <w:tab/>
        <w:t>Introduction</w:t>
      </w:r>
    </w:p>
    <w:p w:rsidR="00CE0168" w:rsidRDefault="00CE0168" w:rsidP="00CE0168">
      <w:pPr>
        <w:pStyle w:val="ParNoG"/>
      </w:pPr>
      <w:r>
        <w:t>À sa vingt-sixième session, le Comité de sécurité de l</w:t>
      </w:r>
      <w:r w:rsidR="00ED2C1B">
        <w:t>’</w:t>
      </w:r>
      <w:r>
        <w:t>ADN a examiné le document INF.17 (soumis par les Pays-Bas), relatif à la publication d</w:t>
      </w:r>
      <w:r w:rsidR="00ED2C1B">
        <w:t>’</w:t>
      </w:r>
      <w:r>
        <w:t>interprétations nationales des</w:t>
      </w:r>
      <w:r w:rsidR="004E3E35">
        <w:t> </w:t>
      </w:r>
      <w:r>
        <w:t>dispositions de l</w:t>
      </w:r>
      <w:r w:rsidR="00ED2C1B">
        <w:t>’</w:t>
      </w:r>
      <w:r>
        <w:t>ADN.</w:t>
      </w:r>
    </w:p>
    <w:p w:rsidR="00CE0168" w:rsidRDefault="00CE0168" w:rsidP="00CE0168">
      <w:pPr>
        <w:pStyle w:val="ParNoG"/>
      </w:pPr>
      <w:r>
        <w:t>À l</w:t>
      </w:r>
      <w:r w:rsidR="00ED2C1B">
        <w:t>’</w:t>
      </w:r>
      <w:r>
        <w:t xml:space="preserve">issue de </w:t>
      </w:r>
      <w:r w:rsidRPr="00CE0168">
        <w:t>cet</w:t>
      </w:r>
      <w:r>
        <w:t xml:space="preserve"> examen, le Comité de sécurité a chargé la délégation des Pays-Bas de présenter les interprétations nationales de l</w:t>
      </w:r>
      <w:r w:rsidR="00ED2C1B">
        <w:t>’</w:t>
      </w:r>
      <w:r>
        <w:t>administration des Pays-Bas afin qu</w:t>
      </w:r>
      <w:r w:rsidR="00ED2C1B">
        <w:t>’</w:t>
      </w:r>
      <w:r>
        <w:t>elles puissent être examinées lors de sa prochaine session (ECE/TRANS/WP.15/AC.2/54, par. 17 à 20). On trouvera les trois interprétations nationales en annexe.</w:t>
      </w:r>
    </w:p>
    <w:p w:rsidR="00CE0168" w:rsidRDefault="00CE0168" w:rsidP="00CE0168">
      <w:pPr>
        <w:pStyle w:val="HChG"/>
      </w:pPr>
      <w:r>
        <w:lastRenderedPageBreak/>
        <w:tab/>
      </w:r>
      <w:r>
        <w:tab/>
        <w:t xml:space="preserve">Examen </w:t>
      </w:r>
      <w:r w:rsidRPr="00CE0168">
        <w:t>de</w:t>
      </w:r>
      <w:r>
        <w:t xml:space="preserve"> la question</w:t>
      </w:r>
    </w:p>
    <w:p w:rsidR="00CE0168" w:rsidRDefault="00CE0168" w:rsidP="00CE0168">
      <w:pPr>
        <w:pStyle w:val="ParNoG"/>
      </w:pPr>
      <w:r>
        <w:t>L</w:t>
      </w:r>
      <w:r w:rsidR="00ED2C1B">
        <w:t>’</w:t>
      </w:r>
      <w:r>
        <w:t>ADN vise à réglementer le transport des marchandises dangereuses afin qu</w:t>
      </w:r>
      <w:r w:rsidR="00ED2C1B">
        <w:t>’</w:t>
      </w:r>
      <w:r>
        <w:t>il soit sûr et durable et à faciliter les opérations de transport et promouvoir le commerce des</w:t>
      </w:r>
      <w:r w:rsidR="004E3E35">
        <w:t> </w:t>
      </w:r>
      <w:r>
        <w:t>marchandises dangereuses sur les voies de navigation intérieures.</w:t>
      </w:r>
    </w:p>
    <w:p w:rsidR="00CE0168" w:rsidRDefault="00CE0168" w:rsidP="00CE0168">
      <w:pPr>
        <w:pStyle w:val="ParNoG"/>
      </w:pPr>
      <w:r>
        <w:t>Pour parvenir à cet objectif, il faut disposer d</w:t>
      </w:r>
      <w:r w:rsidR="00ED2C1B">
        <w:t>’</w:t>
      </w:r>
      <w:r>
        <w:t>un ensemble de dispositions communes. De l</w:t>
      </w:r>
      <w:r w:rsidR="00ED2C1B">
        <w:t>’</w:t>
      </w:r>
      <w:r>
        <w:t>avis de la délégation des Pays-Bas, les objectifs de l</w:t>
      </w:r>
      <w:r w:rsidR="00ED2C1B">
        <w:t>’</w:t>
      </w:r>
      <w:r>
        <w:t>ADN supposent non seulement des dispositions communes mais aussi une interprétation commune desdites dispositions. Si tel n</w:t>
      </w:r>
      <w:r w:rsidR="00ED2C1B">
        <w:t>’</w:t>
      </w:r>
      <w:r>
        <w:t>est pas le cas, les États parties à l</w:t>
      </w:r>
      <w:r w:rsidR="00ED2C1B">
        <w:t>’</w:t>
      </w:r>
      <w:r>
        <w:t>ADN risquent de ne pas mettre en œuvre ces dispositions de la même façon. De telles divergences nuiraient à la réalisation des objectifs de l</w:t>
      </w:r>
      <w:r w:rsidR="00ED2C1B">
        <w:t>’</w:t>
      </w:r>
      <w:r>
        <w:t>ADN, fausseraient les règles du jeu et risqueraient d</w:t>
      </w:r>
      <w:r w:rsidR="00ED2C1B">
        <w:t>’</w:t>
      </w:r>
      <w:r>
        <w:t>entraîner des disparités législatives.</w:t>
      </w:r>
    </w:p>
    <w:p w:rsidR="00CE0168" w:rsidRDefault="00CE0168" w:rsidP="00CE0168">
      <w:pPr>
        <w:pStyle w:val="ParNoG"/>
      </w:pPr>
      <w:r>
        <w:t>C</w:t>
      </w:r>
      <w:r w:rsidR="00ED2C1B">
        <w:t>’</w:t>
      </w:r>
      <w:r>
        <w:t>est la raison pour laquelle la délégation des Pays-Bas souhaite parvenir à des interprétations communes.</w:t>
      </w:r>
    </w:p>
    <w:p w:rsidR="00CE0168" w:rsidRDefault="00CE0168" w:rsidP="00CE0168">
      <w:pPr>
        <w:pStyle w:val="HChG"/>
      </w:pPr>
      <w:r>
        <w:tab/>
      </w:r>
      <w:r>
        <w:tab/>
      </w:r>
      <w:r w:rsidRPr="00CE0168">
        <w:t>Propositions</w:t>
      </w:r>
    </w:p>
    <w:p w:rsidR="00CE0168" w:rsidRDefault="00CE0168" w:rsidP="00CE0168">
      <w:pPr>
        <w:pStyle w:val="ParNoG"/>
      </w:pPr>
      <w:r>
        <w:t>La délégation des Pays-Bas propose d</w:t>
      </w:r>
      <w:r w:rsidR="00ED2C1B">
        <w:t>’</w:t>
      </w:r>
      <w:r>
        <w:t>examiner l</w:t>
      </w:r>
      <w:r w:rsidR="00ED2C1B">
        <w:t>’</w:t>
      </w:r>
      <w:r>
        <w:t>interprétation des paragraphes 7.2.4.25.5, 8.6.3 (question 10) et 1.2.1/7.2.3.22/7.2.4.16.9 pour savoir si ces interprétations seraient acceptables par le Comité de sécurité, ce dont la délégation des Pays-Bas se féliciterait</w:t>
      </w:r>
      <w:r w:rsidR="00ED2C1B">
        <w:t>.</w:t>
      </w:r>
      <w:r>
        <w:t xml:space="preserve"> L</w:t>
      </w:r>
      <w:r w:rsidR="00ED2C1B">
        <w:t>’</w:t>
      </w:r>
      <w:r>
        <w:t>interprétation du deuxième paragraphe concerne une disposition qui se présente sous la forme d</w:t>
      </w:r>
      <w:r w:rsidR="00ED2C1B">
        <w:t>’</w:t>
      </w:r>
      <w:r>
        <w:t>une «norme ouverte», ce qui n</w:t>
      </w:r>
      <w:r w:rsidR="00ED2C1B">
        <w:t>’</w:t>
      </w:r>
      <w:r>
        <w:t>est</w:t>
      </w:r>
      <w:r w:rsidR="00ED2C1B">
        <w:t xml:space="preserve"> </w:t>
      </w:r>
      <w:r>
        <w:t>le cas ni d</w:t>
      </w:r>
      <w:r w:rsidR="004E3E35">
        <w:t>u</w:t>
      </w:r>
      <w:r>
        <w:t xml:space="preserve"> premi</w:t>
      </w:r>
      <w:r w:rsidR="004E3E35">
        <w:t>e</w:t>
      </w:r>
      <w:r>
        <w:t>r ni d</w:t>
      </w:r>
      <w:r w:rsidR="004E3E35">
        <w:t xml:space="preserve">u </w:t>
      </w:r>
      <w:r>
        <w:t>troisième</w:t>
      </w:r>
      <w:r w:rsidR="004E3E35">
        <w:t xml:space="preserve"> paragraphe</w:t>
      </w:r>
      <w:r>
        <w:t>.</w:t>
      </w:r>
    </w:p>
    <w:p w:rsidR="00CE0168" w:rsidRDefault="00CE0168" w:rsidP="00CE0168">
      <w:pPr>
        <w:pStyle w:val="ParNoG"/>
      </w:pPr>
      <w:r w:rsidRPr="00CE0168">
        <w:t>La</w:t>
      </w:r>
      <w:r>
        <w:t xml:space="preserve"> délégation des Pays-Bas propose en outre d</w:t>
      </w:r>
      <w:r w:rsidR="00ED2C1B">
        <w:t>’</w:t>
      </w:r>
      <w:r>
        <w:t>examiner et d</w:t>
      </w:r>
      <w:r w:rsidR="00ED2C1B">
        <w:t>’</w:t>
      </w:r>
      <w:r w:rsidR="004E3E35">
        <w:t xml:space="preserve">adopter </w:t>
      </w:r>
      <w:r>
        <w:t>une procédure national</w:t>
      </w:r>
      <w:r w:rsidR="004E3E35">
        <w:t>e d</w:t>
      </w:r>
      <w:r w:rsidR="00ED2C1B">
        <w:t>’</w:t>
      </w:r>
      <w:r w:rsidR="00A91D3A">
        <w:t>harmonisation</w:t>
      </w:r>
      <w:r>
        <w:t xml:space="preserve"> des interprétations. Elle souhaiterait proposer une procédure aux termes de laquelle les États membres</w:t>
      </w:r>
      <w:r w:rsidR="004E3E35">
        <w:t xml:space="preserve"> soumettraient, avant la mise en œuvre, l</w:t>
      </w:r>
      <w:r>
        <w:t>es interpré</w:t>
      </w:r>
      <w:r w:rsidR="004E3E35">
        <w:t>ta</w:t>
      </w:r>
      <w:r>
        <w:t>tions nationales</w:t>
      </w:r>
      <w:r w:rsidR="004E3E35">
        <w:t xml:space="preserve"> </w:t>
      </w:r>
      <w:r>
        <w:t xml:space="preserve">au Comité de sécurité. Ces propositions pourraient ensuite être examinées lors de la réunion suivante du Comité de sécurité </w:t>
      </w:r>
      <w:r w:rsidR="004E3E35">
        <w:t xml:space="preserve">qui les </w:t>
      </w:r>
      <w:r>
        <w:t>accepte</w:t>
      </w:r>
      <w:r w:rsidR="004E3E35">
        <w:t xml:space="preserve">rait ou les </w:t>
      </w:r>
      <w:r>
        <w:t>reje</w:t>
      </w:r>
      <w:r w:rsidR="004E3E35">
        <w:t>tt</w:t>
      </w:r>
      <w:r>
        <w:t>e</w:t>
      </w:r>
      <w:r w:rsidR="004E3E35">
        <w:t>rait</w:t>
      </w:r>
      <w:r>
        <w:t xml:space="preserve">. Les interprétations nationales des dispositions </w:t>
      </w:r>
      <w:r w:rsidR="004E3E35">
        <w:t xml:space="preserve">sous forme de </w:t>
      </w:r>
      <w:r>
        <w:t>«norme ouverte» pourraient être exclues de cette procédure mais</w:t>
      </w:r>
      <w:r w:rsidR="004E3E35">
        <w:t>,</w:t>
      </w:r>
      <w:r>
        <w:t xml:space="preserve"> même dans ce</w:t>
      </w:r>
      <w:r w:rsidR="004E3E35">
        <w:t>s</w:t>
      </w:r>
      <w:r>
        <w:t xml:space="preserve"> cas, </w:t>
      </w:r>
      <w:r w:rsidR="004E3E35">
        <w:t xml:space="preserve">des divergences plus ou moins </w:t>
      </w:r>
      <w:r>
        <w:t xml:space="preserve">importantes entre les interprétations nationales </w:t>
      </w:r>
      <w:r w:rsidR="004E3E35">
        <w:t xml:space="preserve">pourraient surgir </w:t>
      </w:r>
      <w:r>
        <w:t>car les bateaux risqueraient d</w:t>
      </w:r>
      <w:r w:rsidR="00ED2C1B">
        <w:t>’</w:t>
      </w:r>
      <w:r>
        <w:t>être équipés différemment.</w:t>
      </w:r>
    </w:p>
    <w:p w:rsidR="004E3E35" w:rsidRDefault="00CE0168" w:rsidP="00CE0168">
      <w:pPr>
        <w:pStyle w:val="ParNoG"/>
      </w:pPr>
      <w:r>
        <w:t>Dans le cas où elles seraient acceptées, ces interprétations uniformes seraient publiées sur le site Web de la CEE-ONU et mises en œuvre dans tous les États parties à</w:t>
      </w:r>
      <w:r w:rsidR="004E3E35">
        <w:t> </w:t>
      </w:r>
      <w:r>
        <w:t>l</w:t>
      </w:r>
      <w:r w:rsidR="00ED2C1B">
        <w:t>’</w:t>
      </w:r>
      <w:r>
        <w:t>ADN.</w:t>
      </w:r>
    </w:p>
    <w:p w:rsidR="004E3E35" w:rsidRDefault="004E3E35" w:rsidP="004E3E35">
      <w:pPr>
        <w:pStyle w:val="HChG"/>
      </w:pPr>
      <w:r>
        <w:br w:type="page"/>
      </w:r>
      <w:r>
        <w:lastRenderedPageBreak/>
        <w:t>Annexe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0"/>
        <w:gridCol w:w="3382"/>
      </w:tblGrid>
      <w:tr w:rsidR="004E3E35" w:rsidRPr="00580003" w:rsidTr="009E579F"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E3E35" w:rsidRPr="00580003" w:rsidRDefault="004E3E35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  <w:r>
              <w:rPr>
                <w:i/>
                <w:sz w:val="16"/>
              </w:rPr>
              <w:tab/>
              <w:t>Conduite de retour de vapeur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E3E35" w:rsidRPr="00580003" w:rsidRDefault="004E3E35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4E3E35" w:rsidRPr="00580003" w:rsidTr="009E579F">
        <w:trPr>
          <w:trHeight w:hRule="exact" w:val="113"/>
        </w:trPr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E3E35" w:rsidRPr="00580003" w:rsidRDefault="004E3E35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E3E35" w:rsidRPr="00580003" w:rsidRDefault="004E3E35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3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E3E35" w:rsidRPr="00580003" w:rsidRDefault="004E3E35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4E3E35" w:rsidRPr="00580003" w:rsidTr="009E579F">
        <w:tc>
          <w:tcPr>
            <w:tcW w:w="1134" w:type="dxa"/>
            <w:shd w:val="clear" w:color="auto" w:fill="auto"/>
          </w:tcPr>
          <w:p w:rsidR="004E3E35" w:rsidRPr="00580003" w:rsidRDefault="004E3E35" w:rsidP="009E579F">
            <w:pPr>
              <w:spacing w:before="40" w:after="120"/>
              <w:ind w:right="113"/>
              <w:rPr>
                <w:b/>
              </w:rPr>
            </w:pPr>
            <w:r>
              <w:rPr>
                <w:b/>
              </w:rPr>
              <w:t>Disposition</w:t>
            </w:r>
          </w:p>
        </w:tc>
        <w:tc>
          <w:tcPr>
            <w:tcW w:w="2835" w:type="dxa"/>
            <w:shd w:val="clear" w:color="auto" w:fill="auto"/>
          </w:tcPr>
          <w:p w:rsidR="004E3E35" w:rsidRPr="00580003" w:rsidRDefault="004E3E35" w:rsidP="009E579F">
            <w:pPr>
              <w:spacing w:before="40" w:after="120"/>
              <w:ind w:right="113"/>
              <w:rPr>
                <w:b/>
              </w:rPr>
            </w:pPr>
            <w:r>
              <w:rPr>
                <w:b/>
              </w:rPr>
              <w:t>Texte de l</w:t>
            </w:r>
            <w:r w:rsidR="00ED2C1B">
              <w:rPr>
                <w:b/>
              </w:rPr>
              <w:t>’</w:t>
            </w:r>
            <w:r>
              <w:rPr>
                <w:b/>
              </w:rPr>
              <w:t>ADN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E3E35" w:rsidRPr="00580003" w:rsidRDefault="004E3E35" w:rsidP="009E579F">
            <w:pPr>
              <w:spacing w:before="40" w:after="120"/>
              <w:ind w:right="113"/>
              <w:rPr>
                <w:b/>
              </w:rPr>
            </w:pPr>
            <w:r w:rsidRPr="00580003">
              <w:rPr>
                <w:b/>
              </w:rPr>
              <w:t>Interprétation</w:t>
            </w:r>
          </w:p>
        </w:tc>
      </w:tr>
      <w:tr w:rsidR="004E3E35" w:rsidRPr="00580003" w:rsidTr="009E579F">
        <w:tc>
          <w:tcPr>
            <w:tcW w:w="1134" w:type="dxa"/>
            <w:shd w:val="clear" w:color="auto" w:fill="auto"/>
          </w:tcPr>
          <w:p w:rsidR="004E3E35" w:rsidRPr="00580003" w:rsidRDefault="004E3E35" w:rsidP="009E579F">
            <w:pPr>
              <w:spacing w:before="40" w:after="120"/>
              <w:ind w:right="113"/>
            </w:pPr>
            <w:r w:rsidRPr="00580003">
              <w:t>7.2.4.25.5</w:t>
            </w:r>
          </w:p>
        </w:tc>
        <w:tc>
          <w:tcPr>
            <w:tcW w:w="2835" w:type="dxa"/>
            <w:shd w:val="clear" w:color="auto" w:fill="auto"/>
          </w:tcPr>
          <w:p w:rsidR="004E3E35" w:rsidRPr="00580003" w:rsidRDefault="004E3E35" w:rsidP="009E579F">
            <w:pPr>
              <w:spacing w:before="40" w:after="120"/>
              <w:ind w:right="113"/>
            </w:pPr>
            <w:r>
              <w:t>Les mélanges gaz-air survenant lors du chargement doivent être renvoyés à terre au moyen d</w:t>
            </w:r>
            <w:r w:rsidR="00ED2C1B">
              <w:t>’</w:t>
            </w:r>
            <w:r>
              <w:t>une conduite de retour de gaz pour autant qu</w:t>
            </w:r>
            <w:r w:rsidR="00ED2C1B">
              <w:t>’</w:t>
            </w:r>
            <w:r>
              <w:t>un bateau du type fermé est exigé à la colonne (7) du tableau C du chapitre 3.2</w:t>
            </w:r>
            <w:r w:rsidR="00ED2C1B"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E3E35" w:rsidRPr="00580003" w:rsidRDefault="004E3E35" w:rsidP="004E3E35">
            <w:pPr>
              <w:spacing w:before="40" w:after="120"/>
              <w:ind w:right="113"/>
            </w:pPr>
            <w:r>
              <w:t>Les propriétés d</w:t>
            </w:r>
            <w:r w:rsidR="00ED2C1B">
              <w:t>’</w:t>
            </w:r>
            <w:r>
              <w:t>un mélange gaz-air relâché pendant les opérations de chargement déterminent s</w:t>
            </w:r>
            <w:r w:rsidR="00ED2C1B">
              <w:t>’</w:t>
            </w:r>
            <w:r>
              <w:t>il faut oui ou non utiliser une conduite de retour de vapeur pendant lesdites opérations.</w:t>
            </w:r>
          </w:p>
        </w:tc>
      </w:tr>
      <w:tr w:rsidR="004E3E35" w:rsidRPr="00580003" w:rsidTr="009E579F">
        <w:tc>
          <w:tcPr>
            <w:tcW w:w="1134" w:type="dxa"/>
            <w:shd w:val="clear" w:color="auto" w:fill="auto"/>
          </w:tcPr>
          <w:p w:rsidR="004E3E35" w:rsidRPr="00580003" w:rsidRDefault="004E3E35" w:rsidP="009E579F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4E3E35" w:rsidRDefault="004E3E35" w:rsidP="009E579F">
            <w:pPr>
              <w:spacing w:before="40" w:after="120"/>
              <w:ind w:right="113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E3E35" w:rsidRDefault="004E3E35" w:rsidP="00553A92">
            <w:pPr>
              <w:spacing w:before="40" w:after="120"/>
              <w:ind w:right="113"/>
            </w:pPr>
            <w:r>
              <w:t>En conséquence, lors du chargement d</w:t>
            </w:r>
            <w:r w:rsidR="00ED2C1B">
              <w:t>’</w:t>
            </w:r>
            <w:r>
              <w:t xml:space="preserve">une cargaison du type ouvert, une conduite de retour de vapeur doit être utilisée pendant le chargement lorsque la </w:t>
            </w:r>
            <w:r w:rsidRPr="00580003">
              <w:rPr>
                <w:u w:val="single"/>
              </w:rPr>
              <w:t>cargaison précéde</w:t>
            </w:r>
            <w:r w:rsidR="00553A92">
              <w:rPr>
                <w:u w:val="single"/>
              </w:rPr>
              <w:t>mment transportée dans le</w:t>
            </w:r>
            <w:r w:rsidRPr="00580003">
              <w:rPr>
                <w:u w:val="single"/>
              </w:rPr>
              <w:t xml:space="preserve"> bateau</w:t>
            </w:r>
            <w:r>
              <w:t xml:space="preserve"> était du type fermé et nécessit</w:t>
            </w:r>
            <w:r w:rsidR="00553A92">
              <w:t>ait</w:t>
            </w:r>
            <w:r>
              <w:t xml:space="preserve"> un bateau </w:t>
            </w:r>
            <w:r w:rsidR="00553A92">
              <w:t xml:space="preserve">du même </w:t>
            </w:r>
            <w:r>
              <w:t>t</w:t>
            </w:r>
            <w:r w:rsidR="00553A92">
              <w:t>ype</w:t>
            </w:r>
            <w:r>
              <w:t>.</w:t>
            </w:r>
          </w:p>
        </w:tc>
      </w:tr>
      <w:tr w:rsidR="004E3E35" w:rsidRPr="00580003" w:rsidTr="009E579F">
        <w:tc>
          <w:tcPr>
            <w:tcW w:w="1134" w:type="dxa"/>
            <w:shd w:val="clear" w:color="auto" w:fill="auto"/>
          </w:tcPr>
          <w:p w:rsidR="004E3E35" w:rsidRPr="00580003" w:rsidRDefault="004E3E35" w:rsidP="009E579F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4E3E35" w:rsidRDefault="004E3E35" w:rsidP="009E579F">
            <w:pPr>
              <w:spacing w:before="40" w:after="120"/>
              <w:ind w:right="113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E3E35" w:rsidRPr="00580003" w:rsidRDefault="004E3E35" w:rsidP="009E579F">
            <w:pPr>
              <w:spacing w:before="40" w:after="120"/>
              <w:ind w:right="113"/>
            </w:pPr>
            <w:r w:rsidRPr="00580003">
              <w:t>(…)</w:t>
            </w:r>
          </w:p>
        </w:tc>
      </w:tr>
      <w:tr w:rsidR="00553A92" w:rsidRPr="00580003" w:rsidTr="009E579F">
        <w:tc>
          <w:tcPr>
            <w:tcW w:w="1134" w:type="dxa"/>
            <w:shd w:val="clear" w:color="auto" w:fill="auto"/>
          </w:tcPr>
          <w:p w:rsidR="00553A92" w:rsidRPr="00580003" w:rsidRDefault="00553A92" w:rsidP="009E579F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553A92" w:rsidRDefault="00553A92" w:rsidP="009E579F">
            <w:pPr>
              <w:spacing w:before="40" w:after="120"/>
              <w:ind w:right="113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53A92" w:rsidRPr="00580003" w:rsidRDefault="00553A92" w:rsidP="00ED2C1B">
            <w:pPr>
              <w:spacing w:before="40" w:after="120"/>
              <w:ind w:right="113"/>
            </w:pPr>
            <w:r>
              <w:t>Cette disposition ne s</w:t>
            </w:r>
            <w:r w:rsidR="00ED2C1B">
              <w:t>’</w:t>
            </w:r>
            <w:r>
              <w:t>applique pas à l</w:t>
            </w:r>
            <w:r w:rsidR="00ED2C1B">
              <w:t>’</w:t>
            </w:r>
            <w:r>
              <w:t>essence comme indiqué dans la Réglementation «Regeling Benzinevervoer in mobiele tanks 2006» (</w:t>
            </w:r>
            <w:r w:rsidR="00ED2C1B">
              <w:t>R</w:t>
            </w:r>
            <w:r>
              <w:t>églementation du transport d</w:t>
            </w:r>
            <w:r w:rsidR="00ED2C1B">
              <w:t>’</w:t>
            </w:r>
            <w:r>
              <w:t>essence en citernes mobiles, 2006).</w:t>
            </w:r>
          </w:p>
        </w:tc>
      </w:tr>
      <w:tr w:rsidR="00553A92" w:rsidRPr="00C8237B" w:rsidTr="00553A92">
        <w:tc>
          <w:tcPr>
            <w:tcW w:w="7371" w:type="dxa"/>
            <w:gridSpan w:val="4"/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 w:rsidRPr="00150DB3">
              <w:rPr>
                <w:b/>
              </w:rPr>
              <w:t>Explication</w:t>
            </w:r>
          </w:p>
        </w:tc>
      </w:tr>
      <w:tr w:rsidR="00553A92" w:rsidRPr="00C8237B" w:rsidTr="00553A92">
        <w:tc>
          <w:tcPr>
            <w:tcW w:w="7371" w:type="dxa"/>
            <w:gridSpan w:val="4"/>
            <w:shd w:val="clear" w:color="auto" w:fill="auto"/>
          </w:tcPr>
          <w:p w:rsidR="00553A92" w:rsidRPr="00C8237B" w:rsidRDefault="00553A92" w:rsidP="00553A92">
            <w:pPr>
              <w:spacing w:before="40" w:after="120"/>
              <w:ind w:right="113"/>
            </w:pPr>
            <w:r>
              <w:t>Les installations à terre prennent uniquement en considération les propriétés de la cargaison à charger et ne font aucun cas des propriétés des vapeurs provenant de la cargaison précédemment contenue dans les citernes, lesquelles peuvent être inflammables, toxiques et/ou cancérigènes.</w:t>
            </w:r>
          </w:p>
        </w:tc>
      </w:tr>
      <w:tr w:rsidR="00553A92" w:rsidRPr="00C8237B" w:rsidTr="00553A92">
        <w:tc>
          <w:tcPr>
            <w:tcW w:w="7371" w:type="dxa"/>
            <w:gridSpan w:val="4"/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>
              <w:t>Lors du chargement d</w:t>
            </w:r>
            <w:r w:rsidR="00ED2C1B">
              <w:t>’</w:t>
            </w:r>
            <w:r>
              <w:t>une cargaison pour laquelle une conduite de retour de vapeur n</w:t>
            </w:r>
            <w:r w:rsidR="00ED2C1B">
              <w:t>’</w:t>
            </w:r>
            <w:r>
              <w:t>est pas obligatoire, les vapeurs provenant de la cargaison précédente sont relâchées dans l</w:t>
            </w:r>
            <w:r w:rsidR="00ED2C1B">
              <w:t>’</w:t>
            </w:r>
            <w:r>
              <w:t>atmosphère, de sorte que l</w:t>
            </w:r>
            <w:r w:rsidR="00ED2C1B">
              <w:t>’</w:t>
            </w:r>
            <w:r>
              <w:t>équipage y est exposé.</w:t>
            </w:r>
          </w:p>
        </w:tc>
      </w:tr>
      <w:tr w:rsidR="00553A92" w:rsidRPr="00C8237B" w:rsidTr="00553A92">
        <w:tc>
          <w:tcPr>
            <w:tcW w:w="7371" w:type="dxa"/>
            <w:gridSpan w:val="4"/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>
              <w:t>L</w:t>
            </w:r>
            <w:r w:rsidR="00ED2C1B">
              <w:t>’</w:t>
            </w:r>
            <w:r>
              <w:t>interprétation proposée ci-dessus permet d</w:t>
            </w:r>
            <w:r w:rsidR="00ED2C1B">
              <w:t>’</w:t>
            </w:r>
            <w:r>
              <w:t>éviter cette situation.</w:t>
            </w:r>
          </w:p>
        </w:tc>
      </w:tr>
      <w:tr w:rsidR="00553A92" w:rsidRPr="00C8237B" w:rsidTr="00553A92">
        <w:tc>
          <w:tcPr>
            <w:tcW w:w="7371" w:type="dxa"/>
            <w:gridSpan w:val="4"/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>
              <w:rPr>
                <w:b/>
              </w:rPr>
              <w:t>Conséquences</w:t>
            </w:r>
          </w:p>
        </w:tc>
      </w:tr>
      <w:tr w:rsidR="00553A92" w:rsidRPr="00C8237B" w:rsidTr="00553A92">
        <w:tc>
          <w:tcPr>
            <w:tcW w:w="7371" w:type="dxa"/>
            <w:gridSpan w:val="4"/>
            <w:shd w:val="clear" w:color="auto" w:fill="auto"/>
          </w:tcPr>
          <w:p w:rsidR="00553A92" w:rsidRPr="00C8237B" w:rsidRDefault="00553A92" w:rsidP="00553A92">
            <w:pPr>
              <w:spacing w:before="40" w:after="120"/>
              <w:ind w:right="113"/>
            </w:pPr>
            <w:r>
              <w:t>La présente interprétation signifie qu</w:t>
            </w:r>
            <w:r w:rsidR="00ED2C1B">
              <w:t>’</w:t>
            </w:r>
            <w:r>
              <w:t>avant le chargement d</w:t>
            </w:r>
            <w:r w:rsidR="00ED2C1B">
              <w:t>’</w:t>
            </w:r>
            <w:r>
              <w:t>un bateau-citerne, il faut tenir compte des caractéristiques de la cargaison précédemment contenue dans les citernes. Plusieurs installations à terre (notamment celles utilisées pour les matières ouvertes) ne sont pas équipées de conduites de retour de vapeur.</w:t>
            </w:r>
          </w:p>
        </w:tc>
      </w:tr>
      <w:tr w:rsidR="00553A92" w:rsidRPr="00C8237B" w:rsidTr="00553A92">
        <w:tc>
          <w:tcPr>
            <w:tcW w:w="737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>
              <w:t>Dans ce cas, ces installations ne sont pas autorisées à effectuer des opérations de chargement dans des bateaux non nettoyés ayant précédemment contenu une cargaison du type «fermé»</w:t>
            </w:r>
          </w:p>
        </w:tc>
      </w:tr>
    </w:tbl>
    <w:p w:rsidR="00553A92" w:rsidRDefault="00553A92" w:rsidP="004E3E35">
      <w:pPr>
        <w:pStyle w:val="ParNoG"/>
        <w:numPr>
          <w:ilvl w:val="0"/>
          <w:numId w:val="0"/>
        </w:numPr>
        <w:ind w:left="1134"/>
      </w:pPr>
      <w:r>
        <w:br w:type="page"/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553A92" w:rsidRPr="00C8237B" w:rsidTr="00553A92">
        <w:tc>
          <w:tcPr>
            <w:tcW w:w="850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53A92" w:rsidRPr="00C8237B" w:rsidRDefault="00553A92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  <w:r>
              <w:rPr>
                <w:i/>
                <w:sz w:val="16"/>
              </w:rPr>
              <w:tab/>
              <w:t>Surveillance</w:t>
            </w:r>
          </w:p>
        </w:tc>
      </w:tr>
      <w:tr w:rsidR="00553A92" w:rsidRPr="00C8237B" w:rsidTr="00553A92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53A92" w:rsidRPr="00C8237B" w:rsidRDefault="00553A92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53A92" w:rsidRPr="00C8237B" w:rsidRDefault="00553A92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53A92" w:rsidRPr="00C8237B" w:rsidRDefault="00553A92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553A92" w:rsidRPr="00C67791" w:rsidTr="00553A92">
        <w:tc>
          <w:tcPr>
            <w:tcW w:w="2835" w:type="dxa"/>
            <w:shd w:val="clear" w:color="auto" w:fill="auto"/>
          </w:tcPr>
          <w:p w:rsidR="00553A92" w:rsidRPr="00C67791" w:rsidRDefault="00553A92" w:rsidP="009E579F">
            <w:pPr>
              <w:spacing w:before="40" w:after="120"/>
              <w:ind w:right="113"/>
              <w:rPr>
                <w:b/>
              </w:rPr>
            </w:pPr>
            <w:r w:rsidRPr="00C67791">
              <w:rPr>
                <w:b/>
              </w:rPr>
              <w:t>Disposition</w:t>
            </w:r>
          </w:p>
        </w:tc>
        <w:tc>
          <w:tcPr>
            <w:tcW w:w="2835" w:type="dxa"/>
            <w:shd w:val="clear" w:color="auto" w:fill="auto"/>
          </w:tcPr>
          <w:p w:rsidR="00553A92" w:rsidRPr="00C67791" w:rsidRDefault="00553A92" w:rsidP="009E579F">
            <w:pPr>
              <w:spacing w:before="40" w:after="120"/>
              <w:ind w:right="113"/>
              <w:rPr>
                <w:b/>
              </w:rPr>
            </w:pPr>
            <w:r w:rsidRPr="00C67791">
              <w:rPr>
                <w:b/>
              </w:rPr>
              <w:t>Texte de l</w:t>
            </w:r>
            <w:r w:rsidR="00ED2C1B">
              <w:rPr>
                <w:b/>
              </w:rPr>
              <w:t>’</w:t>
            </w:r>
            <w:r w:rsidRPr="00C67791">
              <w:rPr>
                <w:b/>
              </w:rPr>
              <w:t>ADN</w:t>
            </w:r>
          </w:p>
        </w:tc>
        <w:tc>
          <w:tcPr>
            <w:tcW w:w="2835" w:type="dxa"/>
            <w:shd w:val="clear" w:color="auto" w:fill="auto"/>
          </w:tcPr>
          <w:p w:rsidR="00553A92" w:rsidRPr="00C67791" w:rsidRDefault="00553A92" w:rsidP="009E579F">
            <w:pPr>
              <w:spacing w:before="40" w:after="120"/>
              <w:ind w:right="113"/>
              <w:rPr>
                <w:b/>
              </w:rPr>
            </w:pPr>
            <w:r>
              <w:rPr>
                <w:b/>
              </w:rPr>
              <w:t>Interprétation</w:t>
            </w:r>
          </w:p>
        </w:tc>
      </w:tr>
      <w:tr w:rsidR="00553A92" w:rsidRPr="00C8237B" w:rsidTr="00553A92">
        <w:tc>
          <w:tcPr>
            <w:tcW w:w="2835" w:type="dxa"/>
            <w:shd w:val="clear" w:color="auto" w:fill="auto"/>
          </w:tcPr>
          <w:p w:rsidR="00553A92" w:rsidRPr="00C8237B" w:rsidRDefault="00553A92" w:rsidP="00553A92">
            <w:pPr>
              <w:spacing w:before="40" w:after="120"/>
              <w:ind w:right="113"/>
            </w:pPr>
            <w:r>
              <w:t>8.6.3, question 10 (voir aussi les paragraphes 1.4.3.3 u) et 1.4.3.7.1.1)</w:t>
            </w:r>
          </w:p>
        </w:tc>
        <w:tc>
          <w:tcPr>
            <w:tcW w:w="2835" w:type="dxa"/>
            <w:shd w:val="clear" w:color="auto" w:fill="auto"/>
          </w:tcPr>
          <w:p w:rsidR="00553A92" w:rsidRPr="00C8237B" w:rsidRDefault="00553A92" w:rsidP="00ED2C1B">
            <w:pPr>
              <w:spacing w:before="40" w:after="120"/>
              <w:ind w:right="113"/>
            </w:pPr>
            <w:r>
              <w:t>Une surveillance appropriée permanente est-elle assurée pendant toute la durée d</w:t>
            </w:r>
            <w:r w:rsidR="00ED2C1B">
              <w:t>u </w:t>
            </w:r>
            <w:r>
              <w:t>chargement ou du</w:t>
            </w:r>
            <w:r w:rsidR="00ED2C1B">
              <w:t> </w:t>
            </w:r>
            <w:r>
              <w:t>déchargement?</w:t>
            </w:r>
          </w:p>
        </w:tc>
        <w:tc>
          <w:tcPr>
            <w:tcW w:w="2835" w:type="dxa"/>
            <w:shd w:val="clear" w:color="auto" w:fill="auto"/>
          </w:tcPr>
          <w:p w:rsidR="00553A92" w:rsidRPr="00C8237B" w:rsidRDefault="00553A92" w:rsidP="00ED2C1B">
            <w:pPr>
              <w:spacing w:before="40" w:after="120"/>
              <w:ind w:right="113"/>
            </w:pPr>
            <w:r>
              <w:t>Pendant les opérations de</w:t>
            </w:r>
            <w:r w:rsidR="00ED2C1B">
              <w:t> </w:t>
            </w:r>
            <w:r>
              <w:t>chargement et de déchargement, une surveillance appropriée doit</w:t>
            </w:r>
            <w:r w:rsidR="00ED2C1B">
              <w:t> </w:t>
            </w:r>
            <w:r>
              <w:t>être assurée sans interruption, c</w:t>
            </w:r>
            <w:r w:rsidR="00ED2C1B">
              <w:t>’</w:t>
            </w:r>
            <w:r>
              <w:t>est-à-dire de</w:t>
            </w:r>
            <w:r w:rsidR="00ED2C1B">
              <w:t> </w:t>
            </w:r>
            <w:r>
              <w:t>façon permanente.</w:t>
            </w:r>
          </w:p>
        </w:tc>
      </w:tr>
      <w:tr w:rsidR="00553A92" w:rsidRPr="00C8237B" w:rsidTr="00553A92">
        <w:tc>
          <w:tcPr>
            <w:tcW w:w="8505" w:type="dxa"/>
            <w:gridSpan w:val="3"/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 w:rsidRPr="00150DB3">
              <w:rPr>
                <w:b/>
              </w:rPr>
              <w:t>Explication</w:t>
            </w:r>
          </w:p>
        </w:tc>
      </w:tr>
      <w:tr w:rsidR="00553A92" w:rsidRPr="00C8237B" w:rsidTr="00553A92">
        <w:tc>
          <w:tcPr>
            <w:tcW w:w="8505" w:type="dxa"/>
            <w:gridSpan w:val="3"/>
            <w:shd w:val="clear" w:color="auto" w:fill="auto"/>
          </w:tcPr>
          <w:p w:rsidR="00553A92" w:rsidRPr="00C8237B" w:rsidRDefault="00553A92" w:rsidP="00ED2C1B">
            <w:pPr>
              <w:spacing w:before="40" w:after="120"/>
              <w:ind w:right="113"/>
            </w:pPr>
            <w:r>
              <w:t>La surveillance des opérations de chargement et de déchargement, aussi bien à bord qu</w:t>
            </w:r>
            <w:r w:rsidR="00ED2C1B">
              <w:t>’</w:t>
            </w:r>
            <w:r>
              <w:t>à</w:t>
            </w:r>
            <w:r w:rsidR="00ED2C1B">
              <w:t> </w:t>
            </w:r>
            <w:r>
              <w:t>terre, peut être effectuée de façon à empêcher tout risque d</w:t>
            </w:r>
            <w:r w:rsidR="00ED2C1B">
              <w:t>’</w:t>
            </w:r>
            <w:r>
              <w:t>incident à proximité des</w:t>
            </w:r>
            <w:r w:rsidR="00ED2C1B">
              <w:t> </w:t>
            </w:r>
            <w:r>
              <w:t>conduites reliant le bateau et les installations à terre.</w:t>
            </w:r>
          </w:p>
        </w:tc>
      </w:tr>
      <w:tr w:rsidR="00553A92" w:rsidRPr="00C8237B" w:rsidTr="00553A92">
        <w:tc>
          <w:tcPr>
            <w:tcW w:w="8505" w:type="dxa"/>
            <w:gridSpan w:val="3"/>
            <w:shd w:val="clear" w:color="auto" w:fill="auto"/>
          </w:tcPr>
          <w:p w:rsidR="00553A92" w:rsidRPr="00C8237B" w:rsidRDefault="00553A92" w:rsidP="00ED2C1B">
            <w:pPr>
              <w:spacing w:before="40" w:after="120"/>
              <w:ind w:right="113"/>
            </w:pPr>
            <w:r>
              <w:t>Si la surveillance fait appel à des moyens techniques supplémentaires, les installations à</w:t>
            </w:r>
            <w:r w:rsidR="00ED2C1B">
              <w:t> </w:t>
            </w:r>
            <w:r>
              <w:t>terre et le bateau doivent s</w:t>
            </w:r>
            <w:r w:rsidR="00ED2C1B">
              <w:t>’</w:t>
            </w:r>
            <w:r>
              <w:t>entendre sur les modalités de cette surveillance.</w:t>
            </w:r>
          </w:p>
        </w:tc>
      </w:tr>
      <w:tr w:rsidR="00553A92" w:rsidRPr="00C8237B" w:rsidTr="00553A92">
        <w:tc>
          <w:tcPr>
            <w:tcW w:w="8505" w:type="dxa"/>
            <w:gridSpan w:val="3"/>
            <w:shd w:val="clear" w:color="auto" w:fill="auto"/>
          </w:tcPr>
          <w:p w:rsidR="00553A92" w:rsidRPr="00C8237B" w:rsidRDefault="00553A92" w:rsidP="00553A92">
            <w:pPr>
              <w:spacing w:before="40" w:after="120"/>
              <w:ind w:right="113"/>
            </w:pPr>
            <w:r>
              <w:t>L</w:t>
            </w:r>
            <w:r w:rsidR="00ED2C1B">
              <w:t>’</w:t>
            </w:r>
            <w:r>
              <w:t>efficacité de la surveillance doit être assurée, ce qui suppose que tant à bord qu</w:t>
            </w:r>
            <w:r w:rsidR="00ED2C1B">
              <w:t>’</w:t>
            </w:r>
            <w:r>
              <w:t>à terre tout risque d</w:t>
            </w:r>
            <w:r w:rsidR="00ED2C1B">
              <w:t>’</w:t>
            </w:r>
            <w:r>
              <w:t xml:space="preserve">incident doit être empêché, </w:t>
            </w:r>
            <w:r w:rsidRPr="008C2429">
              <w:rPr>
                <w:u w:val="single"/>
              </w:rPr>
              <w:t>en toutes circonstances</w:t>
            </w:r>
            <w:r>
              <w:t>.</w:t>
            </w:r>
          </w:p>
        </w:tc>
      </w:tr>
      <w:tr w:rsidR="00553A92" w:rsidRPr="00C8237B" w:rsidTr="00553A92">
        <w:tc>
          <w:tcPr>
            <w:tcW w:w="8505" w:type="dxa"/>
            <w:gridSpan w:val="3"/>
            <w:shd w:val="clear" w:color="auto" w:fill="auto"/>
          </w:tcPr>
          <w:p w:rsidR="00553A92" w:rsidRPr="00C8237B" w:rsidRDefault="00553A92" w:rsidP="00ED2C1B">
            <w:pPr>
              <w:spacing w:before="40" w:after="120"/>
              <w:ind w:right="113"/>
            </w:pPr>
            <w:r>
              <w:t>La surveillance à terre doit être effectuée par la société de chargement ou de déchargement, dans la zone comprise entre le raccord conduite de ventilation (à bord)</w:t>
            </w:r>
            <w:r w:rsidR="00ED2C1B">
              <w:t>/</w:t>
            </w:r>
            <w:r>
              <w:t xml:space="preserve"> conduite de retour des vapeurs (à terre) et le raccord conduite de ventilation (à</w:t>
            </w:r>
            <w:r w:rsidR="00ED2C1B">
              <w:t> </w:t>
            </w:r>
            <w:r>
              <w:t>bord)/collecteur, en laissant un rayon de sécurité d</w:t>
            </w:r>
            <w:r w:rsidR="00ED2C1B">
              <w:t>’</w:t>
            </w:r>
            <w:r>
              <w:t>au moins 3 mètres autour du</w:t>
            </w:r>
            <w:r w:rsidR="00ED2C1B">
              <w:t> </w:t>
            </w:r>
            <w:r>
              <w:t>collecteur.</w:t>
            </w:r>
          </w:p>
        </w:tc>
      </w:tr>
      <w:tr w:rsidR="00553A92" w:rsidRPr="00C8237B" w:rsidTr="00553A92">
        <w:tc>
          <w:tcPr>
            <w:tcW w:w="8505" w:type="dxa"/>
            <w:gridSpan w:val="3"/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>
              <w:rPr>
                <w:b/>
              </w:rPr>
              <w:t>Justification</w:t>
            </w:r>
          </w:p>
        </w:tc>
      </w:tr>
      <w:tr w:rsidR="00553A92" w:rsidRPr="00C8237B" w:rsidTr="00553A92">
        <w:tc>
          <w:tcPr>
            <w:tcW w:w="8505" w:type="dxa"/>
            <w:gridSpan w:val="3"/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>
              <w:t>La surveillance des opérations de chargement et de déchargement d</w:t>
            </w:r>
            <w:r w:rsidR="00ED2C1B">
              <w:t>’</w:t>
            </w:r>
            <w:r>
              <w:t xml:space="preserve">une cargaison liquide tout au long des opérations est essentielle. Tout risque de perte de cargaison devrait être détecté immédiatement et les mesures appropriées prises. </w:t>
            </w:r>
          </w:p>
        </w:tc>
      </w:tr>
      <w:tr w:rsidR="00553A92" w:rsidRPr="00C8237B" w:rsidTr="00553A92">
        <w:tc>
          <w:tcPr>
            <w:tcW w:w="8505" w:type="dxa"/>
            <w:gridSpan w:val="3"/>
            <w:shd w:val="clear" w:color="auto" w:fill="auto"/>
          </w:tcPr>
          <w:p w:rsidR="00553A92" w:rsidRPr="00C8237B" w:rsidRDefault="00553A92" w:rsidP="009E579F">
            <w:pPr>
              <w:spacing w:before="40" w:after="120"/>
              <w:ind w:right="113"/>
            </w:pPr>
            <w:r>
              <w:t>La surveillance doit être assurée à la fois par l</w:t>
            </w:r>
            <w:r w:rsidR="00ED2C1B">
              <w:t>’</w:t>
            </w:r>
            <w:r>
              <w:t>équipage à bord du bateau et le personnel des installations à terre chargé du chargement ou du déchargement.</w:t>
            </w:r>
          </w:p>
        </w:tc>
      </w:tr>
      <w:tr w:rsidR="00553A92" w:rsidRPr="00C8237B" w:rsidTr="00553A92">
        <w:tc>
          <w:tcPr>
            <w:tcW w:w="85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53A92" w:rsidRPr="00C8237B" w:rsidRDefault="00553A92" w:rsidP="00ED2C1B">
            <w:pPr>
              <w:spacing w:before="40" w:after="120"/>
              <w:ind w:right="113"/>
            </w:pPr>
            <w:r>
              <w:t>La surveillance devrait donc être effectuée en permanence tout au long des opérations de</w:t>
            </w:r>
            <w:r w:rsidR="00ED2C1B">
              <w:t> </w:t>
            </w:r>
            <w:r>
              <w:t>chargement et de déchargement.</w:t>
            </w:r>
          </w:p>
        </w:tc>
      </w:tr>
    </w:tbl>
    <w:p w:rsidR="00A91D3A" w:rsidRDefault="00A91D3A">
      <w:r>
        <w:br w:type="page"/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A4388F" w:rsidRPr="00C8237B" w:rsidTr="00A4388F">
        <w:trPr>
          <w:tblHeader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4388F" w:rsidRPr="00C8237B" w:rsidRDefault="00A4388F" w:rsidP="00A4388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br w:type="page"/>
            </w:r>
            <w:r>
              <w:rPr>
                <w:i/>
                <w:sz w:val="16"/>
              </w:rPr>
              <w:t>3.</w:t>
            </w:r>
            <w:r>
              <w:rPr>
                <w:i/>
                <w:sz w:val="16"/>
              </w:rPr>
              <w:tab/>
              <w:t>Soupapes de dépression et de surpression</w:t>
            </w:r>
          </w:p>
        </w:tc>
      </w:tr>
      <w:tr w:rsidR="00A4388F" w:rsidRPr="00C8237B" w:rsidTr="00A4388F">
        <w:trPr>
          <w:trHeight w:hRule="exact" w:val="113"/>
          <w:tblHeader/>
        </w:trPr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4388F" w:rsidRPr="00C8237B" w:rsidRDefault="00A4388F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4388F" w:rsidRPr="00C8237B" w:rsidRDefault="00A4388F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4388F" w:rsidRPr="00C8237B" w:rsidRDefault="00A4388F" w:rsidP="009E579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4388F" w:rsidRPr="00C67791" w:rsidTr="00A4388F">
        <w:trPr>
          <w:tblHeader/>
        </w:trPr>
        <w:tc>
          <w:tcPr>
            <w:tcW w:w="2457" w:type="dxa"/>
            <w:shd w:val="clear" w:color="auto" w:fill="auto"/>
          </w:tcPr>
          <w:p w:rsidR="00A4388F" w:rsidRPr="00C67791" w:rsidRDefault="00A4388F" w:rsidP="009E579F">
            <w:pPr>
              <w:spacing w:before="40" w:after="120"/>
              <w:ind w:right="113"/>
              <w:rPr>
                <w:b/>
              </w:rPr>
            </w:pPr>
            <w:r w:rsidRPr="00C67791">
              <w:rPr>
                <w:b/>
              </w:rPr>
              <w:t>Disposition</w:t>
            </w:r>
          </w:p>
        </w:tc>
        <w:tc>
          <w:tcPr>
            <w:tcW w:w="2457" w:type="dxa"/>
            <w:shd w:val="clear" w:color="auto" w:fill="auto"/>
          </w:tcPr>
          <w:p w:rsidR="00A4388F" w:rsidRPr="00C67791" w:rsidRDefault="00A4388F" w:rsidP="009E579F">
            <w:pPr>
              <w:spacing w:before="40" w:after="120"/>
              <w:ind w:right="113"/>
              <w:rPr>
                <w:b/>
              </w:rPr>
            </w:pPr>
            <w:r w:rsidRPr="00C67791">
              <w:rPr>
                <w:b/>
              </w:rPr>
              <w:t>Texte de l</w:t>
            </w:r>
            <w:r w:rsidR="00ED2C1B">
              <w:rPr>
                <w:b/>
              </w:rPr>
              <w:t>’</w:t>
            </w:r>
            <w:r w:rsidRPr="00C67791">
              <w:rPr>
                <w:b/>
              </w:rPr>
              <w:t>ADN</w:t>
            </w:r>
          </w:p>
        </w:tc>
        <w:tc>
          <w:tcPr>
            <w:tcW w:w="2457" w:type="dxa"/>
            <w:shd w:val="clear" w:color="auto" w:fill="auto"/>
          </w:tcPr>
          <w:p w:rsidR="00A4388F" w:rsidRPr="00C67791" w:rsidRDefault="00A4388F" w:rsidP="009E579F">
            <w:pPr>
              <w:spacing w:before="40" w:after="120"/>
              <w:ind w:right="113"/>
              <w:rPr>
                <w:b/>
              </w:rPr>
            </w:pPr>
            <w:r>
              <w:rPr>
                <w:b/>
              </w:rPr>
              <w:t>Interprétation</w:t>
            </w:r>
          </w:p>
        </w:tc>
      </w:tr>
      <w:tr w:rsidR="00A4388F" w:rsidRPr="00C8237B" w:rsidTr="00A4388F"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  <w:r>
              <w:t>1.2.1</w:t>
            </w: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  <w:r>
              <w:t xml:space="preserve">On entend par </w:t>
            </w:r>
            <w:r w:rsidRPr="0073253C">
              <w:rPr>
                <w:b/>
              </w:rPr>
              <w:t>soupape de dépression</w:t>
            </w:r>
            <w:r>
              <w:t>, un dispositif à ressort sensible à la pression fonctionnant automatiquement, pour protéger la citerne à cargaison contre une dépression intérieure inadmissible;</w:t>
            </w: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A4388F">
            <w:pPr>
              <w:spacing w:before="40" w:after="120"/>
              <w:ind w:right="113"/>
            </w:pPr>
            <w:r>
              <w:t>Les soupapes de dépression et les soupapes de surpression sont des dispositifs servant à protéger la citerne à cargaison contre toute dépression ou surpression interne inadmissible, de façon automatique.</w:t>
            </w:r>
          </w:p>
        </w:tc>
      </w:tr>
      <w:tr w:rsidR="00A4388F" w:rsidRPr="00C8237B" w:rsidTr="00A4388F"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  <w:r>
              <w:t xml:space="preserve">On entend par </w:t>
            </w:r>
            <w:r w:rsidRPr="0073253C">
              <w:rPr>
                <w:b/>
              </w:rPr>
              <w:t>soupape de surpression</w:t>
            </w:r>
            <w:r>
              <w:t>, un dispositif à ressort sensible à la pression fonctionnant automatiquement, pour protéger la citerne à cargaison contre une surpression intérieure inadmissible.</w:t>
            </w: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</w:p>
        </w:tc>
      </w:tr>
      <w:tr w:rsidR="00A4388F" w:rsidRPr="00C8237B" w:rsidTr="00A4388F"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  <w:r>
              <w:t>7.2.3.22</w:t>
            </w:r>
            <w:r>
              <w:br/>
              <w:t>(voir aussi les paragraphes</w:t>
            </w:r>
            <w:r>
              <w:br/>
              <w:t xml:space="preserve">7.2.4.16.9, </w:t>
            </w:r>
            <w:r>
              <w:br/>
              <w:t>9.3.2.22.4a) et</w:t>
            </w:r>
            <w:r>
              <w:br/>
              <w:t>9.3.3.22.4a))</w:t>
            </w: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A4388F">
            <w:pPr>
              <w:spacing w:before="40" w:after="120"/>
              <w:ind w:right="113"/>
            </w:pPr>
            <w:r>
              <w:t>Entrées des espaces de cale, des chambres des pompes à cargaison sous pont et des cofferdams; ouvertures des citernes à cargaison et des citernes à restes de cargaison; dispositifs de fermeture.</w:t>
            </w: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  <w:r>
              <w:t>Les citernes à cargaison devraient toujours rester fermées, à l</w:t>
            </w:r>
            <w:r w:rsidR="00ED2C1B">
              <w:t>’</w:t>
            </w:r>
            <w:r>
              <w:t>exception des cas prévus dans la partie 7</w:t>
            </w:r>
          </w:p>
        </w:tc>
      </w:tr>
      <w:tr w:rsidR="00A4388F" w:rsidRPr="00C8237B" w:rsidTr="00A4388F"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ED2C1B">
            <w:pPr>
              <w:spacing w:before="40" w:after="120"/>
              <w:ind w:right="113"/>
            </w:pPr>
            <w:r>
              <w:t>Les citernes à cargaison, les citernes à restes de cargaison et les accès aux chambres des pompes à cargaison sous pont, aux cofferdams et aux espaces de cale doivent rester fermés. Cette prescription ne s</w:t>
            </w:r>
            <w:r w:rsidR="00ED2C1B">
              <w:t>’</w:t>
            </w:r>
            <w:r>
              <w:t xml:space="preserve">applique pas aux chambres des pompes à bord des bateaux déshuileurs et des bateaux avitailleurs et aux autres exceptions admises dans la présente </w:t>
            </w:r>
            <w:r w:rsidR="00ED2C1B">
              <w:t>p</w:t>
            </w:r>
            <w:r>
              <w:t>artie.</w:t>
            </w: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9E579F">
            <w:pPr>
              <w:spacing w:before="40" w:after="120"/>
              <w:ind w:right="113"/>
            </w:pPr>
          </w:p>
        </w:tc>
      </w:tr>
      <w:tr w:rsidR="00A4388F" w:rsidRPr="00C8237B" w:rsidTr="00A4388F">
        <w:tc>
          <w:tcPr>
            <w:tcW w:w="2457" w:type="dxa"/>
            <w:shd w:val="clear" w:color="auto" w:fill="auto"/>
          </w:tcPr>
          <w:p w:rsidR="00A4388F" w:rsidRPr="00C8237B" w:rsidRDefault="00A4388F" w:rsidP="00A4388F">
            <w:pPr>
              <w:keepNext/>
              <w:keepLines/>
              <w:spacing w:before="40" w:after="120"/>
              <w:ind w:right="113"/>
            </w:pPr>
          </w:p>
        </w:tc>
        <w:tc>
          <w:tcPr>
            <w:tcW w:w="2457" w:type="dxa"/>
            <w:shd w:val="clear" w:color="auto" w:fill="auto"/>
          </w:tcPr>
          <w:p w:rsidR="00A4388F" w:rsidRDefault="00A4388F" w:rsidP="00A4388F">
            <w:pPr>
              <w:keepNext/>
              <w:keepLines/>
              <w:spacing w:before="40" w:after="120"/>
              <w:ind w:right="113"/>
            </w:pPr>
            <w:r>
              <w:t>Pendant le chargement ou le déchargement de matières dans un bateau-citerne fermé, pour lesquelles aux colonnes (6) et (7) du tableau C du chapitre 3.2 un type N ouvert avec coupe-flammes suffit, les citernes à cargaison peuvent être ouvertes au moyen du dispositif permettant de décompresser sans danger, visé au 9.3.2.22.4a) ou au 9.3.3.22.4a).</w:t>
            </w:r>
          </w:p>
        </w:tc>
        <w:tc>
          <w:tcPr>
            <w:tcW w:w="2457" w:type="dxa"/>
            <w:shd w:val="clear" w:color="auto" w:fill="auto"/>
          </w:tcPr>
          <w:p w:rsidR="00A4388F" w:rsidRPr="00C8237B" w:rsidRDefault="00A4388F" w:rsidP="00A4388F">
            <w:pPr>
              <w:keepNext/>
              <w:keepLines/>
              <w:spacing w:before="40" w:after="120"/>
              <w:ind w:right="113"/>
            </w:pPr>
            <w:r>
              <w:t>Lors du chargement ou du déchargement de matières «ouvertes», dans un bateau-citerne fermé de type C ou N, les citernes à cargaison peuvent être ouvertes uniquement à l</w:t>
            </w:r>
            <w:r w:rsidR="00ED2C1B">
              <w:t>’</w:t>
            </w:r>
            <w:r>
              <w:t xml:space="preserve">aide du dispositif permettant de décompresser sans danger («pressure relief </w:t>
            </w:r>
            <w:r w:rsidRPr="00ED2C1B">
              <w:rPr>
                <w:spacing w:val="-2"/>
              </w:rPr>
              <w:t>device/Entspanvorrichtung»)</w:t>
            </w:r>
            <w:r w:rsidR="00ED2C1B" w:rsidRPr="00ED2C1B">
              <w:rPr>
                <w:spacing w:val="-2"/>
              </w:rPr>
              <w:t>.</w:t>
            </w:r>
          </w:p>
        </w:tc>
      </w:tr>
      <w:tr w:rsidR="00A4388F" w:rsidRPr="00C8237B" w:rsidTr="00A4388F">
        <w:tc>
          <w:tcPr>
            <w:tcW w:w="7371" w:type="dxa"/>
            <w:gridSpan w:val="3"/>
            <w:shd w:val="clear" w:color="auto" w:fill="auto"/>
          </w:tcPr>
          <w:p w:rsidR="00A4388F" w:rsidRDefault="00A4388F" w:rsidP="009E579F">
            <w:pPr>
              <w:spacing w:before="40" w:after="120"/>
              <w:ind w:right="113"/>
            </w:pPr>
            <w:r w:rsidRPr="008A7CB2">
              <w:rPr>
                <w:b/>
                <w:bCs/>
              </w:rPr>
              <w:t>Explication</w:t>
            </w:r>
          </w:p>
        </w:tc>
      </w:tr>
      <w:tr w:rsidR="00A4388F" w:rsidRPr="00C8237B" w:rsidTr="00A4388F">
        <w:tc>
          <w:tcPr>
            <w:tcW w:w="7371" w:type="dxa"/>
            <w:gridSpan w:val="3"/>
            <w:shd w:val="clear" w:color="auto" w:fill="auto"/>
          </w:tcPr>
          <w:p w:rsidR="00A4388F" w:rsidRPr="008A7CB2" w:rsidRDefault="00ED2C1B" w:rsidP="00A4388F">
            <w:pPr>
              <w:spacing w:before="40" w:after="120"/>
              <w:ind w:right="113"/>
            </w:pPr>
            <w:r>
              <w:t xml:space="preserve">Les dispositifs de sécurité </w:t>
            </w:r>
            <w:r w:rsidR="00A4388F">
              <w:t xml:space="preserve">censée empêcher toute dépression ou surpression inadmissible protègent les citernes à cargaison et les conduites sous pression courantes contre toute dépression ou surpression interne inadmissible. </w:t>
            </w:r>
          </w:p>
        </w:tc>
      </w:tr>
      <w:tr w:rsidR="00A4388F" w:rsidRPr="00C8237B" w:rsidTr="00A4388F">
        <w:tc>
          <w:tcPr>
            <w:tcW w:w="7371" w:type="dxa"/>
            <w:gridSpan w:val="3"/>
            <w:shd w:val="clear" w:color="auto" w:fill="auto"/>
          </w:tcPr>
          <w:p w:rsidR="00A4388F" w:rsidRDefault="00A4388F" w:rsidP="00ED2C1B">
            <w:pPr>
              <w:spacing w:before="40" w:after="120"/>
              <w:ind w:right="113"/>
            </w:pPr>
            <w:r>
              <w:t>Toute manipulation des soupapes à dépression ou à surpression est interdite. Ces dispositifs de sécurité ne peuvent pas être activés pendant le transport, pas plus que pendant les opérations de chargement ou de déchargement. La pression d</w:t>
            </w:r>
            <w:r w:rsidR="00ED2C1B">
              <w:t>’</w:t>
            </w:r>
            <w:r>
              <w:t>ouverture de</w:t>
            </w:r>
            <w:r w:rsidR="00ED2C1B">
              <w:t> </w:t>
            </w:r>
            <w:r>
              <w:t>ces</w:t>
            </w:r>
            <w:r w:rsidR="00ED2C1B">
              <w:t> </w:t>
            </w:r>
            <w:r>
              <w:t>dispositifs ne doit pas être dépassée.</w:t>
            </w:r>
          </w:p>
        </w:tc>
      </w:tr>
      <w:tr w:rsidR="00A4388F" w:rsidRPr="00C8237B" w:rsidTr="00A4388F">
        <w:tc>
          <w:tcPr>
            <w:tcW w:w="7371" w:type="dxa"/>
            <w:gridSpan w:val="3"/>
            <w:shd w:val="clear" w:color="auto" w:fill="auto"/>
          </w:tcPr>
          <w:p w:rsidR="00A4388F" w:rsidRDefault="00A4388F" w:rsidP="00ED2C1B">
            <w:pPr>
              <w:spacing w:before="40" w:after="120"/>
              <w:ind w:right="113"/>
            </w:pPr>
            <w:r>
              <w:t>Lors du transport de marchandises nécessitant l</w:t>
            </w:r>
            <w:r w:rsidR="00ED2C1B">
              <w:t>’</w:t>
            </w:r>
            <w:r>
              <w:t>utilisation d</w:t>
            </w:r>
            <w:r w:rsidR="00ED2C1B">
              <w:t>’</w:t>
            </w:r>
            <w:r>
              <w:t>un bateau de type N ouvert, muni ou non d</w:t>
            </w:r>
            <w:r w:rsidR="00ED2C1B">
              <w:t>’</w:t>
            </w:r>
            <w:r>
              <w:t>un coupe-flammes, les citernes à cargaison peuvent uniquement être ouvertes à l</w:t>
            </w:r>
            <w:r w:rsidR="00ED2C1B">
              <w:t>’</w:t>
            </w:r>
            <w:r>
              <w:t>aide d</w:t>
            </w:r>
            <w:r w:rsidR="00ED2C1B">
              <w:t>’</w:t>
            </w:r>
            <w:r>
              <w:t>une soupape normale de dépression de petit diamètre pour faire diminuer la pression interne («pressure relief device/Entspanvorrichtung»).</w:t>
            </w:r>
          </w:p>
        </w:tc>
      </w:tr>
      <w:tr w:rsidR="00A4388F" w:rsidRPr="00C8237B" w:rsidTr="00A4388F">
        <w:tc>
          <w:tcPr>
            <w:tcW w:w="7371" w:type="dxa"/>
            <w:gridSpan w:val="3"/>
            <w:shd w:val="clear" w:color="auto" w:fill="auto"/>
          </w:tcPr>
          <w:p w:rsidR="00A4388F" w:rsidRPr="008A7CB2" w:rsidRDefault="00A4388F" w:rsidP="00A4388F">
            <w:pPr>
              <w:spacing w:before="40" w:after="12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>Note ne faisant pas partie de l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interprétation officielle: lors de la vingt et unième session du Comité de sécurité, le document INF.26 soumis par l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UENF a été examiné et adopté (ECE/TRANS/WP.15/AC.2/44).</w:t>
            </w:r>
          </w:p>
        </w:tc>
      </w:tr>
      <w:tr w:rsidR="00A4388F" w:rsidRPr="00C8237B" w:rsidTr="00A4388F">
        <w:tc>
          <w:tcPr>
            <w:tcW w:w="7371" w:type="dxa"/>
            <w:gridSpan w:val="3"/>
            <w:shd w:val="clear" w:color="auto" w:fill="auto"/>
          </w:tcPr>
          <w:p w:rsidR="00A4388F" w:rsidRDefault="00A4388F" w:rsidP="00A4388F">
            <w:pPr>
              <w:spacing w:before="40" w:after="12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>Ce document concernait l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 xml:space="preserve">équilibrage de la pression lors du chargement de matières «ouvertes» dans un bateau fermé. Le document INF.26 indique </w:t>
            </w:r>
            <w:r w:rsidRPr="008A7CB2">
              <w:rPr>
                <w:i/>
                <w:iCs/>
              </w:rPr>
              <w:t>clairement que l</w:t>
            </w:r>
            <w:r w:rsidR="00ED2C1B">
              <w:rPr>
                <w:i/>
                <w:iCs/>
              </w:rPr>
              <w:t>’</w:t>
            </w:r>
            <w:r w:rsidRPr="008A7CB2">
              <w:rPr>
                <w:i/>
                <w:iCs/>
              </w:rPr>
              <w:t>utilisation de «pressure relief device/Entspanvorrichtung»</w:t>
            </w:r>
            <w:r>
              <w:rPr>
                <w:i/>
                <w:iCs/>
              </w:rPr>
              <w:t xml:space="preserve"> ne convient pas à la dépressurisation dans de bonnes conditions en raison du diamètre réduit.</w:t>
            </w:r>
          </w:p>
        </w:tc>
      </w:tr>
      <w:tr w:rsidR="00A4388F" w:rsidRPr="00C8237B" w:rsidTr="00A4388F">
        <w:tc>
          <w:tcPr>
            <w:tcW w:w="737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4388F" w:rsidRDefault="00A4388F" w:rsidP="00ED2C1B">
            <w:pPr>
              <w:spacing w:before="40" w:after="12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>Le document du Comité de sécurité a décidé d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autoriser, pour que la dépressurisation se fasse dans de bonnes conditions aussi bien pendant le chargemen</w:t>
            </w:r>
            <w:r w:rsidR="00ED2C1B"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 que pendant le déchargement</w:t>
            </w:r>
            <w:r w:rsidR="00ED2C1B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l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utilisation d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un coude, équipé d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un coupe-flammes, qui serait fixé sur le collecteur lorsqu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il n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est pas utilisé. L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ouverture du coude devrait être tournée vers le bas afin d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éviter l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entrée d</w:t>
            </w:r>
            <w:r w:rsidR="00ED2C1B">
              <w:rPr>
                <w:i/>
                <w:iCs/>
              </w:rPr>
              <w:t>’</w:t>
            </w:r>
            <w:r>
              <w:rPr>
                <w:i/>
                <w:iCs/>
              </w:rPr>
              <w:t>eau. Il a été admis que les paragraphes 7.2.4.16.9 et 9.3.x.22.4 soient interprétés en conséquence.</w:t>
            </w:r>
          </w:p>
        </w:tc>
      </w:tr>
    </w:tbl>
    <w:p w:rsidR="00553A92" w:rsidRPr="00A4388F" w:rsidRDefault="00A4388F" w:rsidP="00A438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3A92" w:rsidRPr="00A4388F" w:rsidSect="00CE016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9A" w:rsidRDefault="000A489A" w:rsidP="00F95C08">
      <w:pPr>
        <w:spacing w:line="240" w:lineRule="auto"/>
      </w:pPr>
    </w:p>
  </w:endnote>
  <w:endnote w:type="continuationSeparator" w:id="0">
    <w:p w:rsidR="000A489A" w:rsidRPr="00AC3823" w:rsidRDefault="000A489A" w:rsidP="00AC3823">
      <w:pPr>
        <w:pStyle w:val="Footer"/>
      </w:pPr>
    </w:p>
  </w:endnote>
  <w:endnote w:type="continuationNotice" w:id="1">
    <w:p w:rsidR="000A489A" w:rsidRDefault="000A48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68" w:rsidRPr="00CE0168" w:rsidRDefault="00CE0168" w:rsidP="00CE0168">
    <w:pPr>
      <w:pStyle w:val="Footer"/>
      <w:tabs>
        <w:tab w:val="right" w:pos="9638"/>
      </w:tabs>
    </w:pPr>
    <w:r w:rsidRPr="00CE0168">
      <w:rPr>
        <w:b/>
        <w:sz w:val="18"/>
      </w:rPr>
      <w:fldChar w:fldCharType="begin"/>
    </w:r>
    <w:r w:rsidRPr="00CE0168">
      <w:rPr>
        <w:b/>
        <w:sz w:val="18"/>
      </w:rPr>
      <w:instrText xml:space="preserve"> PAGE  \* MERGEFORMAT </w:instrText>
    </w:r>
    <w:r w:rsidRPr="00CE0168">
      <w:rPr>
        <w:b/>
        <w:sz w:val="18"/>
      </w:rPr>
      <w:fldChar w:fldCharType="separate"/>
    </w:r>
    <w:r w:rsidR="00221981">
      <w:rPr>
        <w:b/>
        <w:noProof/>
        <w:sz w:val="18"/>
      </w:rPr>
      <w:t>6</w:t>
    </w:r>
    <w:r w:rsidRPr="00CE0168">
      <w:rPr>
        <w:b/>
        <w:sz w:val="18"/>
      </w:rPr>
      <w:fldChar w:fldCharType="end"/>
    </w:r>
    <w:r>
      <w:rPr>
        <w:b/>
        <w:sz w:val="18"/>
      </w:rPr>
      <w:tab/>
    </w:r>
    <w:r>
      <w:t>GE.15-08749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68" w:rsidRPr="00CE0168" w:rsidRDefault="00CE0168" w:rsidP="00CE0168">
    <w:pPr>
      <w:pStyle w:val="Footer"/>
      <w:tabs>
        <w:tab w:val="right" w:pos="9638"/>
      </w:tabs>
      <w:rPr>
        <w:b/>
        <w:sz w:val="18"/>
      </w:rPr>
    </w:pPr>
    <w:r>
      <w:t>GE.15-08749</w:t>
    </w:r>
    <w:r>
      <w:tab/>
    </w:r>
    <w:r w:rsidRPr="00CE0168">
      <w:rPr>
        <w:b/>
        <w:sz w:val="18"/>
      </w:rPr>
      <w:fldChar w:fldCharType="begin"/>
    </w:r>
    <w:r w:rsidRPr="00CE0168">
      <w:rPr>
        <w:b/>
        <w:sz w:val="18"/>
      </w:rPr>
      <w:instrText xml:space="preserve"> PAGE  \* MERGEFORMAT </w:instrText>
    </w:r>
    <w:r w:rsidRPr="00CE0168">
      <w:rPr>
        <w:b/>
        <w:sz w:val="18"/>
      </w:rPr>
      <w:fldChar w:fldCharType="separate"/>
    </w:r>
    <w:r w:rsidR="00221981">
      <w:rPr>
        <w:b/>
        <w:noProof/>
        <w:sz w:val="18"/>
      </w:rPr>
      <w:t>5</w:t>
    </w:r>
    <w:r w:rsidRPr="00CE01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E0168" w:rsidRDefault="00CE0168" w:rsidP="00CE016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D1F2471" wp14:editId="3EC5DA3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15-08749  (F)</w:t>
    </w:r>
    <w:r w:rsidR="003902C2">
      <w:rPr>
        <w:sz w:val="20"/>
      </w:rPr>
      <w:t xml:space="preserve">    210515    21</w:t>
    </w:r>
    <w:r w:rsidR="004E3E35">
      <w:rPr>
        <w:sz w:val="20"/>
      </w:rPr>
      <w:t>0515</w:t>
    </w:r>
    <w:r>
      <w:rPr>
        <w:sz w:val="20"/>
      </w:rPr>
      <w:br/>
    </w:r>
    <w:r w:rsidRPr="00CE0168">
      <w:rPr>
        <w:rFonts w:ascii="C39T30Lfz" w:hAnsi="C39T30Lfz"/>
        <w:sz w:val="56"/>
      </w:rPr>
      <w:t></w:t>
    </w:r>
    <w:r w:rsidRPr="00CE0168">
      <w:rPr>
        <w:rFonts w:ascii="C39T30Lfz" w:hAnsi="C39T30Lfz"/>
        <w:sz w:val="56"/>
      </w:rPr>
      <w:t></w:t>
    </w:r>
    <w:r w:rsidRPr="00CE0168">
      <w:rPr>
        <w:rFonts w:ascii="C39T30Lfz" w:hAnsi="C39T30Lfz"/>
        <w:sz w:val="56"/>
      </w:rPr>
      <w:t></w:t>
    </w:r>
    <w:r w:rsidRPr="00CE0168">
      <w:rPr>
        <w:rFonts w:ascii="C39T30Lfz" w:hAnsi="C39T30Lfz"/>
        <w:sz w:val="56"/>
      </w:rPr>
      <w:t></w:t>
    </w:r>
    <w:r w:rsidRPr="00CE0168">
      <w:rPr>
        <w:rFonts w:ascii="C39T30Lfz" w:hAnsi="C39T30Lfz"/>
        <w:sz w:val="56"/>
      </w:rPr>
      <w:t></w:t>
    </w:r>
    <w:r w:rsidRPr="00CE0168">
      <w:rPr>
        <w:rFonts w:ascii="C39T30Lfz" w:hAnsi="C39T30Lfz"/>
        <w:sz w:val="56"/>
      </w:rPr>
      <w:t></w:t>
    </w:r>
    <w:r w:rsidRPr="00CE0168">
      <w:rPr>
        <w:rFonts w:ascii="C39T30Lfz" w:hAnsi="C39T30Lfz"/>
        <w:sz w:val="56"/>
      </w:rPr>
      <w:t></w:t>
    </w:r>
    <w:r w:rsidRPr="00CE0168">
      <w:rPr>
        <w:rFonts w:ascii="C39T30Lfz" w:hAnsi="C39T30Lfz"/>
        <w:sz w:val="56"/>
      </w:rPr>
      <w:t></w:t>
    </w:r>
    <w:r w:rsidRPr="00CE016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5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5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9A" w:rsidRPr="00AC3823" w:rsidRDefault="000A48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489A" w:rsidRPr="00AC3823" w:rsidRDefault="000A48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489A" w:rsidRPr="00AC3823" w:rsidRDefault="000A489A">
      <w:pPr>
        <w:spacing w:line="240" w:lineRule="auto"/>
        <w:rPr>
          <w:sz w:val="2"/>
          <w:szCs w:val="2"/>
        </w:rPr>
      </w:pPr>
    </w:p>
  </w:footnote>
  <w:footnote w:id="2">
    <w:p w:rsidR="00CE0168" w:rsidRDefault="00CE0168" w:rsidP="00A91D3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Diffusée en langue allemande par la Commission centrale pour la navigation du Rhin sous la cote CCNR/ZKR/ADN/WP.15/AC.2/2015/18.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68" w:rsidRPr="00CE0168" w:rsidRDefault="00CE0168" w:rsidP="00A91D3A">
    <w:pPr>
      <w:pStyle w:val="Header"/>
    </w:pPr>
    <w:r>
      <w:t>ECE/TRANS/WP.15/AC.2/2015/18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68" w:rsidRPr="00CE0168" w:rsidRDefault="00CE0168" w:rsidP="00CE0168">
    <w:pPr>
      <w:pStyle w:val="Header"/>
      <w:jc w:val="right"/>
    </w:pPr>
    <w:r>
      <w:t>ECE/TRANS/WP.15/AC.2/2015/18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9A"/>
    <w:rsid w:val="00017F94"/>
    <w:rsid w:val="00023842"/>
    <w:rsid w:val="000334F9"/>
    <w:rsid w:val="0007796D"/>
    <w:rsid w:val="000A489A"/>
    <w:rsid w:val="000B7790"/>
    <w:rsid w:val="00111F2F"/>
    <w:rsid w:val="0014365E"/>
    <w:rsid w:val="00143C66"/>
    <w:rsid w:val="00176178"/>
    <w:rsid w:val="001F525A"/>
    <w:rsid w:val="00221981"/>
    <w:rsid w:val="00223272"/>
    <w:rsid w:val="0024779E"/>
    <w:rsid w:val="00257168"/>
    <w:rsid w:val="002744B8"/>
    <w:rsid w:val="002832AC"/>
    <w:rsid w:val="002D7C93"/>
    <w:rsid w:val="00305801"/>
    <w:rsid w:val="003902C2"/>
    <w:rsid w:val="003916DE"/>
    <w:rsid w:val="00441C3B"/>
    <w:rsid w:val="00446FE5"/>
    <w:rsid w:val="00452396"/>
    <w:rsid w:val="004837D8"/>
    <w:rsid w:val="004E3E35"/>
    <w:rsid w:val="004E468C"/>
    <w:rsid w:val="005505B7"/>
    <w:rsid w:val="00553A92"/>
    <w:rsid w:val="00573BE5"/>
    <w:rsid w:val="00586ED3"/>
    <w:rsid w:val="00596AA9"/>
    <w:rsid w:val="00652EF8"/>
    <w:rsid w:val="0071601D"/>
    <w:rsid w:val="007A62E6"/>
    <w:rsid w:val="007F20FA"/>
    <w:rsid w:val="0080684C"/>
    <w:rsid w:val="00871C75"/>
    <w:rsid w:val="008776DC"/>
    <w:rsid w:val="009705C8"/>
    <w:rsid w:val="009B21B6"/>
    <w:rsid w:val="009C1CF4"/>
    <w:rsid w:val="009F6B74"/>
    <w:rsid w:val="00A30353"/>
    <w:rsid w:val="00A41FD7"/>
    <w:rsid w:val="00A4388F"/>
    <w:rsid w:val="00A91D3A"/>
    <w:rsid w:val="00AC3823"/>
    <w:rsid w:val="00AE323C"/>
    <w:rsid w:val="00AF0CB5"/>
    <w:rsid w:val="00B00181"/>
    <w:rsid w:val="00B00B0D"/>
    <w:rsid w:val="00B765F7"/>
    <w:rsid w:val="00BA0CA9"/>
    <w:rsid w:val="00C02897"/>
    <w:rsid w:val="00CE0168"/>
    <w:rsid w:val="00D3439C"/>
    <w:rsid w:val="00DB1831"/>
    <w:rsid w:val="00DD3BFD"/>
    <w:rsid w:val="00DF6678"/>
    <w:rsid w:val="00E85C74"/>
    <w:rsid w:val="00EA6547"/>
    <w:rsid w:val="00ED2C1B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ECE/TRANS/WP.15/AC.2/2015/18</vt:lpstr>
      <vt:lpstr>ECE/TRANS/WP.15/AC.2/2015/18</vt:lpstr>
    </vt:vector>
  </TitlesOfParts>
  <Company>DCM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ECE/TRANS/WP.15/AC.2/2015/18</dc:title>
  <dc:subject>Final</dc:subject>
  <dc:creator>Crelier</dc:creator>
  <cp:lastModifiedBy>Luciolle</cp:lastModifiedBy>
  <cp:revision>2</cp:revision>
  <cp:lastPrinted>2015-05-21T14:57:00Z</cp:lastPrinted>
  <dcterms:created xsi:type="dcterms:W3CDTF">2015-06-24T12:37:00Z</dcterms:created>
  <dcterms:modified xsi:type="dcterms:W3CDTF">2015-06-24T12:37:00Z</dcterms:modified>
</cp:coreProperties>
</file>