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7D" w:rsidRDefault="00AC737D">
      <w:pPr>
        <w:spacing w:before="120"/>
        <w:rPr>
          <w:b/>
          <w:sz w:val="28"/>
          <w:szCs w:val="28"/>
        </w:rPr>
      </w:pPr>
      <w:r>
        <w:rPr>
          <w:b/>
          <w:sz w:val="28"/>
          <w:szCs w:val="28"/>
        </w:rPr>
        <w:t>Commission économique pour l’Europe</w:t>
      </w:r>
    </w:p>
    <w:p w:rsidR="00AC737D" w:rsidRDefault="00AC737D">
      <w:pPr>
        <w:spacing w:before="120"/>
        <w:rPr>
          <w:sz w:val="28"/>
          <w:szCs w:val="28"/>
        </w:rPr>
      </w:pPr>
      <w:r>
        <w:rPr>
          <w:sz w:val="28"/>
          <w:szCs w:val="28"/>
        </w:rPr>
        <w:t>Comité des transports intérieurs</w:t>
      </w:r>
    </w:p>
    <w:p w:rsidR="00AC737D" w:rsidRDefault="00AC737D">
      <w:pPr>
        <w:tabs>
          <w:tab w:val="right" w:pos="9600"/>
        </w:tabs>
        <w:spacing w:before="120"/>
        <w:rPr>
          <w:b/>
          <w:sz w:val="24"/>
          <w:szCs w:val="24"/>
        </w:rPr>
      </w:pPr>
      <w:r>
        <w:rPr>
          <w:b/>
          <w:sz w:val="24"/>
          <w:szCs w:val="24"/>
        </w:rPr>
        <w:t xml:space="preserve">Groupe de travail des transports de marchandises dangereuses </w:t>
      </w:r>
      <w:r>
        <w:rPr>
          <w:b/>
          <w:sz w:val="24"/>
          <w:szCs w:val="24"/>
        </w:rPr>
        <w:tab/>
      </w:r>
      <w:r w:rsidR="009F3958" w:rsidRPr="00A42B3C">
        <w:rPr>
          <w:b/>
        </w:rPr>
        <w:t>8 septem</w:t>
      </w:r>
      <w:r w:rsidR="0079750A" w:rsidRPr="00A42B3C">
        <w:rPr>
          <w:b/>
        </w:rPr>
        <w:t>b</w:t>
      </w:r>
      <w:r w:rsidR="009F3958" w:rsidRPr="00A42B3C">
        <w:rPr>
          <w:b/>
        </w:rPr>
        <w:t>re</w:t>
      </w:r>
      <w:r w:rsidRPr="00A42B3C">
        <w:rPr>
          <w:b/>
        </w:rPr>
        <w:t xml:space="preserve"> 2015</w:t>
      </w:r>
    </w:p>
    <w:p w:rsidR="00AC737D" w:rsidRDefault="00AC737D">
      <w:pPr>
        <w:spacing w:before="120"/>
        <w:rPr>
          <w:b/>
        </w:rPr>
      </w:pPr>
      <w:r>
        <w:rPr>
          <w:b/>
        </w:rPr>
        <w:t>Réunion commune de la Commission d’experts du RID et</w:t>
      </w:r>
      <w:r>
        <w:rPr>
          <w:b/>
        </w:rPr>
        <w:br/>
        <w:t>du Groupe de travail des transports de marchandises dangereuses</w:t>
      </w:r>
    </w:p>
    <w:p w:rsidR="00AC737D" w:rsidRDefault="00AC737D">
      <w:pPr>
        <w:rPr>
          <w:lang w:val="fr-FR"/>
        </w:rPr>
      </w:pPr>
      <w:r>
        <w:t>Genève, 15-25 septembre 2015</w:t>
      </w:r>
      <w:r>
        <w:br/>
      </w:r>
      <w:r>
        <w:rPr>
          <w:lang w:val="fr-FR"/>
        </w:rPr>
        <w:t>Point 6 de l’ordre du jour provisoire</w:t>
      </w:r>
    </w:p>
    <w:p w:rsidR="00AC737D" w:rsidRDefault="00AC737D">
      <w:pPr>
        <w:rPr>
          <w:b/>
          <w:lang w:val="fr-FR"/>
        </w:rPr>
      </w:pPr>
      <w:r>
        <w:rPr>
          <w:b/>
        </w:rPr>
        <w:t>Citernes</w:t>
      </w:r>
    </w:p>
    <w:p w:rsidR="00AC737D" w:rsidRDefault="00AC737D">
      <w:pPr>
        <w:pStyle w:val="HChG"/>
        <w:rPr>
          <w:lang w:val="fr-BE"/>
        </w:rPr>
      </w:pPr>
      <w:r>
        <w:rPr>
          <w:lang w:val="en-US"/>
        </w:rPr>
        <w:tab/>
      </w:r>
      <w:r>
        <w:rPr>
          <w:lang w:val="en-US"/>
        </w:rPr>
        <w:tab/>
      </w:r>
      <w:r>
        <w:t xml:space="preserve">Clarification de la </w:t>
      </w:r>
      <w:r w:rsidR="00023800">
        <w:t>définition</w:t>
      </w:r>
      <w:r>
        <w:rPr>
          <w:lang w:val="fr-BE"/>
        </w:rPr>
        <w:t xml:space="preserve"> de la </w:t>
      </w:r>
      <w:r>
        <w:rPr>
          <w:sz w:val="22"/>
          <w:szCs w:val="22"/>
        </w:rPr>
        <w:t>"</w:t>
      </w:r>
      <w:r>
        <w:rPr>
          <w:lang w:val="fr-BE"/>
        </w:rPr>
        <w:t>Pression maximale de service" d'une citerne</w:t>
      </w:r>
    </w:p>
    <w:p w:rsidR="00AC737D" w:rsidRDefault="00AC737D">
      <w:pPr>
        <w:pStyle w:val="H1G"/>
        <w:rPr>
          <w:lang w:val="fr-BE"/>
        </w:rPr>
      </w:pPr>
      <w:r>
        <w:rPr>
          <w:lang w:val="fr-BE"/>
        </w:rPr>
        <w:tab/>
      </w:r>
      <w:r>
        <w:rPr>
          <w:lang w:val="fr-BE"/>
        </w:rPr>
        <w:tab/>
        <w:t xml:space="preserve">Communication </w:t>
      </w:r>
      <w:r w:rsidR="00363938">
        <w:rPr>
          <w:lang w:val="fr-BE"/>
        </w:rPr>
        <w:t xml:space="preserve">du </w:t>
      </w:r>
      <w:r>
        <w:rPr>
          <w:lang w:val="fr-BE"/>
        </w:rPr>
        <w:t xml:space="preserve">gouvernement de la Suisse </w:t>
      </w:r>
    </w:p>
    <w:p w:rsidR="00AC737D" w:rsidRPr="00B97D1F" w:rsidRDefault="00B97D1F">
      <w:pPr>
        <w:pStyle w:val="H1G"/>
        <w:ind w:left="2268"/>
        <w:rPr>
          <w:sz w:val="28"/>
        </w:rPr>
      </w:pPr>
      <w:r w:rsidRPr="00B97D1F">
        <w:rPr>
          <w:sz w:val="28"/>
        </w:rPr>
        <w:t>Introduction</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1.</w:t>
      </w:r>
      <w:r>
        <w:rPr>
          <w:rFonts w:eastAsia="Calibri"/>
          <w:lang w:val="fr-BE"/>
        </w:rPr>
        <w:tab/>
        <w:t xml:space="preserve">Le présent document vise à sensibiliser les experts sur la définition de la </w:t>
      </w:r>
      <w:r>
        <w:rPr>
          <w:sz w:val="22"/>
          <w:szCs w:val="22"/>
        </w:rPr>
        <w:t>"</w:t>
      </w:r>
      <w:r>
        <w:rPr>
          <w:i/>
          <w:lang w:val="fr-BE"/>
        </w:rPr>
        <w:t>Pression maximale de service</w:t>
      </w:r>
      <w:r>
        <w:rPr>
          <w:lang w:val="fr-BE"/>
        </w:rPr>
        <w:t xml:space="preserve">" (PMS) d'une citerne et les divergences d'interprétation qu'implique sa formulation actuelle. En effet, ces </w:t>
      </w:r>
      <w:r>
        <w:rPr>
          <w:rFonts w:eastAsia="Calibri"/>
          <w:lang w:val="fr-BE"/>
        </w:rPr>
        <w:t xml:space="preserve">derniers temps ces divergences se révèlent problématiques </w:t>
      </w:r>
      <w:r>
        <w:rPr>
          <w:lang w:val="fr-BE"/>
        </w:rPr>
        <w:t xml:space="preserve">notamment </w:t>
      </w:r>
      <w:r>
        <w:rPr>
          <w:rFonts w:eastAsia="Calibri"/>
          <w:lang w:val="fr-BE"/>
        </w:rPr>
        <w:t>au sein des différents groupes de travail relatifs aux citernes destinées au transport de matières dangereuses (notamment ceux du CEN/TC296). Ces divergences parfois fondamentales entravent l'avancement normal des travaux.</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Son but est de clarifier la définition de la PMS pour la rendre univoque et éviter ainsi toute malencontreuse interprétation. Pour ce faire, il propose une modification des textes RID/ADR.</w:t>
      </w:r>
    </w:p>
    <w:p w:rsidR="00AC737D" w:rsidRPr="00B97D1F" w:rsidRDefault="00B97D1F">
      <w:pPr>
        <w:pStyle w:val="H1G"/>
        <w:ind w:left="2268"/>
        <w:rPr>
          <w:sz w:val="28"/>
        </w:rPr>
      </w:pPr>
      <w:r w:rsidRPr="00B97D1F">
        <w:rPr>
          <w:sz w:val="28"/>
        </w:rPr>
        <w:t>Explication</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2.</w:t>
      </w:r>
      <w:r>
        <w:rPr>
          <w:rFonts w:eastAsia="Calibri"/>
          <w:lang w:val="fr-BE"/>
        </w:rPr>
        <w:tab/>
        <w:t>Le texte actuel de la définition de la PMS est issu des différents amendements successifs des règlements RID et ADR. Toutefois, sa teneur ne permet pas de répondre de manière claire aux questions suivantes:</w:t>
      </w:r>
    </w:p>
    <w:p w:rsidR="00AC737D" w:rsidRDefault="00AC737D">
      <w:pPr>
        <w:numPr>
          <w:ilvl w:val="0"/>
          <w:numId w:val="13"/>
        </w:numPr>
        <w:suppressAutoHyphens w:val="0"/>
        <w:spacing w:before="120" w:after="120" w:line="240" w:lineRule="auto"/>
        <w:ind w:left="1701" w:right="1134" w:hanging="283"/>
        <w:jc w:val="both"/>
        <w:rPr>
          <w:rFonts w:eastAsia="Calibri"/>
          <w:lang w:val="fr-BE"/>
        </w:rPr>
      </w:pPr>
      <w:r>
        <w:rPr>
          <w:rFonts w:eastAsia="Calibri"/>
          <w:lang w:val="fr-BE"/>
        </w:rPr>
        <w:t>À quel endroit et dans quelle position de la cit</w:t>
      </w:r>
      <w:r w:rsidR="00AD5971">
        <w:rPr>
          <w:rFonts w:eastAsia="Calibri"/>
          <w:lang w:val="fr-BE"/>
        </w:rPr>
        <w:t>erne la PMS est-elle déterminée</w:t>
      </w:r>
      <w:r>
        <w:rPr>
          <w:rFonts w:eastAsia="Calibri"/>
          <w:lang w:val="fr-BE"/>
        </w:rPr>
        <w:t>?</w:t>
      </w:r>
    </w:p>
    <w:p w:rsidR="00AC737D" w:rsidRDefault="00AC737D">
      <w:pPr>
        <w:numPr>
          <w:ilvl w:val="0"/>
          <w:numId w:val="13"/>
        </w:numPr>
        <w:suppressAutoHyphens w:val="0"/>
        <w:spacing w:before="120" w:after="120" w:line="240" w:lineRule="auto"/>
        <w:ind w:left="1701" w:right="1134" w:hanging="283"/>
        <w:jc w:val="both"/>
        <w:rPr>
          <w:rFonts w:eastAsia="Calibri"/>
          <w:lang w:val="fr-BE"/>
        </w:rPr>
      </w:pPr>
      <w:r>
        <w:rPr>
          <w:rFonts w:eastAsia="Calibri"/>
          <w:lang w:val="fr-BE"/>
        </w:rPr>
        <w:t>La pression statique liée à la matière à transporter</w:t>
      </w:r>
      <w:r w:rsidR="00AD5971">
        <w:rPr>
          <w:rFonts w:eastAsia="Calibri"/>
          <w:lang w:val="fr-BE"/>
        </w:rPr>
        <w:t xml:space="preserve"> </w:t>
      </w:r>
      <w:proofErr w:type="spellStart"/>
      <w:r w:rsidR="00AD5971">
        <w:rPr>
          <w:rFonts w:eastAsia="Calibri"/>
          <w:lang w:val="fr-BE"/>
        </w:rPr>
        <w:t>doit-elle</w:t>
      </w:r>
      <w:proofErr w:type="spellEnd"/>
      <w:r w:rsidR="00AD5971">
        <w:rPr>
          <w:rFonts w:eastAsia="Calibri"/>
          <w:lang w:val="fr-BE"/>
        </w:rPr>
        <w:t xml:space="preserve"> être prise en compte</w:t>
      </w:r>
      <w:r>
        <w:rPr>
          <w:rFonts w:eastAsia="Calibri"/>
          <w:lang w:val="fr-BE"/>
        </w:rPr>
        <w:t>?</w:t>
      </w:r>
    </w:p>
    <w:p w:rsidR="00AC737D" w:rsidRDefault="00AC737D">
      <w:pPr>
        <w:numPr>
          <w:ilvl w:val="0"/>
          <w:numId w:val="13"/>
        </w:numPr>
        <w:suppressAutoHyphens w:val="0"/>
        <w:spacing w:before="120" w:after="120" w:line="240" w:lineRule="auto"/>
        <w:ind w:left="1701" w:right="1134" w:hanging="283"/>
        <w:jc w:val="both"/>
        <w:rPr>
          <w:rFonts w:eastAsia="Calibri"/>
          <w:lang w:val="fr-BE"/>
        </w:rPr>
      </w:pPr>
      <w:r>
        <w:rPr>
          <w:rFonts w:eastAsia="Calibri"/>
          <w:lang w:val="fr-BE"/>
        </w:rPr>
        <w:t>Comment est déterminée la PMS pour les citernes munies de dispositifs de respiration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3.</w:t>
      </w:r>
      <w:r>
        <w:rPr>
          <w:rFonts w:eastAsia="Calibri"/>
          <w:lang w:val="fr-BE"/>
        </w:rPr>
        <w:tab/>
      </w:r>
      <w:r>
        <w:rPr>
          <w:rFonts w:eastAsia="Calibri"/>
          <w:b/>
          <w:u w:val="single"/>
          <w:lang w:val="fr-BE"/>
        </w:rPr>
        <w:t>Concernant la question I</w:t>
      </w:r>
      <w:r>
        <w:rPr>
          <w:rFonts w:eastAsia="Calibri"/>
          <w:lang w:val="fr-BE"/>
        </w:rPr>
        <w:t xml:space="preserve">: Il faut tout d'abord relever que la définition de la PMS spécifie que cette dernière est une pression manométrique, à savoir le résultat d'un </w:t>
      </w:r>
      <w:r>
        <w:rPr>
          <w:rFonts w:ascii="TimesNewRomanPSMT" w:hAnsi="TimesNewRomanPSMT" w:cs="TimesNewRomanPSMT"/>
          <w:lang w:eastAsia="fr-CH"/>
        </w:rPr>
        <w:t>excès de pression par rapport à la pression atmosphérique (comme aussi mentionné sous le 1.2.2.3 RID/ADR pour les récipients)</w:t>
      </w:r>
      <w:r>
        <w:rPr>
          <w:rFonts w:eastAsia="Calibri"/>
          <w:lang w:val="fr-BE"/>
        </w:rPr>
        <w:t xml:space="preserve">.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Nous sommes d’avis que la PMS est la pression effective susceptible d'être atteinte </w:t>
      </w:r>
      <w:r>
        <w:rPr>
          <w:rFonts w:eastAsia="Calibri"/>
          <w:b/>
          <w:lang w:val="fr-BE"/>
        </w:rPr>
        <w:t>au sommet de la citerne</w:t>
      </w:r>
      <w:r>
        <w:rPr>
          <w:rFonts w:eastAsia="Calibri"/>
          <w:lang w:val="fr-BE"/>
        </w:rPr>
        <w:t xml:space="preserve"> dans sa </w:t>
      </w:r>
      <w:r>
        <w:rPr>
          <w:rFonts w:eastAsia="Calibri"/>
          <w:b/>
          <w:lang w:val="fr-BE"/>
        </w:rPr>
        <w:t>position d'exploitation</w:t>
      </w:r>
      <w:r>
        <w:rPr>
          <w:rFonts w:eastAsia="Calibri"/>
          <w:lang w:val="fr-BE"/>
        </w:rPr>
        <w:t xml:space="preserve">.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D’une part, le texte de 1974 de cette définition faisait bien référence à la valeur de la pression au sommet du réservoir. D’autre part, une telle référence est également spécifiée dans la définition de la </w:t>
      </w:r>
      <w:r>
        <w:rPr>
          <w:rFonts w:ascii="TimesNewRomanPS-ItalicMT" w:hAnsi="TimesNewRomanPS-ItalicMT" w:cs="TimesNewRomanPS-ItalicMT"/>
          <w:i/>
          <w:iCs/>
        </w:rPr>
        <w:t>"Pression de service maximale autorisée (PSMA)"</w:t>
      </w:r>
      <w:r>
        <w:rPr>
          <w:rFonts w:ascii="TimesNewRomanPSMT" w:hAnsi="TimesNewRomanPSMT" w:cs="TimesNewRomanPSMT"/>
        </w:rPr>
        <w:t xml:space="preserve"> </w:t>
      </w:r>
      <w:r>
        <w:rPr>
          <w:rFonts w:eastAsia="Calibri"/>
          <w:lang w:val="fr-BE"/>
        </w:rPr>
        <w:t>des citernes</w:t>
      </w:r>
      <w:r w:rsidR="00AD5971">
        <w:rPr>
          <w:rFonts w:eastAsia="Calibri"/>
          <w:lang w:val="fr-BE"/>
        </w:rPr>
        <w:t xml:space="preserve"> mobiles au 6.7.2.1 RID/ADR : «</w:t>
      </w:r>
      <w:r>
        <w:rPr>
          <w:rFonts w:eastAsia="Calibri"/>
          <w:lang w:val="fr-BE"/>
        </w:rPr>
        <w:t>une pression (…) mesurée au sommet du réservoir dans</w:t>
      </w:r>
      <w:r w:rsidR="00AD5971">
        <w:rPr>
          <w:rFonts w:eastAsia="Calibri"/>
          <w:lang w:val="fr-BE"/>
        </w:rPr>
        <w:t xml:space="preserve"> sa position d’exploitation (…)</w:t>
      </w:r>
      <w:r>
        <w:rPr>
          <w:rFonts w:eastAsia="Calibri"/>
          <w:lang w:val="fr-BE"/>
        </w:rPr>
        <w:t>»</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lastRenderedPageBreak/>
        <w:t xml:space="preserve">Il est important de mentionner qu'il doit être fait abstraction des cas exceptionnels et accidentels, comme un retournement de la citerne, qui impliquent d'autres conditions de pression ne correspondant pas à la </w:t>
      </w:r>
      <w:r>
        <w:rPr>
          <w:rFonts w:eastAsia="Calibri"/>
          <w:b/>
          <w:lang w:val="fr-BE"/>
        </w:rPr>
        <w:t>pression maximale de service</w:t>
      </w:r>
      <w:r>
        <w:rPr>
          <w:rFonts w:eastAsia="Calibri"/>
          <w:lang w:val="fr-BE"/>
        </w:rPr>
        <w:t>.</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4.</w:t>
      </w:r>
      <w:r>
        <w:rPr>
          <w:rFonts w:eastAsia="Calibri"/>
          <w:lang w:val="fr-BE"/>
        </w:rPr>
        <w:tab/>
      </w:r>
      <w:r>
        <w:rPr>
          <w:rFonts w:eastAsia="Calibri"/>
          <w:b/>
          <w:u w:val="single"/>
          <w:lang w:val="fr-BE"/>
        </w:rPr>
        <w:t>Concernant la question II</w:t>
      </w:r>
      <w:r>
        <w:rPr>
          <w:rFonts w:eastAsia="Calibri"/>
          <w:lang w:val="fr-BE"/>
        </w:rPr>
        <w:t>: En prenant comme référence le sommet de la citerne, c'est bien la pression générée par la tension de vapeur et les gaz contenus dans l'espace non rempli de la citerne dont on parle. D'ailleurs il n'est fait actuellement aucune mention de pression statique dans la définition de la PMS dans le RID et l'ADR. La pression statique (hauteur de produit) n'est à considérer que dans les méthodes de calcul pour la vérification de la conception de la citerne et aux sollicitations dynamiques à laquelle cette dernière est soumise.</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5.</w:t>
      </w:r>
      <w:r>
        <w:rPr>
          <w:rFonts w:eastAsia="Calibri"/>
          <w:lang w:val="fr-BE"/>
        </w:rPr>
        <w:tab/>
        <w:t xml:space="preserve">Ceci est confirmé par les indications contenues dans la norme </w:t>
      </w:r>
      <w:r>
        <w:rPr>
          <w:rFonts w:eastAsia="Calibri"/>
          <w:i/>
          <w:lang w:val="fr-BE"/>
        </w:rPr>
        <w:t>EN 13094 - Citernes métalliques ayant une pression de service inférieure ou égale à 0,5 bar</w:t>
      </w:r>
      <w:r>
        <w:rPr>
          <w:rFonts w:eastAsia="Calibri"/>
          <w:lang w:val="fr-BE"/>
        </w:rPr>
        <w:t xml:space="preserve">, notamment au niveau de la méthode de calcul A.5.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Conformément à cette norme: </w:t>
      </w:r>
    </w:p>
    <w:p w:rsidR="00AC737D" w:rsidRDefault="00AC737D">
      <w:pPr>
        <w:numPr>
          <w:ilvl w:val="0"/>
          <w:numId w:val="12"/>
        </w:numPr>
        <w:suppressAutoHyphens w:val="0"/>
        <w:spacing w:before="120" w:after="120" w:line="240" w:lineRule="auto"/>
        <w:ind w:left="1701" w:right="1134" w:hanging="436"/>
        <w:jc w:val="both"/>
        <w:rPr>
          <w:rFonts w:eastAsia="Calibri"/>
          <w:lang w:val="fr-BE"/>
        </w:rPr>
      </w:pPr>
      <w:r>
        <w:rPr>
          <w:rFonts w:eastAsia="Calibri"/>
          <w:lang w:val="fr-BE"/>
        </w:rPr>
        <w:t xml:space="preserve">la pression maximale de service est </w:t>
      </w:r>
      <w:r>
        <w:rPr>
          <w:rFonts w:eastAsia="Calibri"/>
          <w:i/>
          <w:lang w:val="fr-BE"/>
        </w:rPr>
        <w:t>la pression la plus élevée parmi les quatre pressions suivantes P</w:t>
      </w:r>
      <w:r>
        <w:rPr>
          <w:rFonts w:eastAsia="Calibri"/>
          <w:i/>
          <w:vertAlign w:val="subscript"/>
          <w:lang w:val="fr-BE"/>
        </w:rPr>
        <w:t>d</w:t>
      </w:r>
      <w:r>
        <w:rPr>
          <w:rFonts w:eastAsia="Calibri"/>
          <w:i/>
          <w:lang w:val="fr-BE"/>
        </w:rPr>
        <w:t>, P</w:t>
      </w:r>
      <w:r>
        <w:rPr>
          <w:rFonts w:eastAsia="Calibri"/>
          <w:i/>
          <w:vertAlign w:val="subscript"/>
          <w:lang w:val="fr-BE"/>
        </w:rPr>
        <w:t>r</w:t>
      </w:r>
      <w:r>
        <w:rPr>
          <w:rFonts w:eastAsia="Calibri"/>
          <w:i/>
          <w:lang w:val="fr-BE"/>
        </w:rPr>
        <w:t xml:space="preserve">, </w:t>
      </w:r>
      <w:proofErr w:type="spellStart"/>
      <w:r>
        <w:rPr>
          <w:rFonts w:eastAsia="Calibri"/>
          <w:i/>
          <w:lang w:val="fr-BE"/>
        </w:rPr>
        <w:t>P</w:t>
      </w:r>
      <w:r>
        <w:rPr>
          <w:rFonts w:eastAsia="Calibri"/>
          <w:i/>
          <w:vertAlign w:val="subscript"/>
          <w:lang w:val="fr-BE"/>
        </w:rPr>
        <w:t>v</w:t>
      </w:r>
      <w:proofErr w:type="spellEnd"/>
      <w:r>
        <w:rPr>
          <w:rFonts w:eastAsia="Calibri"/>
          <w:i/>
          <w:lang w:val="fr-BE"/>
        </w:rPr>
        <w:t xml:space="preserve"> et P</w:t>
      </w:r>
      <w:r>
        <w:rPr>
          <w:rFonts w:eastAsia="Calibri"/>
          <w:i/>
          <w:vertAlign w:val="subscript"/>
          <w:lang w:val="fr-BE"/>
        </w:rPr>
        <w:t>ts</w:t>
      </w:r>
      <w:r>
        <w:rPr>
          <w:rFonts w:eastAsia="Calibri"/>
          <w:i/>
          <w:lang w:val="fr-BE"/>
        </w:rPr>
        <w:t xml:space="preserve">, </w:t>
      </w:r>
      <w:r>
        <w:rPr>
          <w:rFonts w:eastAsia="Calibri"/>
          <w:lang w:val="fr-BE"/>
        </w:rPr>
        <w:t>où</w:t>
      </w:r>
      <w:r>
        <w:rPr>
          <w:rFonts w:eastAsia="Calibri"/>
          <w:i/>
          <w:lang w:val="fr-BE"/>
        </w:rPr>
        <w:t xml:space="preserve"> </w:t>
      </w:r>
      <w:proofErr w:type="spellStart"/>
      <w:r>
        <w:rPr>
          <w:rFonts w:eastAsia="Calibri"/>
          <w:i/>
          <w:lang w:val="fr-BE"/>
        </w:rPr>
        <w:t>P</w:t>
      </w:r>
      <w:r>
        <w:rPr>
          <w:rFonts w:eastAsia="Calibri"/>
          <w:i/>
          <w:vertAlign w:val="subscript"/>
          <w:lang w:val="fr-BE"/>
        </w:rPr>
        <w:t>v</w:t>
      </w:r>
      <w:proofErr w:type="spellEnd"/>
      <w:r>
        <w:rPr>
          <w:rFonts w:eastAsia="Calibri"/>
          <w:i/>
          <w:lang w:val="fr-BE"/>
        </w:rPr>
        <w:t xml:space="preserve"> </w:t>
      </w:r>
      <w:r>
        <w:rPr>
          <w:rFonts w:eastAsia="Calibri"/>
          <w:lang w:val="fr-BE"/>
        </w:rPr>
        <w:t>est la</w:t>
      </w:r>
      <w:r>
        <w:rPr>
          <w:rFonts w:eastAsia="Calibri"/>
          <w:i/>
          <w:lang w:val="fr-BE"/>
        </w:rPr>
        <w:t xml:space="preserve"> pression effective à laquelle est soumis le réservoir par la matière transportée (y compris les gaz étrangers que ledit réservoir pourrait contenir) à la température de calcul, en </w:t>
      </w:r>
      <w:proofErr w:type="spellStart"/>
      <w:r>
        <w:rPr>
          <w:rFonts w:eastAsia="Calibri"/>
          <w:i/>
          <w:lang w:val="fr-BE"/>
        </w:rPr>
        <w:t>mégapascals</w:t>
      </w:r>
      <w:proofErr w:type="spellEnd"/>
      <w:r>
        <w:rPr>
          <w:rFonts w:eastAsia="Calibri"/>
          <w:i/>
          <w:lang w:val="fr-BE"/>
        </w:rPr>
        <w:t xml:space="preserve"> (</w:t>
      </w:r>
      <w:proofErr w:type="spellStart"/>
      <w:r>
        <w:rPr>
          <w:rFonts w:eastAsia="Calibri"/>
          <w:i/>
          <w:lang w:val="fr-BE"/>
        </w:rPr>
        <w:t>MPa</w:t>
      </w:r>
      <w:proofErr w:type="spellEnd"/>
      <w:r>
        <w:rPr>
          <w:rFonts w:eastAsia="Calibri"/>
          <w:i/>
          <w:lang w:val="fr-BE"/>
        </w:rPr>
        <w:t>)</w:t>
      </w:r>
      <w:r>
        <w:rPr>
          <w:rFonts w:eastAsia="Calibri"/>
          <w:lang w:val="fr-BE"/>
        </w:rPr>
        <w:t>, et</w:t>
      </w:r>
    </w:p>
    <w:p w:rsidR="00AC737D" w:rsidRDefault="00AC737D">
      <w:pPr>
        <w:numPr>
          <w:ilvl w:val="0"/>
          <w:numId w:val="12"/>
        </w:numPr>
        <w:suppressAutoHyphens w:val="0"/>
        <w:spacing w:before="120" w:after="120" w:line="240" w:lineRule="auto"/>
        <w:ind w:left="1701" w:right="1134" w:hanging="425"/>
        <w:jc w:val="both"/>
        <w:rPr>
          <w:rFonts w:eastAsia="Calibri"/>
          <w:lang w:val="fr-BE"/>
        </w:rPr>
      </w:pPr>
      <w:r>
        <w:rPr>
          <w:rFonts w:eastAsia="Calibri"/>
          <w:lang w:val="fr-BE"/>
        </w:rPr>
        <w:t xml:space="preserve">dans les paramètres de calcul relatifs aux pressions dues au produit transporté du Tableau A.2 de la méthode de calcul A.5, </w:t>
      </w:r>
      <w:proofErr w:type="spellStart"/>
      <w:r>
        <w:rPr>
          <w:rFonts w:eastAsia="Calibri"/>
          <w:lang w:val="fr-BE"/>
        </w:rPr>
        <w:t>P</w:t>
      </w:r>
      <w:r>
        <w:rPr>
          <w:rFonts w:eastAsia="Calibri"/>
          <w:vertAlign w:val="subscript"/>
          <w:lang w:val="fr-BE"/>
        </w:rPr>
        <w:t>v</w:t>
      </w:r>
      <w:proofErr w:type="spellEnd"/>
      <w:r>
        <w:rPr>
          <w:rFonts w:eastAsia="Calibri"/>
          <w:lang w:val="fr-BE"/>
        </w:rPr>
        <w:t xml:space="preserve"> correspond à </w:t>
      </w:r>
      <w:proofErr w:type="spellStart"/>
      <w:r>
        <w:rPr>
          <w:rFonts w:eastAsia="Calibri"/>
          <w:lang w:val="fr-BE"/>
        </w:rPr>
        <w:t>P</w:t>
      </w:r>
      <w:r>
        <w:rPr>
          <w:rFonts w:eastAsia="Calibri"/>
          <w:vertAlign w:val="subscript"/>
          <w:lang w:val="fr-BE"/>
        </w:rPr>
        <w:t>vd</w:t>
      </w:r>
      <w:proofErr w:type="spellEnd"/>
      <w:r>
        <w:rPr>
          <w:rFonts w:eastAsia="Calibri"/>
          <w:lang w:val="fr-BE"/>
        </w:rPr>
        <w:t xml:space="preserve"> "</w:t>
      </w:r>
      <w:r>
        <w:rPr>
          <w:rFonts w:eastAsia="Calibri"/>
          <w:i/>
          <w:lang w:val="fr-BE"/>
        </w:rPr>
        <w:t>Tension de vapeur à la température de calcul (manométrique)</w:t>
      </w:r>
      <w:r>
        <w:rPr>
          <w:rFonts w:eastAsia="Calibri"/>
          <w:lang w:val="fr-BE"/>
        </w:rPr>
        <w:t xml:space="preserve">". </w:t>
      </w:r>
    </w:p>
    <w:p w:rsidR="00AC737D" w:rsidRDefault="00AC737D">
      <w:pPr>
        <w:numPr>
          <w:ilvl w:val="0"/>
          <w:numId w:val="12"/>
        </w:numPr>
        <w:suppressAutoHyphens w:val="0"/>
        <w:spacing w:before="120" w:after="120" w:line="240" w:lineRule="auto"/>
        <w:ind w:left="1701" w:right="1134" w:hanging="425"/>
        <w:jc w:val="both"/>
        <w:rPr>
          <w:rFonts w:eastAsia="Calibri"/>
          <w:lang w:val="fr-BE"/>
        </w:rPr>
      </w:pPr>
      <w:r>
        <w:rPr>
          <w:rFonts w:eastAsia="Calibri"/>
          <w:lang w:val="fr-BE"/>
        </w:rPr>
        <w:t xml:space="preserve">Selon le tableau A.3, la détermination de la pression statique </w:t>
      </w:r>
      <w:proofErr w:type="spellStart"/>
      <w:r>
        <w:rPr>
          <w:rFonts w:eastAsia="Calibri"/>
          <w:i/>
          <w:lang w:val="fr-BE"/>
        </w:rPr>
        <w:t>P</w:t>
      </w:r>
      <w:r>
        <w:rPr>
          <w:rFonts w:eastAsia="Calibri"/>
          <w:vertAlign w:val="subscript"/>
          <w:lang w:val="fr-BE"/>
        </w:rPr>
        <w:t>ta</w:t>
      </w:r>
      <w:proofErr w:type="spellEnd"/>
      <w:r>
        <w:rPr>
          <w:rFonts w:eastAsia="Calibri"/>
          <w:i/>
          <w:lang w:val="fr-BE"/>
        </w:rPr>
        <w:t xml:space="preserve"> est déterminée de façon indépendante de la pression maximale de service.</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Ainsi,</w:t>
      </w:r>
      <w:r>
        <w:rPr>
          <w:rFonts w:eastAsia="Calibri"/>
          <w:b/>
          <w:lang w:val="fr-BE"/>
        </w:rPr>
        <w:t xml:space="preserve"> </w:t>
      </w:r>
      <w:r>
        <w:rPr>
          <w:rFonts w:eastAsia="Calibri"/>
          <w:lang w:val="fr-BE"/>
        </w:rPr>
        <w:t>lorsque dans le point c) de la définition on spécifie</w:t>
      </w:r>
      <w:r>
        <w:rPr>
          <w:rFonts w:eastAsia="Calibri"/>
          <w:b/>
          <w:lang w:val="fr-BE"/>
        </w:rPr>
        <w:t xml:space="preserve"> </w:t>
      </w:r>
      <w:r>
        <w:rPr>
          <w:rFonts w:eastAsia="Calibri"/>
          <w:lang w:val="fr-BE"/>
        </w:rPr>
        <w:t xml:space="preserve">"à laquelle elle est soumise par son contenu", c'est bien de la pression générée par la tension de vapeur du produit transporté et les gaz contenus </w:t>
      </w:r>
      <w:r>
        <w:rPr>
          <w:rFonts w:eastAsia="Calibri"/>
          <w:b/>
          <w:lang w:val="fr-BE"/>
        </w:rPr>
        <w:t>dans l'espace non rempli de la citerne</w:t>
      </w:r>
      <w:r>
        <w:rPr>
          <w:rFonts w:ascii="TimesNewRomanPSMT" w:hAnsi="TimesNewRomanPSMT" w:cs="TimesNewRomanPSMT"/>
        </w:rPr>
        <w:t xml:space="preserve"> </w:t>
      </w:r>
      <w:r>
        <w:rPr>
          <w:rFonts w:eastAsia="Calibri"/>
          <w:lang w:val="fr-BE"/>
        </w:rPr>
        <w:t>dont on parle. De ce fait, l</w:t>
      </w:r>
      <w:r>
        <w:rPr>
          <w:rFonts w:eastAsia="Calibri"/>
          <w:b/>
          <w:lang w:val="fr-BE"/>
        </w:rPr>
        <w:t>a pression statique du produit</w:t>
      </w:r>
      <w:r>
        <w:rPr>
          <w:rFonts w:eastAsia="Calibri"/>
          <w:lang w:val="fr-BE"/>
        </w:rPr>
        <w:t xml:space="preserve"> </w:t>
      </w:r>
      <w:r>
        <w:rPr>
          <w:rFonts w:eastAsia="Calibri"/>
          <w:b/>
          <w:lang w:val="fr-BE"/>
        </w:rPr>
        <w:t>ne doit pas être prise en compte</w:t>
      </w:r>
      <w:r>
        <w:rPr>
          <w:rFonts w:eastAsia="Calibri"/>
          <w:lang w:val="fr-BE"/>
        </w:rPr>
        <w:t>.</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6</w:t>
      </w:r>
      <w:r w:rsidR="00A42B3C">
        <w:rPr>
          <w:rFonts w:eastAsia="Calibri"/>
          <w:lang w:val="fr-BE"/>
        </w:rPr>
        <w:t>.</w:t>
      </w:r>
      <w:r>
        <w:rPr>
          <w:rFonts w:eastAsia="Calibri"/>
          <w:lang w:val="fr-BE"/>
        </w:rPr>
        <w:tab/>
        <w:t>Pour plus de clarté, l'avant-dernier paragraphe de la définition de la PMS doit être fusionné avec le texte du point c), pour lequel il est pertinent.</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La notion de tension de vapeur dont il est question au point c) n’est pas applicable aux opérations de remplissage ou de vidange définies dans les points a) et b). Il s’agit ici de </w:t>
      </w:r>
      <w:r>
        <w:rPr>
          <w:rFonts w:ascii="TimesNewRomanPSMT" w:hAnsi="TimesNewRomanPSMT" w:cs="TimesNewRomanPSMT"/>
        </w:rPr>
        <w:t>la pression partielle de l'air ou d'autres gaz dans l'espace non rempli, qui est susceptible d'être atteinte à la température maximale de service de la citerne en conséquence d'une élévation de la température de son contenu.</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7.</w:t>
      </w:r>
      <w:r>
        <w:rPr>
          <w:rFonts w:eastAsia="Calibri"/>
          <w:lang w:val="fr-BE"/>
        </w:rPr>
        <w:tab/>
      </w:r>
      <w:r>
        <w:rPr>
          <w:rFonts w:eastAsia="Calibri"/>
          <w:b/>
          <w:u w:val="single"/>
          <w:lang w:val="fr-BE"/>
        </w:rPr>
        <w:t>Concernant la question III</w:t>
      </w:r>
      <w:r>
        <w:rPr>
          <w:rFonts w:eastAsia="Calibri"/>
          <w:lang w:val="fr-BE"/>
        </w:rPr>
        <w:t xml:space="preserve">: Dans le cadre des révisions successives, notamment celle introduisant une référence à la pression prescrite pour le fonctionnement des soupapes de sécurité, il a été omis de faire référence aux </w:t>
      </w:r>
      <w:r>
        <w:rPr>
          <w:rFonts w:eastAsia="Calibri"/>
          <w:b/>
          <w:lang w:val="fr-BE"/>
        </w:rPr>
        <w:t>dispositifs de respiration</w:t>
      </w:r>
      <w:r>
        <w:rPr>
          <w:rFonts w:eastAsia="Calibri"/>
          <w:lang w:val="fr-BE"/>
        </w:rPr>
        <w:t xml:space="preserve">.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Comme déjà mentionné plus haut en référence avec la norme </w:t>
      </w:r>
      <w:r>
        <w:rPr>
          <w:rFonts w:eastAsia="Calibri"/>
          <w:i/>
          <w:lang w:val="fr-BE"/>
        </w:rPr>
        <w:t>EN 13094</w:t>
      </w:r>
      <w:r>
        <w:rPr>
          <w:rFonts w:eastAsia="Calibri"/>
          <w:lang w:val="fr-BE"/>
        </w:rPr>
        <w:t xml:space="preserve">, la pression maximale de service est </w:t>
      </w:r>
      <w:r>
        <w:rPr>
          <w:rFonts w:eastAsia="Calibri"/>
          <w:i/>
          <w:lang w:val="fr-BE"/>
        </w:rPr>
        <w:t>la pression la plus élevée parmi les quatre pressions suivantes P</w:t>
      </w:r>
      <w:r>
        <w:rPr>
          <w:rFonts w:eastAsia="Calibri"/>
          <w:i/>
          <w:vertAlign w:val="subscript"/>
          <w:lang w:val="fr-BE"/>
        </w:rPr>
        <w:t>d</w:t>
      </w:r>
      <w:r>
        <w:rPr>
          <w:rFonts w:eastAsia="Calibri"/>
          <w:i/>
          <w:lang w:val="fr-BE"/>
        </w:rPr>
        <w:t>, P</w:t>
      </w:r>
      <w:r>
        <w:rPr>
          <w:rFonts w:eastAsia="Calibri"/>
          <w:i/>
          <w:vertAlign w:val="subscript"/>
          <w:lang w:val="fr-BE"/>
        </w:rPr>
        <w:t>r</w:t>
      </w:r>
      <w:r>
        <w:rPr>
          <w:rFonts w:eastAsia="Calibri"/>
          <w:i/>
          <w:lang w:val="fr-BE"/>
        </w:rPr>
        <w:t xml:space="preserve">, </w:t>
      </w:r>
      <w:proofErr w:type="spellStart"/>
      <w:r>
        <w:rPr>
          <w:rFonts w:eastAsia="Calibri"/>
          <w:i/>
          <w:lang w:val="fr-BE"/>
        </w:rPr>
        <w:t>P</w:t>
      </w:r>
      <w:r>
        <w:rPr>
          <w:rFonts w:eastAsia="Calibri"/>
          <w:i/>
          <w:vertAlign w:val="subscript"/>
          <w:lang w:val="fr-BE"/>
        </w:rPr>
        <w:t>v</w:t>
      </w:r>
      <w:proofErr w:type="spellEnd"/>
      <w:r>
        <w:rPr>
          <w:rFonts w:eastAsia="Calibri"/>
          <w:i/>
          <w:lang w:val="fr-BE"/>
        </w:rPr>
        <w:t xml:space="preserve"> et P</w:t>
      </w:r>
      <w:r>
        <w:rPr>
          <w:rFonts w:eastAsia="Calibri"/>
          <w:i/>
          <w:vertAlign w:val="subscript"/>
          <w:lang w:val="fr-BE"/>
        </w:rPr>
        <w:t>ts</w:t>
      </w:r>
      <w:r>
        <w:rPr>
          <w:rFonts w:eastAsia="Calibri"/>
          <w:i/>
          <w:lang w:val="fr-BE"/>
        </w:rPr>
        <w:t xml:space="preserve">, </w:t>
      </w:r>
      <w:r>
        <w:rPr>
          <w:rFonts w:eastAsia="Calibri"/>
          <w:lang w:val="fr-BE"/>
        </w:rPr>
        <w:t xml:space="preserve">où </w:t>
      </w:r>
      <w:r>
        <w:rPr>
          <w:rFonts w:eastAsia="Calibri"/>
          <w:i/>
          <w:lang w:val="fr-BE"/>
        </w:rPr>
        <w:t>P</w:t>
      </w:r>
      <w:r>
        <w:rPr>
          <w:rFonts w:eastAsia="Calibri"/>
          <w:i/>
          <w:vertAlign w:val="subscript"/>
          <w:lang w:val="fr-BE"/>
        </w:rPr>
        <w:t>ts</w:t>
      </w:r>
      <w:r>
        <w:rPr>
          <w:rFonts w:eastAsia="Calibri"/>
          <w:i/>
          <w:lang w:val="fr-BE"/>
        </w:rPr>
        <w:t xml:space="preserve"> est la pression d'ouverture de l'évent de la citerne</w:t>
      </w:r>
      <w:r>
        <w:rPr>
          <w:rFonts w:eastAsia="Calibri"/>
          <w:lang w:val="fr-BE"/>
        </w:rPr>
        <w:t xml:space="preserve">. </w:t>
      </w:r>
    </w:p>
    <w:p w:rsidR="00AC737D" w:rsidRDefault="00AC737D">
      <w:pPr>
        <w:suppressAutoHyphens w:val="0"/>
        <w:spacing w:before="120" w:after="120" w:line="240" w:lineRule="auto"/>
        <w:ind w:left="1134" w:right="1134"/>
        <w:jc w:val="both"/>
        <w:rPr>
          <w:rFonts w:eastAsia="Calibri"/>
          <w:lang w:val="fr-BE"/>
        </w:rPr>
      </w:pPr>
      <w:r>
        <w:rPr>
          <w:rFonts w:eastAsia="Calibri"/>
          <w:lang w:val="fr-BE"/>
        </w:rPr>
        <w:t xml:space="preserve">De ce fait, les évents </w:t>
      </w:r>
      <w:proofErr w:type="spellStart"/>
      <w:r>
        <w:rPr>
          <w:rFonts w:eastAsia="Calibri"/>
          <w:lang w:val="fr-BE"/>
        </w:rPr>
        <w:t>resp</w:t>
      </w:r>
      <w:proofErr w:type="spellEnd"/>
      <w:r>
        <w:rPr>
          <w:rFonts w:eastAsia="Calibri"/>
          <w:lang w:val="fr-BE"/>
        </w:rPr>
        <w:t xml:space="preserve">. </w:t>
      </w:r>
      <w:proofErr w:type="gramStart"/>
      <w:r>
        <w:rPr>
          <w:rFonts w:eastAsia="Calibri"/>
          <w:lang w:val="fr-BE"/>
        </w:rPr>
        <w:t>les</w:t>
      </w:r>
      <w:proofErr w:type="gramEnd"/>
      <w:r>
        <w:rPr>
          <w:rFonts w:eastAsia="Calibri"/>
          <w:lang w:val="fr-BE"/>
        </w:rPr>
        <w:t xml:space="preserve"> </w:t>
      </w:r>
      <w:r>
        <w:rPr>
          <w:rFonts w:eastAsia="Calibri"/>
          <w:b/>
          <w:lang w:val="fr-BE"/>
        </w:rPr>
        <w:t>dispositifs de respiration</w:t>
      </w:r>
      <w:r>
        <w:rPr>
          <w:rFonts w:eastAsia="Calibri"/>
          <w:lang w:val="fr-BE"/>
        </w:rPr>
        <w:t xml:space="preserve"> doivent être introduits dans la définition de la PMS.</w:t>
      </w:r>
    </w:p>
    <w:p w:rsidR="00AC737D" w:rsidRDefault="00AC737D">
      <w:pPr>
        <w:suppressAutoHyphens w:val="0"/>
        <w:spacing w:before="120" w:after="120" w:line="240" w:lineRule="auto"/>
        <w:ind w:left="1134" w:right="1134"/>
        <w:jc w:val="both"/>
        <w:rPr>
          <w:rFonts w:eastAsia="Calibri"/>
          <w:lang w:val="fr-BE"/>
        </w:rPr>
      </w:pPr>
      <w:r w:rsidRPr="00E834A0">
        <w:rPr>
          <w:rFonts w:eastAsia="Calibri"/>
          <w:lang w:val="fr-BE"/>
        </w:rPr>
        <w:t>8.</w:t>
      </w:r>
      <w:r w:rsidRPr="00E834A0">
        <w:rPr>
          <w:rFonts w:eastAsia="Calibri"/>
          <w:lang w:val="fr-BE"/>
        </w:rPr>
        <w:tab/>
        <w:t xml:space="preserve">De plus, il est proposé d'aligner la formulation des </w:t>
      </w:r>
      <w:r w:rsidRPr="00E834A0">
        <w:t>gaz</w:t>
      </w:r>
      <w:r w:rsidRPr="00E834A0">
        <w:rPr>
          <w:color w:val="1F497D"/>
        </w:rPr>
        <w:t xml:space="preserve"> </w:t>
      </w:r>
      <w:r w:rsidR="00363938" w:rsidRPr="00E834A0">
        <w:rPr>
          <w:color w:val="1F497D"/>
        </w:rPr>
        <w:t>"</w:t>
      </w:r>
      <w:r w:rsidRPr="00E834A0">
        <w:rPr>
          <w:u w:val="single"/>
        </w:rPr>
        <w:t>comprimés, liquéfiés ou dissous</w:t>
      </w:r>
      <w:r w:rsidR="00363938" w:rsidRPr="00E834A0">
        <w:rPr>
          <w:u w:val="single"/>
        </w:rPr>
        <w:t>"</w:t>
      </w:r>
      <w:r w:rsidRPr="00E834A0">
        <w:rPr>
          <w:u w:val="single"/>
        </w:rPr>
        <w:t xml:space="preserve"> </w:t>
      </w:r>
      <w:r w:rsidRPr="00E834A0">
        <w:rPr>
          <w:rFonts w:eastAsia="Calibri"/>
          <w:lang w:val="fr-BE"/>
        </w:rPr>
        <w:t xml:space="preserve">de la classe 2 </w:t>
      </w:r>
      <w:r w:rsidR="00363938" w:rsidRPr="00E834A0">
        <w:rPr>
          <w:rFonts w:eastAsia="Calibri"/>
          <w:lang w:val="fr-BE"/>
        </w:rPr>
        <w:t xml:space="preserve">de la version française </w:t>
      </w:r>
      <w:r w:rsidRPr="00E834A0">
        <w:rPr>
          <w:rFonts w:eastAsia="Calibri"/>
          <w:lang w:val="fr-BE"/>
        </w:rPr>
        <w:t>avec celles des versions anglaise et allemande.</w:t>
      </w:r>
    </w:p>
    <w:p w:rsidR="00AC737D" w:rsidRDefault="00AD5971">
      <w:pPr>
        <w:suppressAutoHyphens w:val="0"/>
        <w:spacing w:before="120" w:after="120" w:line="240" w:lineRule="auto"/>
        <w:ind w:left="1134" w:right="1134"/>
        <w:jc w:val="both"/>
        <w:rPr>
          <w:rFonts w:eastAsia="Calibri"/>
          <w:lang w:val="fr-BE"/>
        </w:rPr>
      </w:pPr>
      <w:r>
        <w:rPr>
          <w:rFonts w:eastAsia="Calibri"/>
          <w:lang w:val="fr-BE"/>
        </w:rPr>
        <w:t>9.</w:t>
      </w:r>
      <w:r>
        <w:rPr>
          <w:rFonts w:eastAsia="Calibri"/>
          <w:lang w:val="fr-BE"/>
        </w:rPr>
        <w:tab/>
      </w:r>
      <w:r w:rsidR="00AC737D">
        <w:rPr>
          <w:rFonts w:eastAsia="Calibri"/>
          <w:lang w:val="fr-BE"/>
        </w:rPr>
        <w:t>Sur la base des explications qui précèdent, nous proposons de modifier la définition de la PMS comme suit.</w:t>
      </w:r>
    </w:p>
    <w:p w:rsidR="00AC737D" w:rsidRPr="00B97D1F" w:rsidRDefault="00B97D1F" w:rsidP="00B97D1F">
      <w:pPr>
        <w:pStyle w:val="H1G"/>
        <w:ind w:left="2268"/>
        <w:rPr>
          <w:sz w:val="28"/>
        </w:rPr>
      </w:pPr>
      <w:r w:rsidRPr="00B97D1F">
        <w:rPr>
          <w:sz w:val="28"/>
        </w:rPr>
        <w:lastRenderedPageBreak/>
        <w:t>Proposition</w:t>
      </w:r>
    </w:p>
    <w:p w:rsidR="00AC737D" w:rsidRDefault="00AC737D" w:rsidP="005A23D3">
      <w:pPr>
        <w:suppressAutoHyphens w:val="0"/>
        <w:spacing w:before="60" w:afterLines="60" w:after="144" w:line="240" w:lineRule="auto"/>
        <w:ind w:left="1134" w:right="1134"/>
        <w:jc w:val="both"/>
        <w:rPr>
          <w:rFonts w:eastAsia="Calibri"/>
          <w:lang w:val="fr-BE"/>
        </w:rPr>
      </w:pPr>
      <w:r>
        <w:rPr>
          <w:rFonts w:eastAsia="Calibri"/>
          <w:lang w:val="fr-BE"/>
        </w:rPr>
        <w:t>10.</w:t>
      </w:r>
      <w:r>
        <w:rPr>
          <w:rFonts w:eastAsia="Calibri"/>
          <w:lang w:val="fr-BE"/>
        </w:rPr>
        <w:tab/>
        <w:t>Le libellé de la définition du 1.2.1 RID et ADR est à modifier comme suit:</w:t>
      </w:r>
    </w:p>
    <w:p w:rsidR="002335E7" w:rsidRDefault="002335E7" w:rsidP="005A23D3">
      <w:pPr>
        <w:numPr>
          <w:ilvl w:val="0"/>
          <w:numId w:val="14"/>
        </w:numPr>
        <w:suppressAutoHyphens w:val="0"/>
        <w:autoSpaceDE w:val="0"/>
        <w:autoSpaceDN w:val="0"/>
        <w:spacing w:after="120" w:line="240" w:lineRule="auto"/>
        <w:ind w:left="1560" w:right="1134" w:hanging="284"/>
        <w:jc w:val="both"/>
        <w:rPr>
          <w:lang w:val="de-CH"/>
        </w:rPr>
      </w:pPr>
      <w:r>
        <w:t>français:</w:t>
      </w:r>
    </w:p>
    <w:p w:rsidR="00AC737D" w:rsidRDefault="00AC737D" w:rsidP="005A23D3">
      <w:pPr>
        <w:autoSpaceDE w:val="0"/>
        <w:autoSpaceDN w:val="0"/>
        <w:ind w:left="1134" w:right="1134"/>
        <w:jc w:val="both"/>
      </w:pPr>
      <w:r>
        <w:t>"</w:t>
      </w:r>
      <w:r>
        <w:rPr>
          <w:i/>
        </w:rPr>
        <w:t>Pression maximale de service</w:t>
      </w:r>
      <w:r>
        <w:t>" (pression manométrique), la plus haute des trois valeurs suivantes,</w:t>
      </w:r>
      <w:r>
        <w:rPr>
          <w:color w:val="1F497D"/>
        </w:rPr>
        <w:t xml:space="preserve"> </w:t>
      </w:r>
      <w:r>
        <w:rPr>
          <w:b/>
          <w:i/>
          <w:u w:val="single"/>
        </w:rPr>
        <w:t>susceptible d’être atteinte au sommet de la cit</w:t>
      </w:r>
      <w:r>
        <w:rPr>
          <w:i/>
          <w:u w:val="single"/>
        </w:rPr>
        <w:t>e</w:t>
      </w:r>
      <w:r>
        <w:rPr>
          <w:b/>
          <w:i/>
          <w:u w:val="single"/>
        </w:rPr>
        <w:t>rne dans sa position d’exploitation</w:t>
      </w:r>
      <w:r>
        <w:t>:</w:t>
      </w:r>
    </w:p>
    <w:p w:rsidR="00AC737D" w:rsidRDefault="00AC737D" w:rsidP="005A23D3">
      <w:pPr>
        <w:pStyle w:val="ListParagraph"/>
        <w:numPr>
          <w:ilvl w:val="0"/>
          <w:numId w:val="8"/>
        </w:numPr>
        <w:autoSpaceDE w:val="0"/>
        <w:autoSpaceDN w:val="0"/>
        <w:spacing w:before="60"/>
        <w:ind w:left="1559" w:right="1134" w:hanging="357"/>
        <w:jc w:val="both"/>
        <w:rPr>
          <w:color w:val="auto"/>
          <w:sz w:val="20"/>
          <w:szCs w:val="20"/>
          <w:lang w:val="fr-CH" w:eastAsia="en-US"/>
        </w:rPr>
      </w:pPr>
      <w:r>
        <w:rPr>
          <w:color w:val="auto"/>
          <w:sz w:val="20"/>
          <w:szCs w:val="20"/>
          <w:lang w:val="fr-CH" w:eastAsia="en-US"/>
        </w:rPr>
        <w:t>valeur maximale de la pression effective autorisée dans la citerne lors d'une opération de remplissage (pression maximale autorisée de remplissage);</w:t>
      </w:r>
    </w:p>
    <w:p w:rsidR="00AC737D" w:rsidRDefault="00AC737D" w:rsidP="005A23D3">
      <w:pPr>
        <w:pStyle w:val="ListParagraph"/>
        <w:numPr>
          <w:ilvl w:val="0"/>
          <w:numId w:val="8"/>
        </w:numPr>
        <w:autoSpaceDE w:val="0"/>
        <w:autoSpaceDN w:val="0"/>
        <w:spacing w:before="60"/>
        <w:ind w:left="1559" w:right="1134" w:hanging="357"/>
        <w:jc w:val="both"/>
        <w:rPr>
          <w:color w:val="auto"/>
          <w:sz w:val="20"/>
          <w:szCs w:val="20"/>
          <w:lang w:val="fr-CH" w:eastAsia="en-US"/>
        </w:rPr>
      </w:pPr>
      <w:r>
        <w:rPr>
          <w:color w:val="auto"/>
          <w:sz w:val="20"/>
          <w:szCs w:val="20"/>
          <w:lang w:val="fr-CH" w:eastAsia="en-US"/>
        </w:rPr>
        <w:t xml:space="preserve">valeur maximale de la pression effective autorisée dans la citerne lors d'une opération </w:t>
      </w:r>
      <w:bookmarkStart w:id="0" w:name="_GoBack"/>
      <w:bookmarkEnd w:id="0"/>
      <w:r>
        <w:rPr>
          <w:color w:val="auto"/>
          <w:sz w:val="20"/>
          <w:szCs w:val="20"/>
          <w:lang w:val="fr-CH" w:eastAsia="en-US"/>
        </w:rPr>
        <w:t>de vidange (pression maximale autorisée de vidange);</w:t>
      </w:r>
    </w:p>
    <w:p w:rsidR="00AC737D" w:rsidRDefault="00AC737D" w:rsidP="005A23D3">
      <w:pPr>
        <w:pStyle w:val="ListParagraph"/>
        <w:numPr>
          <w:ilvl w:val="0"/>
          <w:numId w:val="8"/>
        </w:numPr>
        <w:autoSpaceDE w:val="0"/>
        <w:autoSpaceDN w:val="0"/>
        <w:spacing w:before="60"/>
        <w:ind w:left="1559" w:right="1134" w:hanging="357"/>
        <w:jc w:val="both"/>
        <w:rPr>
          <w:color w:val="auto"/>
          <w:sz w:val="20"/>
          <w:szCs w:val="20"/>
          <w:lang w:val="fr-CH" w:eastAsia="en-US"/>
        </w:rPr>
      </w:pPr>
      <w:r>
        <w:rPr>
          <w:color w:val="auto"/>
          <w:sz w:val="20"/>
          <w:szCs w:val="20"/>
          <w:lang w:val="fr-CH" w:eastAsia="en-US"/>
        </w:rPr>
        <w:t>pression manométrique effective</w:t>
      </w:r>
      <w:r>
        <w:rPr>
          <w:rFonts w:ascii="Arial" w:hAnsi="Arial" w:cs="Arial"/>
          <w:color w:val="1F497D"/>
          <w:sz w:val="20"/>
          <w:szCs w:val="20"/>
          <w:lang w:val="fr-CH"/>
        </w:rPr>
        <w:t xml:space="preserve"> </w:t>
      </w:r>
      <w:r>
        <w:rPr>
          <w:b/>
          <w:i/>
          <w:color w:val="auto"/>
          <w:sz w:val="20"/>
          <w:szCs w:val="20"/>
          <w:u w:val="single"/>
          <w:lang w:val="fr-CH" w:eastAsia="en-US"/>
        </w:rPr>
        <w:t>dans l'espace non rempli</w:t>
      </w:r>
      <w:r>
        <w:rPr>
          <w:b/>
          <w:i/>
          <w:color w:val="auto"/>
          <w:sz w:val="20"/>
          <w:szCs w:val="20"/>
          <w:lang w:val="fr-CH" w:eastAsia="en-US"/>
        </w:rPr>
        <w:t xml:space="preserve"> </w:t>
      </w:r>
      <w:r>
        <w:rPr>
          <w:color w:val="auto"/>
          <w:sz w:val="20"/>
          <w:szCs w:val="20"/>
          <w:lang w:val="fr-CH" w:eastAsia="en-US"/>
        </w:rPr>
        <w:t>à laquelle</w:t>
      </w:r>
      <w:r>
        <w:rPr>
          <w:b/>
          <w:i/>
          <w:color w:val="auto"/>
          <w:sz w:val="20"/>
          <w:szCs w:val="20"/>
          <w:lang w:val="fr-CH" w:eastAsia="en-US"/>
        </w:rPr>
        <w:t xml:space="preserve"> </w:t>
      </w:r>
      <w:r>
        <w:rPr>
          <w:b/>
          <w:i/>
          <w:color w:val="auto"/>
          <w:sz w:val="20"/>
          <w:szCs w:val="20"/>
          <w:u w:val="single"/>
          <w:lang w:val="fr-CH" w:eastAsia="en-US"/>
        </w:rPr>
        <w:t>la citerne</w:t>
      </w:r>
      <w:r>
        <w:rPr>
          <w:b/>
          <w:i/>
          <w:color w:val="auto"/>
          <w:sz w:val="20"/>
          <w:szCs w:val="20"/>
          <w:lang w:val="fr-CH" w:eastAsia="en-US"/>
        </w:rPr>
        <w:t xml:space="preserve"> </w:t>
      </w:r>
      <w:r>
        <w:rPr>
          <w:color w:val="auto"/>
          <w:sz w:val="20"/>
          <w:szCs w:val="20"/>
          <w:lang w:val="fr-CH" w:eastAsia="en-US"/>
        </w:rPr>
        <w:t xml:space="preserve">est soumise par son contenu (y compris les gaz étrangers </w:t>
      </w:r>
      <w:r w:rsidRPr="00B136ED">
        <w:rPr>
          <w:b/>
          <w:i/>
          <w:color w:val="auto"/>
          <w:sz w:val="20"/>
          <w:szCs w:val="20"/>
          <w:u w:val="single"/>
          <w:lang w:val="fr-CH" w:eastAsia="en-US"/>
        </w:rPr>
        <w:t>qu'elle</w:t>
      </w:r>
      <w:r>
        <w:rPr>
          <w:color w:val="auto"/>
          <w:sz w:val="20"/>
          <w:szCs w:val="20"/>
          <w:lang w:val="fr-CH" w:eastAsia="en-US"/>
        </w:rPr>
        <w:t xml:space="preserve"> peut renfermer) à la température maximale de service. </w:t>
      </w:r>
    </w:p>
    <w:p w:rsidR="00AC737D" w:rsidRDefault="00AC737D" w:rsidP="005A23D3">
      <w:pPr>
        <w:pStyle w:val="ListParagraph"/>
        <w:autoSpaceDE w:val="0"/>
        <w:autoSpaceDN w:val="0"/>
        <w:spacing w:before="60"/>
        <w:ind w:left="1559" w:right="1134"/>
        <w:jc w:val="both"/>
        <w:rPr>
          <w:color w:val="auto"/>
          <w:sz w:val="20"/>
          <w:szCs w:val="20"/>
          <w:lang w:val="fr-CH" w:eastAsia="en-US"/>
        </w:rPr>
      </w:pPr>
      <w:r>
        <w:rPr>
          <w:color w:val="auto"/>
          <w:sz w:val="20"/>
          <w:szCs w:val="20"/>
          <w:lang w:val="fr-CH" w:eastAsia="en-US"/>
        </w:rPr>
        <w:t>Sauf conditions particulières prescrites dans le chapitre 4.3, la valeur numérique de cette pression</w:t>
      </w:r>
      <w:r>
        <w:rPr>
          <w:rFonts w:ascii="Arial" w:hAnsi="Arial" w:cs="Arial"/>
          <w:color w:val="1F497D"/>
          <w:sz w:val="20"/>
          <w:szCs w:val="20"/>
          <w:lang w:val="fr-CH"/>
        </w:rPr>
        <w:t xml:space="preserve"> </w:t>
      </w:r>
      <w:r>
        <w:rPr>
          <w:b/>
          <w:i/>
          <w:strike/>
          <w:color w:val="auto"/>
          <w:sz w:val="20"/>
          <w:szCs w:val="20"/>
          <w:lang w:val="fr-CH" w:eastAsia="en-US"/>
        </w:rPr>
        <w:t>de service</w:t>
      </w:r>
      <w:r>
        <w:rPr>
          <w:rFonts w:ascii="Arial" w:hAnsi="Arial" w:cs="Arial"/>
          <w:b/>
          <w:i/>
          <w:strike/>
          <w:color w:val="1F497D"/>
          <w:sz w:val="20"/>
          <w:szCs w:val="20"/>
          <w:lang w:val="fr-CH"/>
        </w:rPr>
        <w:t xml:space="preserve"> (</w:t>
      </w:r>
      <w:r>
        <w:rPr>
          <w:b/>
          <w:i/>
          <w:strike/>
          <w:color w:val="auto"/>
          <w:sz w:val="20"/>
          <w:szCs w:val="20"/>
          <w:lang w:val="fr-CH" w:eastAsia="en-US"/>
        </w:rPr>
        <w:t>pression manométrique)</w:t>
      </w:r>
      <w:r>
        <w:rPr>
          <w:color w:val="auto"/>
          <w:sz w:val="20"/>
          <w:szCs w:val="20"/>
          <w:lang w:val="fr-CH" w:eastAsia="en-US"/>
        </w:rPr>
        <w:t xml:space="preserve"> ne doit pas être inférieure à la pression de vapeur de la matière de remplissage à 50°C (pression absolue).</w:t>
      </w:r>
    </w:p>
    <w:p w:rsidR="00AC737D" w:rsidRDefault="00AC737D" w:rsidP="005A23D3">
      <w:pPr>
        <w:autoSpaceDE w:val="0"/>
        <w:autoSpaceDN w:val="0"/>
        <w:spacing w:before="120"/>
        <w:ind w:left="1134" w:right="1134"/>
        <w:jc w:val="both"/>
      </w:pPr>
      <w:r>
        <w:t xml:space="preserve">Pour les citernes munies de </w:t>
      </w:r>
      <w:r>
        <w:rPr>
          <w:b/>
          <w:i/>
          <w:u w:val="single"/>
        </w:rPr>
        <w:t>dispositifs de respiration ou de</w:t>
      </w:r>
      <w:r>
        <w:t xml:space="preserve"> soupapes de sécurité (avec ou sans disque de rupture),</w:t>
      </w:r>
      <w:r>
        <w:rPr>
          <w:color w:val="1F497D"/>
        </w:rPr>
        <w:t xml:space="preserve"> </w:t>
      </w:r>
      <w:r>
        <w:t>à l'exception des citernes destinées au transport de gaz</w:t>
      </w:r>
      <w:r>
        <w:rPr>
          <w:color w:val="1F497D"/>
        </w:rPr>
        <w:t xml:space="preserve"> </w:t>
      </w:r>
      <w:r>
        <w:rPr>
          <w:b/>
          <w:i/>
          <w:u w:val="single"/>
        </w:rPr>
        <w:t>comprimés, liquéfiés ou dissous</w:t>
      </w:r>
      <w:r>
        <w:rPr>
          <w:b/>
          <w:i/>
        </w:rPr>
        <w:t xml:space="preserve"> </w:t>
      </w:r>
      <w:r>
        <w:t xml:space="preserve">de la classe 2, la pression maximale de service (pression manométrique) est cependant égale à la pression prescrite pour le fonctionnement de ces </w:t>
      </w:r>
      <w:r>
        <w:rPr>
          <w:b/>
          <w:i/>
          <w:u w:val="single"/>
        </w:rPr>
        <w:t>dispositifs de respiration ou de ces</w:t>
      </w:r>
      <w:r>
        <w:t xml:space="preserve"> soupapes de sécurité;</w:t>
      </w:r>
    </w:p>
    <w:p w:rsidR="00AC737D" w:rsidRDefault="00AC737D" w:rsidP="005A23D3">
      <w:pPr>
        <w:autoSpaceDE w:val="0"/>
        <w:autoSpaceDN w:val="0"/>
        <w:ind w:left="1134" w:right="1134"/>
        <w:jc w:val="both"/>
      </w:pPr>
    </w:p>
    <w:p w:rsidR="00AC737D" w:rsidRDefault="00AC737D" w:rsidP="005A23D3">
      <w:pPr>
        <w:autoSpaceDE w:val="0"/>
        <w:autoSpaceDN w:val="0"/>
        <w:ind w:left="1134" w:right="1134"/>
        <w:jc w:val="both"/>
      </w:pPr>
      <w:r>
        <w:t>(</w:t>
      </w:r>
      <w:proofErr w:type="gramStart"/>
      <w:r>
        <w:t>les</w:t>
      </w:r>
      <w:proofErr w:type="gramEnd"/>
      <w:r>
        <w:t xml:space="preserve"> 2 notas restent inchangés)</w:t>
      </w:r>
    </w:p>
    <w:p w:rsidR="00E834A0" w:rsidRDefault="00E834A0" w:rsidP="005A23D3">
      <w:pPr>
        <w:autoSpaceDE w:val="0"/>
        <w:autoSpaceDN w:val="0"/>
        <w:ind w:left="1134" w:right="1134"/>
        <w:jc w:val="both"/>
      </w:pPr>
    </w:p>
    <w:p w:rsidR="002335E7" w:rsidRDefault="002335E7" w:rsidP="005A23D3">
      <w:pPr>
        <w:numPr>
          <w:ilvl w:val="0"/>
          <w:numId w:val="14"/>
        </w:numPr>
        <w:suppressAutoHyphens w:val="0"/>
        <w:autoSpaceDE w:val="0"/>
        <w:autoSpaceDN w:val="0"/>
        <w:spacing w:after="120" w:line="240" w:lineRule="auto"/>
        <w:ind w:left="1560" w:right="1134" w:hanging="284"/>
        <w:jc w:val="both"/>
        <w:rPr>
          <w:lang w:val="de-CH"/>
        </w:rPr>
      </w:pPr>
      <w:r>
        <w:t>anglais:</w:t>
      </w:r>
    </w:p>
    <w:p w:rsidR="00AC737D" w:rsidRDefault="00AC737D" w:rsidP="005A23D3">
      <w:pPr>
        <w:autoSpaceDE w:val="0"/>
        <w:autoSpaceDN w:val="0"/>
        <w:adjustRightInd w:val="0"/>
        <w:ind w:left="1134" w:right="1134"/>
        <w:jc w:val="both"/>
        <w:rPr>
          <w:rFonts w:ascii="TimesNewRomanPSMT" w:hAnsi="TimesNewRomanPSMT" w:cs="TimesNewRomanPSMT"/>
          <w:lang w:val="en-US" w:eastAsia="de-CH"/>
        </w:rPr>
      </w:pPr>
      <w:r>
        <w:rPr>
          <w:i/>
          <w:iCs/>
          <w:lang w:val="en-US" w:eastAsia="de-CH"/>
        </w:rPr>
        <w:t xml:space="preserve">"Maximum working pressure (gauge pressure)" </w:t>
      </w:r>
      <w:r>
        <w:rPr>
          <w:rFonts w:ascii="TimesNewRomanPSMT" w:hAnsi="TimesNewRomanPSMT" w:cs="TimesNewRomanPSMT"/>
          <w:lang w:val="en-US" w:eastAsia="de-CH"/>
        </w:rPr>
        <w:t xml:space="preserve">means the highest of the following three pressures </w:t>
      </w:r>
      <w:r>
        <w:rPr>
          <w:b/>
          <w:i/>
          <w:u w:val="single"/>
          <w:lang w:val="en-US"/>
        </w:rPr>
        <w:t>likely to be reached at the top of the tank while in operating position</w:t>
      </w:r>
      <w:r>
        <w:rPr>
          <w:rFonts w:ascii="TimesNewRomanPSMT" w:hAnsi="TimesNewRomanPSMT" w:cs="TimesNewRomanPSMT"/>
          <w:lang w:val="en-US" w:eastAsia="de-CH"/>
        </w:rPr>
        <w:t>:</w:t>
      </w:r>
      <w:r>
        <w:rPr>
          <w:lang w:val="en-US"/>
        </w:rPr>
        <w:t xml:space="preserve"> </w:t>
      </w:r>
    </w:p>
    <w:p w:rsidR="00AC737D" w:rsidRDefault="00AC737D" w:rsidP="005A23D3">
      <w:pPr>
        <w:numPr>
          <w:ilvl w:val="0"/>
          <w:numId w:val="9"/>
        </w:numPr>
        <w:suppressAutoHyphens w:val="0"/>
        <w:autoSpaceDE w:val="0"/>
        <w:autoSpaceDN w:val="0"/>
        <w:adjustRightInd w:val="0"/>
        <w:spacing w:before="60" w:line="240" w:lineRule="auto"/>
        <w:ind w:left="1559" w:right="1134" w:hanging="425"/>
        <w:jc w:val="both"/>
        <w:rPr>
          <w:rFonts w:ascii="TimesNewRomanPSMT" w:hAnsi="TimesNewRomanPSMT" w:cs="TimesNewRomanPSMT"/>
          <w:lang w:val="en-US" w:eastAsia="de-CH"/>
        </w:rPr>
      </w:pPr>
      <w:r>
        <w:rPr>
          <w:rFonts w:ascii="TimesNewRomanPSMT" w:hAnsi="TimesNewRomanPSMT" w:cs="TimesNewRomanPSMT"/>
          <w:lang w:val="en-US" w:eastAsia="de-CH"/>
        </w:rPr>
        <w:t>The highest effective pressure allowed in the tank during filling (maximum filling pressure allowed);</w:t>
      </w:r>
    </w:p>
    <w:p w:rsidR="00AC737D" w:rsidRDefault="00AC737D" w:rsidP="005A23D3">
      <w:pPr>
        <w:numPr>
          <w:ilvl w:val="0"/>
          <w:numId w:val="9"/>
        </w:numPr>
        <w:suppressAutoHyphens w:val="0"/>
        <w:autoSpaceDE w:val="0"/>
        <w:autoSpaceDN w:val="0"/>
        <w:adjustRightInd w:val="0"/>
        <w:spacing w:before="60" w:line="240" w:lineRule="auto"/>
        <w:ind w:left="1559" w:right="1134" w:hanging="425"/>
        <w:jc w:val="both"/>
        <w:rPr>
          <w:rFonts w:ascii="TimesNewRomanPSMT" w:hAnsi="TimesNewRomanPSMT" w:cs="TimesNewRomanPSMT"/>
          <w:lang w:val="en-US" w:eastAsia="de-CH"/>
        </w:rPr>
      </w:pPr>
      <w:r>
        <w:rPr>
          <w:rFonts w:ascii="TimesNewRomanPSMT" w:hAnsi="TimesNewRomanPSMT" w:cs="TimesNewRomanPSMT"/>
          <w:lang w:val="en-US" w:eastAsia="de-CH"/>
        </w:rPr>
        <w:t>The highest effective pressure allowed in the tank during discharge (maximum discharge pressure allowed); and</w:t>
      </w:r>
    </w:p>
    <w:p w:rsidR="00AC737D" w:rsidRDefault="00AC737D" w:rsidP="005A23D3">
      <w:pPr>
        <w:numPr>
          <w:ilvl w:val="0"/>
          <w:numId w:val="9"/>
        </w:numPr>
        <w:suppressAutoHyphens w:val="0"/>
        <w:autoSpaceDE w:val="0"/>
        <w:autoSpaceDN w:val="0"/>
        <w:adjustRightInd w:val="0"/>
        <w:spacing w:before="60" w:line="240" w:lineRule="auto"/>
        <w:ind w:left="1559" w:right="1134" w:hanging="425"/>
        <w:jc w:val="both"/>
        <w:rPr>
          <w:rFonts w:ascii="TimesNewRomanPSMT" w:hAnsi="TimesNewRomanPSMT" w:cs="TimesNewRomanPSMT"/>
          <w:lang w:val="en-US" w:eastAsia="de-CH"/>
        </w:rPr>
      </w:pPr>
      <w:r>
        <w:rPr>
          <w:rFonts w:ascii="TimesNewRomanPSMT" w:hAnsi="TimesNewRomanPSMT" w:cs="TimesNewRomanPSMT"/>
          <w:lang w:val="en-US" w:eastAsia="de-CH"/>
        </w:rPr>
        <w:t xml:space="preserve">The effective gauge pressure </w:t>
      </w:r>
      <w:r>
        <w:rPr>
          <w:b/>
          <w:i/>
          <w:u w:val="single"/>
          <w:lang w:val="en-US"/>
        </w:rPr>
        <w:t>in the ullage space</w:t>
      </w:r>
      <w:r>
        <w:rPr>
          <w:rFonts w:ascii="TimesNewRomanPSMT" w:hAnsi="TimesNewRomanPSMT" w:cs="TimesNewRomanPSMT"/>
          <w:lang w:val="en-US" w:eastAsia="de-CH"/>
        </w:rPr>
        <w:t xml:space="preserve"> to which the tank is subjected by its contents (including such extraneous gases as it may contain) at the maximum working temperature.</w:t>
      </w:r>
    </w:p>
    <w:p w:rsidR="00AC737D" w:rsidRDefault="00E834A0" w:rsidP="005A23D3">
      <w:pPr>
        <w:autoSpaceDE w:val="0"/>
        <w:autoSpaceDN w:val="0"/>
        <w:adjustRightInd w:val="0"/>
        <w:spacing w:before="60"/>
        <w:ind w:left="1559" w:right="1134" w:hanging="425"/>
        <w:jc w:val="both"/>
        <w:rPr>
          <w:rFonts w:ascii="TimesNewRomanPSMT" w:hAnsi="TimesNewRomanPSMT" w:cs="TimesNewRomanPSMT"/>
          <w:lang w:val="en-US" w:eastAsia="de-CH"/>
        </w:rPr>
      </w:pPr>
      <w:r>
        <w:rPr>
          <w:rFonts w:ascii="TimesNewRomanPSMT" w:hAnsi="TimesNewRomanPSMT" w:cs="TimesNewRomanPSMT"/>
          <w:lang w:val="en-US" w:eastAsia="de-CH"/>
        </w:rPr>
        <w:tab/>
      </w:r>
      <w:r w:rsidR="00AC737D">
        <w:rPr>
          <w:rFonts w:ascii="TimesNewRomanPSMT" w:hAnsi="TimesNewRomanPSMT" w:cs="TimesNewRomanPSMT"/>
          <w:lang w:val="en-US" w:eastAsia="de-CH"/>
        </w:rPr>
        <w:t xml:space="preserve">Unless the special requirements prescribed in Chapter 4.3 provide otherwise, the numerical value of this </w:t>
      </w:r>
      <w:proofErr w:type="spellStart"/>
      <w:r w:rsidR="00AC737D">
        <w:rPr>
          <w:rFonts w:ascii="TimesNewRomanPSMT" w:hAnsi="TimesNewRomanPSMT" w:cs="TimesNewRomanPSMT"/>
          <w:b/>
          <w:i/>
          <w:strike/>
          <w:lang w:val="en-US" w:eastAsia="de-CH"/>
        </w:rPr>
        <w:t>working</w:t>
      </w:r>
      <w:r w:rsidR="00AC737D">
        <w:rPr>
          <w:rFonts w:ascii="TimesNewRomanPSMT" w:hAnsi="TimesNewRomanPSMT" w:cs="TimesNewRomanPSMT"/>
          <w:lang w:val="en-US" w:eastAsia="de-CH"/>
        </w:rPr>
        <w:t>pressure</w:t>
      </w:r>
      <w:proofErr w:type="spellEnd"/>
      <w:r w:rsidR="00AC737D">
        <w:rPr>
          <w:rFonts w:ascii="TimesNewRomanPSMT" w:hAnsi="TimesNewRomanPSMT" w:cs="TimesNewRomanPSMT"/>
          <w:lang w:val="en-US" w:eastAsia="de-CH"/>
        </w:rPr>
        <w:t xml:space="preserve"> </w:t>
      </w:r>
      <w:r w:rsidR="00AC737D">
        <w:rPr>
          <w:rFonts w:ascii="TimesNewRomanPSMT" w:hAnsi="TimesNewRomanPSMT" w:cs="TimesNewRomanPSMT"/>
          <w:b/>
          <w:i/>
          <w:strike/>
          <w:lang w:val="en-US" w:eastAsia="de-CH"/>
        </w:rPr>
        <w:t>(gauge pressure)</w:t>
      </w:r>
      <w:r w:rsidR="00AC737D">
        <w:rPr>
          <w:rFonts w:ascii="TimesNewRomanPSMT" w:hAnsi="TimesNewRomanPSMT" w:cs="TimesNewRomanPSMT"/>
          <w:lang w:val="en-US" w:eastAsia="de-CH"/>
        </w:rPr>
        <w:t xml:space="preserve"> shall not be lower than the </w:t>
      </w:r>
      <w:proofErr w:type="spellStart"/>
      <w:r w:rsidR="00AC737D">
        <w:rPr>
          <w:rFonts w:ascii="TimesNewRomanPSMT" w:hAnsi="TimesNewRomanPSMT" w:cs="TimesNewRomanPSMT"/>
          <w:lang w:val="en-US" w:eastAsia="de-CH"/>
        </w:rPr>
        <w:t>vapour</w:t>
      </w:r>
      <w:proofErr w:type="spellEnd"/>
      <w:r w:rsidR="00AC737D">
        <w:rPr>
          <w:rFonts w:ascii="TimesNewRomanPSMT" w:hAnsi="TimesNewRomanPSMT" w:cs="TimesNewRomanPSMT"/>
          <w:lang w:val="en-US" w:eastAsia="de-CH"/>
        </w:rPr>
        <w:t xml:space="preserve"> pressure (absolute pressure) of the filling substance at 50 °C.</w:t>
      </w:r>
    </w:p>
    <w:p w:rsidR="00AC737D" w:rsidRDefault="00AC737D" w:rsidP="005A23D3">
      <w:pPr>
        <w:autoSpaceDE w:val="0"/>
        <w:autoSpaceDN w:val="0"/>
        <w:adjustRightInd w:val="0"/>
        <w:spacing w:before="120"/>
        <w:ind w:left="1134" w:right="1134"/>
        <w:jc w:val="both"/>
        <w:rPr>
          <w:rFonts w:ascii="TimesNewRomanPSMT" w:hAnsi="TimesNewRomanPSMT" w:cs="TimesNewRomanPSMT"/>
          <w:lang w:val="en-US" w:eastAsia="de-CH"/>
        </w:rPr>
      </w:pPr>
      <w:r>
        <w:rPr>
          <w:rFonts w:ascii="TimesNewRomanPSMT" w:hAnsi="TimesNewRomanPSMT" w:cs="TimesNewRomanPSMT"/>
          <w:lang w:val="en-US" w:eastAsia="de-CH"/>
        </w:rPr>
        <w:t xml:space="preserve">For tanks equipped with </w:t>
      </w:r>
      <w:r w:rsidRPr="00E834A0">
        <w:rPr>
          <w:b/>
          <w:i/>
          <w:u w:val="single"/>
          <w:lang w:val="en-US"/>
        </w:rPr>
        <w:t>breather devices</w:t>
      </w:r>
      <w:r>
        <w:rPr>
          <w:b/>
          <w:i/>
          <w:u w:val="single"/>
          <w:lang w:val="en-US"/>
        </w:rPr>
        <w:t xml:space="preserve"> or</w:t>
      </w:r>
      <w:r>
        <w:rPr>
          <w:rFonts w:ascii="TimesNewRomanPSMT" w:hAnsi="TimesNewRomanPSMT" w:cs="TimesNewRomanPSMT"/>
          <w:lang w:val="en-US" w:eastAsia="de-CH"/>
        </w:rPr>
        <w:t xml:space="preserve"> safety valves (with or without bursting disc) other than tanks for the carriage of compressed, liquefied or dissolved gases of Class 2, the maximum working pressure (gauge pressure) shall however be equal to the prescribed opening pressure of such </w:t>
      </w:r>
      <w:r w:rsidRPr="00363938">
        <w:rPr>
          <w:b/>
          <w:i/>
          <w:u w:val="single"/>
          <w:lang w:val="en-US"/>
        </w:rPr>
        <w:t>breather devices</w:t>
      </w:r>
      <w:r>
        <w:rPr>
          <w:b/>
          <w:i/>
          <w:u w:val="single"/>
          <w:lang w:val="en-US"/>
        </w:rPr>
        <w:t xml:space="preserve"> or</w:t>
      </w:r>
      <w:r>
        <w:rPr>
          <w:rFonts w:ascii="TimesNewRomanPSMT" w:hAnsi="TimesNewRomanPSMT" w:cs="TimesNewRomanPSMT"/>
          <w:lang w:val="en-US" w:eastAsia="de-CH"/>
        </w:rPr>
        <w:t xml:space="preserve"> safety valves.</w:t>
      </w:r>
    </w:p>
    <w:p w:rsidR="00AC737D" w:rsidRDefault="00AC737D" w:rsidP="005A23D3">
      <w:pPr>
        <w:autoSpaceDE w:val="0"/>
        <w:autoSpaceDN w:val="0"/>
        <w:adjustRightInd w:val="0"/>
        <w:ind w:left="1134" w:right="1134"/>
        <w:jc w:val="both"/>
        <w:rPr>
          <w:rFonts w:ascii="TimesNewRomanPSMT" w:hAnsi="TimesNewRomanPSMT" w:cs="TimesNewRomanPSMT"/>
          <w:lang w:val="en-US" w:eastAsia="de-CH"/>
        </w:rPr>
      </w:pPr>
      <w:r>
        <w:rPr>
          <w:rFonts w:ascii="TimesNewRomanPSMT" w:hAnsi="TimesNewRomanPSMT" w:cs="TimesNewRomanPSMT"/>
          <w:lang w:val="en-US" w:eastAsia="de-CH"/>
        </w:rPr>
        <w:t xml:space="preserve">(See also </w:t>
      </w:r>
      <w:r>
        <w:rPr>
          <w:i/>
          <w:iCs/>
          <w:lang w:val="en-US" w:eastAsia="de-CH"/>
        </w:rPr>
        <w:t>"Calculation pressure"</w:t>
      </w:r>
      <w:r>
        <w:rPr>
          <w:rFonts w:ascii="TimesNewRomanPSMT" w:hAnsi="TimesNewRomanPSMT" w:cs="TimesNewRomanPSMT"/>
          <w:lang w:val="en-US" w:eastAsia="de-CH"/>
        </w:rPr>
        <w:t xml:space="preserve">, </w:t>
      </w:r>
      <w:r w:rsidR="00E834A0">
        <w:rPr>
          <w:i/>
          <w:iCs/>
          <w:lang w:val="en-US" w:eastAsia="de-CH"/>
        </w:rPr>
        <w:t>"Disc</w:t>
      </w:r>
      <w:r>
        <w:rPr>
          <w:i/>
          <w:iCs/>
          <w:lang w:val="en-US" w:eastAsia="de-CH"/>
        </w:rPr>
        <w:t xml:space="preserve">harge pressure", "Filling pressure" </w:t>
      </w:r>
      <w:r>
        <w:rPr>
          <w:rFonts w:ascii="TimesNewRomanPSMT" w:hAnsi="TimesNewRomanPSMT" w:cs="TimesNewRomanPSMT"/>
          <w:lang w:val="en-US" w:eastAsia="de-CH"/>
        </w:rPr>
        <w:t xml:space="preserve">and </w:t>
      </w:r>
      <w:r>
        <w:rPr>
          <w:i/>
          <w:iCs/>
          <w:lang w:val="en-US" w:eastAsia="de-CH"/>
        </w:rPr>
        <w:t>"Test pressure"</w:t>
      </w:r>
      <w:r>
        <w:rPr>
          <w:rFonts w:ascii="TimesNewRomanPSMT" w:hAnsi="TimesNewRomanPSMT" w:cs="TimesNewRomanPSMT"/>
          <w:lang w:val="en-US" w:eastAsia="de-CH"/>
        </w:rPr>
        <w:t>);</w:t>
      </w:r>
    </w:p>
    <w:p w:rsidR="00AC737D" w:rsidRPr="00E834A0" w:rsidRDefault="00AC737D" w:rsidP="005A23D3">
      <w:pPr>
        <w:autoSpaceDE w:val="0"/>
        <w:autoSpaceDN w:val="0"/>
        <w:ind w:left="1134" w:right="1134"/>
        <w:jc w:val="both"/>
        <w:rPr>
          <w:lang w:val="en-US"/>
        </w:rPr>
      </w:pPr>
    </w:p>
    <w:p w:rsidR="00AC737D" w:rsidRDefault="00AC737D" w:rsidP="005A23D3">
      <w:pPr>
        <w:autoSpaceDE w:val="0"/>
        <w:autoSpaceDN w:val="0"/>
        <w:ind w:left="1134" w:right="1134"/>
        <w:jc w:val="both"/>
      </w:pPr>
      <w:r>
        <w:t>(</w:t>
      </w:r>
      <w:proofErr w:type="gramStart"/>
      <w:r w:rsidR="00CC7AB3">
        <w:t>the</w:t>
      </w:r>
      <w:proofErr w:type="gramEnd"/>
      <w:r w:rsidR="00CC7AB3">
        <w:t xml:space="preserve"> 2 notes </w:t>
      </w:r>
      <w:proofErr w:type="spellStart"/>
      <w:r w:rsidR="00CC7AB3">
        <w:t>remain</w:t>
      </w:r>
      <w:proofErr w:type="spellEnd"/>
      <w:r w:rsidR="00CC7AB3">
        <w:t xml:space="preserve"> </w:t>
      </w:r>
      <w:proofErr w:type="spellStart"/>
      <w:r w:rsidR="00CC7AB3">
        <w:t>unchanged</w:t>
      </w:r>
      <w:proofErr w:type="spellEnd"/>
      <w:r>
        <w:t>)</w:t>
      </w:r>
    </w:p>
    <w:p w:rsidR="002335E7" w:rsidRDefault="002335E7" w:rsidP="005A23D3">
      <w:pPr>
        <w:autoSpaceDE w:val="0"/>
        <w:autoSpaceDN w:val="0"/>
        <w:ind w:left="1134" w:right="1134"/>
        <w:jc w:val="both"/>
      </w:pPr>
    </w:p>
    <w:p w:rsidR="002335E7" w:rsidRDefault="002335E7" w:rsidP="005A23D3">
      <w:pPr>
        <w:numPr>
          <w:ilvl w:val="0"/>
          <w:numId w:val="14"/>
        </w:numPr>
        <w:suppressAutoHyphens w:val="0"/>
        <w:autoSpaceDE w:val="0"/>
        <w:autoSpaceDN w:val="0"/>
        <w:spacing w:after="120" w:line="240" w:lineRule="auto"/>
        <w:ind w:left="1560" w:right="1134" w:hanging="284"/>
        <w:jc w:val="both"/>
        <w:rPr>
          <w:lang w:val="de-CH"/>
        </w:rPr>
      </w:pPr>
      <w:r>
        <w:t>allemand:</w:t>
      </w:r>
    </w:p>
    <w:p w:rsidR="002335E7" w:rsidRDefault="002335E7" w:rsidP="005A23D3">
      <w:pPr>
        <w:autoSpaceDE w:val="0"/>
        <w:autoSpaceDN w:val="0"/>
        <w:ind w:left="1134" w:right="1134"/>
        <w:jc w:val="both"/>
        <w:rPr>
          <w:lang w:val="de-CH"/>
        </w:rPr>
      </w:pPr>
      <w:r>
        <w:rPr>
          <w:i/>
          <w:lang w:val="de-CH"/>
        </w:rPr>
        <w:t>Höchster Betriebsdruck (Überdruck):</w:t>
      </w:r>
      <w:r>
        <w:rPr>
          <w:lang w:val="de-CH"/>
        </w:rPr>
        <w:t xml:space="preserve"> Grösster der drei folgenden </w:t>
      </w:r>
      <w:r>
        <w:rPr>
          <w:b/>
          <w:i/>
          <w:u w:val="single"/>
          <w:lang w:val="de-CH"/>
        </w:rPr>
        <w:t>Drücke, der im Scheitel des Tanks im Betriebszustand erreicht werden kann:</w:t>
      </w:r>
      <w:r>
        <w:rPr>
          <w:lang w:val="de-CH"/>
        </w:rPr>
        <w:t xml:space="preserve"> </w:t>
      </w:r>
    </w:p>
    <w:p w:rsidR="002335E7" w:rsidRDefault="002335E7" w:rsidP="005A23D3">
      <w:pPr>
        <w:autoSpaceDE w:val="0"/>
        <w:autoSpaceDN w:val="0"/>
        <w:ind w:left="1134" w:right="1134"/>
        <w:jc w:val="both"/>
        <w:rPr>
          <w:lang w:val="de-CH"/>
        </w:rPr>
      </w:pPr>
      <w:r w:rsidRPr="007B61EE">
        <w:rPr>
          <w:sz w:val="18"/>
          <w:szCs w:val="18"/>
          <w:lang w:val="de-CH"/>
        </w:rPr>
        <w:lastRenderedPageBreak/>
        <w:t>Ein Druck, der nicht geringer sein darf als der höchste der folgenden Drücke, die im Scheitel des Tankkörpers im Betriebszustand gemessen werden</w:t>
      </w:r>
    </w:p>
    <w:p w:rsidR="002335E7" w:rsidRDefault="002335E7" w:rsidP="005A23D3">
      <w:pPr>
        <w:autoSpaceDE w:val="0"/>
        <w:autoSpaceDN w:val="0"/>
        <w:spacing w:before="60" w:line="240" w:lineRule="auto"/>
        <w:ind w:left="1418" w:right="1134" w:hanging="284"/>
        <w:jc w:val="both"/>
        <w:rPr>
          <w:lang w:val="de-CH"/>
        </w:rPr>
      </w:pPr>
      <w:r>
        <w:rPr>
          <w:lang w:val="de-CH"/>
        </w:rPr>
        <w:t>a)</w:t>
      </w:r>
      <w:r>
        <w:rPr>
          <w:lang w:val="de-CH"/>
        </w:rPr>
        <w:tab/>
        <w:t xml:space="preserve">höchster effektiver Druck, der im Tank während des Füllens zugelassen ist (höchstzulässiger Füll-druck); </w:t>
      </w:r>
    </w:p>
    <w:p w:rsidR="002335E7" w:rsidRDefault="002335E7" w:rsidP="005A23D3">
      <w:pPr>
        <w:autoSpaceDE w:val="0"/>
        <w:autoSpaceDN w:val="0"/>
        <w:spacing w:before="60" w:line="240" w:lineRule="auto"/>
        <w:ind w:left="1418" w:right="1134" w:hanging="284"/>
        <w:jc w:val="both"/>
        <w:rPr>
          <w:lang w:val="de-CH"/>
        </w:rPr>
      </w:pPr>
      <w:r>
        <w:rPr>
          <w:lang w:val="de-CH"/>
        </w:rPr>
        <w:t>b)</w:t>
      </w:r>
      <w:r>
        <w:rPr>
          <w:lang w:val="de-CH"/>
        </w:rPr>
        <w:tab/>
        <w:t xml:space="preserve">höchster effektiver Druck, der im Tank während des Entleerens zugelassen ist (höchstzulässiger </w:t>
      </w:r>
      <w:proofErr w:type="spellStart"/>
      <w:r>
        <w:rPr>
          <w:lang w:val="de-CH"/>
        </w:rPr>
        <w:t>Ent</w:t>
      </w:r>
      <w:proofErr w:type="spellEnd"/>
      <w:r>
        <w:rPr>
          <w:lang w:val="de-CH"/>
        </w:rPr>
        <w:t xml:space="preserve">-leerungsdruck); </w:t>
      </w:r>
    </w:p>
    <w:p w:rsidR="002335E7" w:rsidRDefault="002335E7" w:rsidP="005A23D3">
      <w:pPr>
        <w:autoSpaceDE w:val="0"/>
        <w:autoSpaceDN w:val="0"/>
        <w:spacing w:before="60" w:line="240" w:lineRule="auto"/>
        <w:ind w:left="1418" w:right="1134" w:hanging="284"/>
        <w:jc w:val="both"/>
        <w:rPr>
          <w:lang w:val="de-CH"/>
        </w:rPr>
      </w:pPr>
      <w:r>
        <w:rPr>
          <w:lang w:val="de-CH"/>
        </w:rPr>
        <w:t>c)</w:t>
      </w:r>
      <w:r>
        <w:rPr>
          <w:lang w:val="de-CH"/>
        </w:rPr>
        <w:tab/>
      </w:r>
      <w:r>
        <w:rPr>
          <w:b/>
          <w:i/>
          <w:u w:val="single"/>
          <w:lang w:val="de-CH"/>
        </w:rPr>
        <w:t>im füllungsfreien Raum</w:t>
      </w:r>
      <w:r>
        <w:rPr>
          <w:sz w:val="18"/>
          <w:szCs w:val="18"/>
          <w:lang w:val="de-CH"/>
        </w:rPr>
        <w:t xml:space="preserve"> </w:t>
      </w:r>
      <w:r>
        <w:rPr>
          <w:lang w:val="de-CH"/>
        </w:rPr>
        <w:t xml:space="preserve">durch das </w:t>
      </w:r>
      <w:proofErr w:type="spellStart"/>
      <w:r>
        <w:rPr>
          <w:lang w:val="de-CH"/>
        </w:rPr>
        <w:t>Füllgut</w:t>
      </w:r>
      <w:proofErr w:type="spellEnd"/>
      <w:r>
        <w:rPr>
          <w:lang w:val="de-CH"/>
        </w:rPr>
        <w:t xml:space="preserve"> (einschliesslich eventuell vorhandener Fremdgase) bewirkter effektiver Überdruck im Tank bei der höchsten Betriebstemperatur. </w:t>
      </w:r>
    </w:p>
    <w:p w:rsidR="002335E7" w:rsidRDefault="002335E7" w:rsidP="005A23D3">
      <w:pPr>
        <w:autoSpaceDE w:val="0"/>
        <w:autoSpaceDN w:val="0"/>
        <w:spacing w:before="60" w:line="240" w:lineRule="auto"/>
        <w:ind w:left="1418" w:right="1134"/>
        <w:jc w:val="both"/>
        <w:rPr>
          <w:lang w:val="de-CH"/>
        </w:rPr>
      </w:pPr>
      <w:r>
        <w:rPr>
          <w:lang w:val="de-CH"/>
        </w:rPr>
        <w:t xml:space="preserve">Wenn im Kapitel 4.3 nichts anderes vorgeschrieben ist, darf der Zahlenwert dieses </w:t>
      </w:r>
      <w:r>
        <w:rPr>
          <w:b/>
          <w:i/>
          <w:u w:val="single"/>
          <w:lang w:val="de-CH"/>
        </w:rPr>
        <w:t>Druckes</w:t>
      </w:r>
      <w:r>
        <w:rPr>
          <w:lang w:val="de-CH"/>
        </w:rPr>
        <w:t xml:space="preserve"> </w:t>
      </w:r>
      <w:r>
        <w:rPr>
          <w:b/>
          <w:strike/>
          <w:lang w:val="de-CH"/>
        </w:rPr>
        <w:t>Betriebsdrucks (Überdruck)</w:t>
      </w:r>
      <w:r>
        <w:rPr>
          <w:lang w:val="de-CH"/>
        </w:rPr>
        <w:t xml:space="preserve"> nicht geringer sein als der Dampfdruck (absolut) des Füllgutes bei 50 °C. </w:t>
      </w:r>
    </w:p>
    <w:p w:rsidR="002335E7" w:rsidRDefault="002335E7" w:rsidP="005A23D3">
      <w:pPr>
        <w:autoSpaceDE w:val="0"/>
        <w:autoSpaceDN w:val="0"/>
        <w:spacing w:after="120"/>
        <w:ind w:left="1134" w:right="1134"/>
        <w:jc w:val="both"/>
        <w:rPr>
          <w:lang w:val="de-CH"/>
        </w:rPr>
      </w:pPr>
      <w:r>
        <w:rPr>
          <w:lang w:val="de-CH"/>
        </w:rPr>
        <w:t xml:space="preserve">Bei Tanks mit </w:t>
      </w:r>
      <w:r>
        <w:rPr>
          <w:b/>
          <w:i/>
          <w:u w:val="single"/>
          <w:lang w:val="de-CH"/>
        </w:rPr>
        <w:t>Über - und Unterdruckbelüftungseinrichtungen oder</w:t>
      </w:r>
      <w:r>
        <w:rPr>
          <w:lang w:val="de-CH"/>
        </w:rPr>
        <w:t xml:space="preserve"> Sicherheitsventilen (mit oder ohne </w:t>
      </w:r>
      <w:proofErr w:type="spellStart"/>
      <w:r>
        <w:rPr>
          <w:lang w:val="de-CH"/>
        </w:rPr>
        <w:t>Berstscheibe</w:t>
      </w:r>
      <w:proofErr w:type="spellEnd"/>
      <w:r>
        <w:rPr>
          <w:lang w:val="de-CH"/>
        </w:rPr>
        <w:t xml:space="preserve">) mit Ausnahme von Tanks zur Beförderung verdichteter, verflüssigter oder gelöster Gase der Klasse 2 ist der höchste Betriebsdruck (Überdruck) jedoch gleich dem vorgeschriebenen Ansprechdruck dieser </w:t>
      </w:r>
      <w:r>
        <w:rPr>
          <w:b/>
          <w:i/>
          <w:u w:val="single"/>
          <w:lang w:val="de-CH"/>
        </w:rPr>
        <w:t xml:space="preserve">Über - und Unterdruckbelüftungseinrichtungen oder </w:t>
      </w:r>
      <w:r>
        <w:rPr>
          <w:lang w:val="de-CH"/>
        </w:rPr>
        <w:t xml:space="preserve">Sicherheitsventile (siehe auch Berechnungsdruck, Entleerungsdruck, Fülldruck und Prüfdruck). </w:t>
      </w:r>
    </w:p>
    <w:p w:rsidR="00AC737D" w:rsidRPr="002335E7" w:rsidRDefault="002335E7" w:rsidP="005A23D3">
      <w:pPr>
        <w:autoSpaceDE w:val="0"/>
        <w:autoSpaceDN w:val="0"/>
        <w:spacing w:after="120"/>
        <w:ind w:left="1134" w:right="1134"/>
        <w:jc w:val="both"/>
        <w:rPr>
          <w:lang w:val="de-CH"/>
        </w:rPr>
      </w:pPr>
      <w:r>
        <w:rPr>
          <w:lang w:val="de-CH"/>
        </w:rPr>
        <w:t>(Die Bemerkungen</w:t>
      </w:r>
      <w:r w:rsidR="00B97D1F">
        <w:rPr>
          <w:lang w:val="de-CH"/>
        </w:rPr>
        <w:t xml:space="preserve"> 1. und 2. bleiben unverändert)</w:t>
      </w:r>
    </w:p>
    <w:p w:rsidR="00AC737D" w:rsidRPr="00B97D1F" w:rsidRDefault="00B97D1F" w:rsidP="005A23D3">
      <w:pPr>
        <w:pStyle w:val="H1G"/>
        <w:ind w:left="2268"/>
        <w:jc w:val="both"/>
        <w:rPr>
          <w:sz w:val="28"/>
        </w:rPr>
      </w:pPr>
      <w:r w:rsidRPr="00B97D1F">
        <w:rPr>
          <w:sz w:val="28"/>
        </w:rPr>
        <w:t>Justification</w:t>
      </w:r>
    </w:p>
    <w:p w:rsidR="00AC737D" w:rsidRDefault="00AC737D">
      <w:pPr>
        <w:suppressAutoHyphens w:val="0"/>
        <w:spacing w:beforeLines="60" w:before="144" w:afterLines="80" w:after="192" w:line="240" w:lineRule="auto"/>
        <w:ind w:left="1134" w:right="1134"/>
        <w:jc w:val="both"/>
        <w:rPr>
          <w:rFonts w:eastAsia="Calibri"/>
          <w:lang w:val="fr-BE"/>
        </w:rPr>
      </w:pPr>
      <w:r>
        <w:rPr>
          <w:rFonts w:eastAsia="Calibri"/>
          <w:lang w:val="fr-BE"/>
        </w:rPr>
        <w:t>11.</w:t>
      </w:r>
      <w:r>
        <w:rPr>
          <w:rFonts w:eastAsia="Calibri"/>
          <w:lang w:val="fr-BE"/>
        </w:rPr>
        <w:tab/>
        <w:t>Le nouveau libellé de la définition de la PMS permet d'éviter toute interprétation et divergence d’opinion.</w:t>
      </w:r>
    </w:p>
    <w:p w:rsidR="00AC737D" w:rsidRDefault="00AC737D">
      <w:pPr>
        <w:spacing w:before="240"/>
        <w:ind w:left="1134" w:right="1134"/>
        <w:jc w:val="center"/>
        <w:rPr>
          <w:u w:val="single"/>
        </w:rPr>
      </w:pPr>
      <w:r>
        <w:rPr>
          <w:u w:val="single"/>
        </w:rPr>
        <w:tab/>
      </w:r>
      <w:r>
        <w:rPr>
          <w:u w:val="single"/>
        </w:rPr>
        <w:tab/>
      </w:r>
      <w:r>
        <w:rPr>
          <w:u w:val="single"/>
        </w:rPr>
        <w:tab/>
      </w:r>
    </w:p>
    <w:sectPr w:rsidR="00AC737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8E" w:rsidRDefault="0085688E"/>
  </w:endnote>
  <w:endnote w:type="continuationSeparator" w:id="0">
    <w:p w:rsidR="0085688E" w:rsidRDefault="0085688E"/>
  </w:endnote>
  <w:endnote w:type="continuationNotice" w:id="1">
    <w:p w:rsidR="0085688E" w:rsidRDefault="0085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AC737D">
    <w:pPr>
      <w:pStyle w:val="Footer"/>
    </w:pPr>
    <w:r>
      <w:rPr>
        <w:rStyle w:val="PageNumber"/>
      </w:rPr>
      <w:fldChar w:fldCharType="begin"/>
    </w:r>
    <w:r>
      <w:rPr>
        <w:rStyle w:val="PageNumber"/>
      </w:rPr>
      <w:instrText xml:space="preserve"> PAGE </w:instrText>
    </w:r>
    <w:r>
      <w:rPr>
        <w:rStyle w:val="PageNumber"/>
      </w:rPr>
      <w:fldChar w:fldCharType="separate"/>
    </w:r>
    <w:r w:rsidR="005A23D3">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AC737D">
    <w:pPr>
      <w:pStyle w:val="Footer"/>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5A23D3">
      <w:rPr>
        <w:b/>
        <w:noProof/>
        <w:sz w:val="18"/>
        <w:szCs w:val="18"/>
      </w:rPr>
      <w:t>3</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4E5003">
    <w:pPr>
      <w:pStyle w:val="Footer"/>
    </w:pPr>
    <w:r>
      <w:rPr>
        <w:noProof/>
        <w:lang w:val="en-GB" w:eastAsia="en-GB"/>
      </w:rPr>
      <w:drawing>
        <wp:anchor distT="0" distB="0" distL="114300" distR="114300" simplePos="0" relativeHeight="251658752" behindDoc="0" locked="1" layoutInCell="1" allowOverlap="1">
          <wp:simplePos x="0" y="0"/>
          <wp:positionH relativeFrom="column">
            <wp:posOffset>5148580</wp:posOffset>
          </wp:positionH>
          <wp:positionV relativeFrom="paragraph">
            <wp:posOffset>-93980</wp:posOffset>
          </wp:positionV>
          <wp:extent cx="930275" cy="230505"/>
          <wp:effectExtent l="0" t="0" r="3175" b="0"/>
          <wp:wrapNone/>
          <wp:docPr id="7"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8E" w:rsidRDefault="0085688E">
      <w:pPr>
        <w:tabs>
          <w:tab w:val="right" w:pos="2155"/>
        </w:tabs>
        <w:spacing w:after="80"/>
        <w:ind w:left="680"/>
        <w:rPr>
          <w:u w:val="single"/>
        </w:rPr>
      </w:pPr>
      <w:r>
        <w:rPr>
          <w:u w:val="single"/>
        </w:rPr>
        <w:tab/>
      </w:r>
    </w:p>
  </w:footnote>
  <w:footnote w:type="continuationSeparator" w:id="0">
    <w:p w:rsidR="0085688E" w:rsidRDefault="0085688E">
      <w:pPr>
        <w:tabs>
          <w:tab w:val="left" w:pos="2155"/>
        </w:tabs>
        <w:spacing w:after="80"/>
        <w:ind w:left="680"/>
        <w:rPr>
          <w:u w:val="single"/>
        </w:rPr>
      </w:pPr>
      <w:r>
        <w:rPr>
          <w:u w:val="single"/>
        </w:rPr>
        <w:tab/>
      </w:r>
    </w:p>
  </w:footnote>
  <w:footnote w:type="continuationNotice" w:id="1">
    <w:p w:rsidR="0085688E" w:rsidRDefault="00856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4E5003">
    <w:pPr>
      <w:pBdr>
        <w:bottom w:val="single" w:sz="4" w:space="1" w:color="auto"/>
      </w:pBdr>
      <w:rPr>
        <w:b/>
        <w:sz w:val="24"/>
        <w:szCs w:val="24"/>
      </w:rPr>
    </w:pPr>
    <w:r>
      <w:rPr>
        <w:noProof/>
        <w:lang w:val="en-GB" w:eastAsia="en-GB"/>
      </w:rPr>
      <mc:AlternateContent>
        <mc:Choice Requires="wps">
          <w:drawing>
            <wp:anchor distT="0" distB="0" distL="114300" distR="114300" simplePos="0" relativeHeight="251657728" behindDoc="0" locked="0" layoutInCell="1" allowOverlap="1" wp14:anchorId="6223B00C" wp14:editId="0E25B72C">
              <wp:simplePos x="0" y="0"/>
              <wp:positionH relativeFrom="page">
                <wp:posOffset>9791700</wp:posOffset>
              </wp:positionH>
              <wp:positionV relativeFrom="margin">
                <wp:posOffset>0</wp:posOffset>
              </wp:positionV>
              <wp:extent cx="215900" cy="6120130"/>
              <wp:effectExtent l="0" t="0"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7D" w:rsidRDefault="00AC737D">
                          <w:pPr>
                            <w:pStyle w:val="Header"/>
                          </w:pPr>
                          <w:r>
                            <w:t>INF.6</w:t>
                          </w:r>
                        </w:p>
                        <w:p w:rsidR="00AC737D" w:rsidRDefault="00AC737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nTdw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" stroked="f">
              <v:textbox style="layout-flow:vertical" inset="0,0,0,0">
                <w:txbxContent>
                  <w:p w:rsidR="00AC737D" w:rsidRDefault="00AC737D">
                    <w:pPr>
                      <w:pStyle w:val="Header"/>
                    </w:pPr>
                    <w:r>
                      <w:t>INF.6</w:t>
                    </w:r>
                  </w:p>
                  <w:p w:rsidR="00AC737D" w:rsidRDefault="00AC737D"/>
                </w:txbxContent>
              </v:textbox>
              <w10:wrap anchorx="page" anchory="margin"/>
            </v:shape>
          </w:pict>
        </mc:Fallback>
      </mc:AlternateContent>
    </w:r>
    <w:r w:rsidR="00AC737D">
      <w:rPr>
        <w:b/>
        <w:sz w:val="24"/>
        <w:szCs w:val="24"/>
      </w:rPr>
      <w:t>INF.</w:t>
    </w:r>
    <w:r w:rsidR="00A42B3C">
      <w:rPr>
        <w:b/>
        <w:sz w:val="24"/>
        <w:szCs w:val="24"/>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4E5003">
    <w:pPr>
      <w:pBdr>
        <w:bottom w:val="single" w:sz="4" w:space="1" w:color="auto"/>
      </w:pBdr>
      <w:jc w:val="right"/>
      <w:rPr>
        <w:b/>
        <w:sz w:val="24"/>
        <w:szCs w:val="24"/>
      </w:rPr>
    </w:pPr>
    <w:r>
      <w:rPr>
        <w:b/>
        <w:noProof/>
        <w:sz w:val="24"/>
        <w:szCs w:val="24"/>
        <w:lang w:val="en-GB" w:eastAsia="en-GB"/>
      </w:rPr>
      <mc:AlternateContent>
        <mc:Choice Requires="wps">
          <w:drawing>
            <wp:anchor distT="0" distB="0" distL="114300" distR="114300" simplePos="0" relativeHeight="251656704" behindDoc="0" locked="0" layoutInCell="1" allowOverlap="1" wp14:anchorId="1C755B20" wp14:editId="5D3595D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7D" w:rsidRDefault="00AC737D">
                          <w:pPr>
                            <w:pStyle w:val="Header"/>
                            <w:jc w:val="right"/>
                          </w:pPr>
                          <w:r>
                            <w:t>INF.6</w:t>
                          </w:r>
                        </w:p>
                        <w:p w:rsidR="00AC737D" w:rsidRDefault="00AC737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fQIAAAYF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7k&#10;NwALFtlp9gy+sBpkA4nhYwJBWDHqYDAr7L4eiOUYyXcKvBWmeAzsGOzGgCjaaJhvuDyEGz9M+8FY&#10;sW8AeXCv0nfgv1pEa7ywOLkWhi3WcPowhGm+fI5ZL5+v1Q8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GEkPun0C&#10;AAAGBQAADgAAAAAAAAAAAAAAAAAuAgAAZHJzL2Uyb0RvYy54bWxQSwECLQAUAAYACAAAACEAWb6k&#10;Y+EAAAAKAQAADwAAAAAAAAAAAAAAAADXBAAAZHJzL2Rvd25yZXYueG1sUEsFBgAAAAAEAAQA8wAA&#10;AOUFAAAAAA==&#10;" stroked="f">
              <v:textbox style="layout-flow:vertical" inset="0,0,0,0">
                <w:txbxContent>
                  <w:p w:rsidR="00AC737D" w:rsidRDefault="00AC737D">
                    <w:pPr>
                      <w:pStyle w:val="Header"/>
                      <w:jc w:val="right"/>
                    </w:pPr>
                    <w:r>
                      <w:t>INF.6</w:t>
                    </w:r>
                  </w:p>
                  <w:p w:rsidR="00AC737D" w:rsidRDefault="00AC737D"/>
                </w:txbxContent>
              </v:textbox>
              <w10:wrap anchorx="page" anchory="margin"/>
            </v:shape>
          </w:pict>
        </mc:Fallback>
      </mc:AlternateContent>
    </w:r>
    <w:r w:rsidR="00AC737D">
      <w:rPr>
        <w:b/>
        <w:sz w:val="24"/>
        <w:szCs w:val="24"/>
      </w:rPr>
      <w:t>INF.</w:t>
    </w:r>
    <w:r w:rsidR="00A42B3C">
      <w:rPr>
        <w:b/>
        <w:sz w:val="24"/>
        <w:szCs w:val="24"/>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D" w:rsidRDefault="00AC737D">
    <w:pPr>
      <w:pStyle w:val="Header"/>
      <w:jc w:val="right"/>
      <w:rPr>
        <w:sz w:val="24"/>
        <w:szCs w:val="24"/>
      </w:rPr>
    </w:pPr>
    <w:r>
      <w:rPr>
        <w:sz w:val="24"/>
        <w:szCs w:val="24"/>
      </w:rPr>
      <w:t>INF.</w:t>
    </w:r>
    <w:r w:rsidR="00A42B3C">
      <w:rPr>
        <w:sz w:val="24"/>
        <w:szCs w:val="24"/>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1494"/>
        </w:tabs>
        <w:ind w:left="1494" w:hanging="360"/>
      </w:pPr>
      <w:rPr>
        <w:rFonts w:ascii="Wingdings 2" w:hAnsi="Wingdings 2" w:cs="Symbol"/>
      </w:rPr>
    </w:lvl>
    <w:lvl w:ilvl="1">
      <w:start w:val="1"/>
      <w:numFmt w:val="bullet"/>
      <w:lvlText w:val="◦"/>
      <w:lvlJc w:val="left"/>
      <w:pPr>
        <w:tabs>
          <w:tab w:val="num" w:pos="1854"/>
        </w:tabs>
        <w:ind w:left="1854" w:hanging="360"/>
      </w:pPr>
      <w:rPr>
        <w:rFonts w:ascii="OpenSymbol" w:hAnsi="OpenSymbol" w:cs="Arial"/>
      </w:rPr>
    </w:lvl>
    <w:lvl w:ilvl="2">
      <w:start w:val="1"/>
      <w:numFmt w:val="bullet"/>
      <w:lvlText w:val="▪"/>
      <w:lvlJc w:val="left"/>
      <w:pPr>
        <w:tabs>
          <w:tab w:val="num" w:pos="2214"/>
        </w:tabs>
        <w:ind w:left="2214" w:hanging="360"/>
      </w:pPr>
      <w:rPr>
        <w:rFonts w:ascii="OpenSymbol" w:hAnsi="OpenSymbol" w:cs="Arial"/>
      </w:rPr>
    </w:lvl>
    <w:lvl w:ilvl="3">
      <w:start w:val="1"/>
      <w:numFmt w:val="bullet"/>
      <w:lvlText w:val=""/>
      <w:lvlJc w:val="left"/>
      <w:pPr>
        <w:tabs>
          <w:tab w:val="num" w:pos="2574"/>
        </w:tabs>
        <w:ind w:left="2574" w:hanging="360"/>
      </w:pPr>
      <w:rPr>
        <w:rFonts w:ascii="Wingdings 2" w:hAnsi="Wingdings 2" w:cs="Symbol"/>
      </w:rPr>
    </w:lvl>
    <w:lvl w:ilvl="4">
      <w:start w:val="1"/>
      <w:numFmt w:val="bullet"/>
      <w:lvlText w:val="◦"/>
      <w:lvlJc w:val="left"/>
      <w:pPr>
        <w:tabs>
          <w:tab w:val="num" w:pos="2934"/>
        </w:tabs>
        <w:ind w:left="2934" w:hanging="360"/>
      </w:pPr>
      <w:rPr>
        <w:rFonts w:ascii="OpenSymbol" w:hAnsi="OpenSymbol" w:cs="Arial"/>
      </w:rPr>
    </w:lvl>
    <w:lvl w:ilvl="5">
      <w:start w:val="1"/>
      <w:numFmt w:val="bullet"/>
      <w:lvlText w:val="▪"/>
      <w:lvlJc w:val="left"/>
      <w:pPr>
        <w:tabs>
          <w:tab w:val="num" w:pos="3294"/>
        </w:tabs>
        <w:ind w:left="3294" w:hanging="360"/>
      </w:pPr>
      <w:rPr>
        <w:rFonts w:ascii="OpenSymbol" w:hAnsi="OpenSymbol" w:cs="Arial"/>
      </w:rPr>
    </w:lvl>
    <w:lvl w:ilvl="6">
      <w:start w:val="1"/>
      <w:numFmt w:val="bullet"/>
      <w:lvlText w:val=""/>
      <w:lvlJc w:val="left"/>
      <w:pPr>
        <w:tabs>
          <w:tab w:val="num" w:pos="3654"/>
        </w:tabs>
        <w:ind w:left="3654" w:hanging="360"/>
      </w:pPr>
      <w:rPr>
        <w:rFonts w:ascii="Wingdings 2" w:hAnsi="Wingdings 2" w:cs="Symbol"/>
      </w:rPr>
    </w:lvl>
    <w:lvl w:ilvl="7">
      <w:start w:val="1"/>
      <w:numFmt w:val="bullet"/>
      <w:lvlText w:val="◦"/>
      <w:lvlJc w:val="left"/>
      <w:pPr>
        <w:tabs>
          <w:tab w:val="num" w:pos="4014"/>
        </w:tabs>
        <w:ind w:left="4014" w:hanging="360"/>
      </w:pPr>
      <w:rPr>
        <w:rFonts w:ascii="OpenSymbol" w:hAnsi="OpenSymbol" w:cs="Arial"/>
      </w:rPr>
    </w:lvl>
    <w:lvl w:ilvl="8">
      <w:start w:val="1"/>
      <w:numFmt w:val="bullet"/>
      <w:lvlText w:val="▪"/>
      <w:lvlJc w:val="left"/>
      <w:pPr>
        <w:tabs>
          <w:tab w:val="num" w:pos="4374"/>
        </w:tabs>
        <w:ind w:left="4374" w:hanging="360"/>
      </w:pPr>
      <w:rPr>
        <w:rFonts w:ascii="OpenSymbol" w:hAnsi="OpenSymbol" w:cs="Arial"/>
      </w:rPr>
    </w:lvl>
  </w:abstractNum>
  <w:abstractNum w:abstractNumId="3">
    <w:nsid w:val="17EC62CA"/>
    <w:multiLevelType w:val="hybridMultilevel"/>
    <w:tmpl w:val="DDB2A796"/>
    <w:lvl w:ilvl="0" w:tplc="0807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4">
    <w:nsid w:val="2D595B9C"/>
    <w:multiLevelType w:val="hybridMultilevel"/>
    <w:tmpl w:val="6CF46304"/>
    <w:lvl w:ilvl="0" w:tplc="04090013">
      <w:start w:val="1"/>
      <w:numFmt w:val="upperRoman"/>
      <w:lvlText w:val="%1."/>
      <w:lvlJc w:val="right"/>
      <w:pPr>
        <w:ind w:left="1854" w:hanging="36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90C8E"/>
    <w:multiLevelType w:val="hybridMultilevel"/>
    <w:tmpl w:val="37064E82"/>
    <w:lvl w:ilvl="0" w:tplc="F4B0989C">
      <w:start w:val="1"/>
      <w:numFmt w:val="decimal"/>
      <w:lvlText w:val="%1)"/>
      <w:lvlJc w:val="left"/>
      <w:pPr>
        <w:ind w:left="1854" w:hanging="36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B6E19F5"/>
    <w:multiLevelType w:val="hybridMultilevel"/>
    <w:tmpl w:val="F5401EEC"/>
    <w:lvl w:ilvl="0" w:tplc="61127766">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nsid w:val="483F5B33"/>
    <w:multiLevelType w:val="hybridMultilevel"/>
    <w:tmpl w:val="DF00B7E2"/>
    <w:lvl w:ilvl="0" w:tplc="08070017">
      <w:start w:val="1"/>
      <w:numFmt w:val="lowerLetter"/>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0">
    <w:nsid w:val="541F757A"/>
    <w:multiLevelType w:val="hybridMultilevel"/>
    <w:tmpl w:val="039A68E2"/>
    <w:lvl w:ilvl="0" w:tplc="CB32ECFC">
      <w:numFmt w:val="bullet"/>
      <w:lvlText w:val="-"/>
      <w:lvlJc w:val="left"/>
      <w:pPr>
        <w:ind w:left="1494" w:hanging="360"/>
      </w:pPr>
      <w:rPr>
        <w:rFonts w:ascii="Times New Roman" w:eastAsia="Calibri" w:hAnsi="Times New Roman" w:cs="Times New Roman"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1">
    <w:nsid w:val="5E5E1402"/>
    <w:multiLevelType w:val="hybridMultilevel"/>
    <w:tmpl w:val="1D6037AA"/>
    <w:lvl w:ilvl="0" w:tplc="0AEC72B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6DE2FA8"/>
    <w:multiLevelType w:val="hybridMultilevel"/>
    <w:tmpl w:val="D9400398"/>
    <w:lvl w:ilvl="0" w:tplc="40542A5E">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7"/>
  </w:num>
  <w:num w:numId="3">
    <w:abstractNumId w:val="11"/>
  </w:num>
  <w:num w:numId="4">
    <w:abstractNumId w:val="0"/>
  </w:num>
  <w:num w:numId="5">
    <w:abstractNumId w:val="1"/>
  </w:num>
  <w:num w:numId="6">
    <w:abstractNumId w:val="2"/>
  </w:num>
  <w:num w:numId="7">
    <w:abstractNumId w:val="5"/>
  </w:num>
  <w:num w:numId="8">
    <w:abstractNumId w:val="12"/>
  </w:num>
  <w:num w:numId="9">
    <w:abstractNumId w:val="9"/>
  </w:num>
  <w:num w:numId="10">
    <w:abstractNumId w:val="6"/>
  </w:num>
  <w:num w:numId="11">
    <w:abstractNumId w:val="10"/>
  </w:num>
  <w:num w:numId="12">
    <w:abstractNumId w:val="8"/>
  </w:num>
  <w:num w:numId="13">
    <w:abstractNumId w:val="4"/>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E7"/>
    <w:rsid w:val="00023800"/>
    <w:rsid w:val="002335E7"/>
    <w:rsid w:val="00272B6B"/>
    <w:rsid w:val="00363938"/>
    <w:rsid w:val="004E5003"/>
    <w:rsid w:val="005A23D3"/>
    <w:rsid w:val="005D3D98"/>
    <w:rsid w:val="0079750A"/>
    <w:rsid w:val="0085688E"/>
    <w:rsid w:val="009F3958"/>
    <w:rsid w:val="00A42B3C"/>
    <w:rsid w:val="00AC737D"/>
    <w:rsid w:val="00AD5971"/>
    <w:rsid w:val="00B136ED"/>
    <w:rsid w:val="00B97D1F"/>
    <w:rsid w:val="00CC7AB3"/>
    <w:rsid w:val="00D60C86"/>
    <w:rsid w:val="00E8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link w:val="HeaderChar"/>
    <w:uiPriority w:val="99"/>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link w:val="FooterChar"/>
    <w:uiPriority w:val="99"/>
    <w:pPr>
      <w:spacing w:line="240" w:lineRule="auto"/>
    </w:pPr>
    <w:rPr>
      <w:sz w:val="16"/>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Hier">
    <w:name w:val="Hier"/>
    <w:basedOn w:val="Normal"/>
    <w:pPr>
      <w:tabs>
        <w:tab w:val="left" w:pos="284"/>
      </w:tabs>
      <w:suppressAutoHyphens w:val="0"/>
      <w:spacing w:line="240" w:lineRule="auto"/>
      <w:ind w:left="284" w:hanging="284"/>
    </w:pPr>
    <w:rPr>
      <w:rFonts w:ascii="Arial" w:hAnsi="Arial"/>
      <w:sz w:val="24"/>
      <w:lang w:val="de-DE" w:eastAsia="de-DE"/>
    </w:rPr>
  </w:style>
  <w:style w:type="paragraph" w:customStyle="1" w:styleId="Randnummer">
    <w:name w:val="Randnummer"/>
    <w:basedOn w:val="Normal"/>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text">
    <w:name w:val="Normaltext"/>
    <w:basedOn w:val="Normal"/>
    <w:pPr>
      <w:tabs>
        <w:tab w:val="left" w:pos="425"/>
        <w:tab w:val="left" w:pos="851"/>
        <w:tab w:val="left" w:pos="1276"/>
      </w:tabs>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pPr>
      <w:tabs>
        <w:tab w:val="left" w:pos="425"/>
        <w:tab w:val="left" w:pos="851"/>
        <w:tab w:val="left" w:pos="1276"/>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List123">
    <w:name w:val="Normal List 123"/>
    <w:basedOn w:val="Normal"/>
    <w:pPr>
      <w:suppressAutoHyphens w:val="0"/>
      <w:spacing w:before="60" w:line="240" w:lineRule="auto"/>
      <w:ind w:left="1700" w:hanging="300"/>
      <w:jc w:val="both"/>
    </w:pPr>
    <w:rPr>
      <w:rFonts w:ascii="Arial" w:hAnsi="Arial"/>
      <w:color w:val="000000"/>
      <w:sz w:val="18"/>
      <w:lang w:val="de-DE" w:eastAsia="de-DE"/>
    </w:rPr>
  </w:style>
  <w:style w:type="paragraph" w:styleId="NormalWeb">
    <w:name w:val="Normal (Web)"/>
    <w:basedOn w:val="Normal"/>
    <w:pPr>
      <w:suppressAutoHyphens w:val="0"/>
      <w:spacing w:before="60" w:after="120" w:line="288" w:lineRule="auto"/>
    </w:pPr>
    <w:rPr>
      <w:lang w:val="de-DE" w:eastAsia="de-DE"/>
    </w:rPr>
  </w:style>
  <w:style w:type="paragraph" w:customStyle="1" w:styleId="entry">
    <w:name w:val="entry"/>
    <w:basedOn w:val="Normal"/>
    <w:pPr>
      <w:suppressAutoHyphens w:val="0"/>
      <w:spacing w:before="60" w:after="120" w:line="312" w:lineRule="auto"/>
    </w:pPr>
    <w:rPr>
      <w:lang w:val="de-DE" w:eastAsia="de-DE"/>
    </w:rPr>
  </w:style>
  <w:style w:type="character" w:customStyle="1" w:styleId="HeaderChar">
    <w:name w:val="Header Char"/>
    <w:aliases w:val="6_G Char"/>
    <w:link w:val="Header"/>
    <w:uiPriority w:val="99"/>
    <w:locked/>
    <w:rPr>
      <w:b/>
      <w:sz w:val="18"/>
      <w:lang w:val="fr-CH" w:eastAsia="en-US" w:bidi="ar-SA"/>
    </w:rPr>
  </w:style>
  <w:style w:type="character" w:customStyle="1" w:styleId="H1GChar">
    <w:name w:val="_ H_1_G Char"/>
    <w:link w:val="H1G"/>
    <w:uiPriority w:val="99"/>
    <w:rPr>
      <w:b/>
      <w:sz w:val="24"/>
      <w:lang w:val="fr-CH" w:eastAsia="en-US" w:bidi="ar-SA"/>
    </w:rPr>
  </w:style>
  <w:style w:type="character" w:customStyle="1" w:styleId="SingleTxtGChar">
    <w:name w:val="_ Single Txt_G Char"/>
    <w:link w:val="SingleTxtG"/>
    <w:rPr>
      <w:lang w:val="fr-CH" w:eastAsia="en-US" w:bidi="ar-SA"/>
    </w:rPr>
  </w:style>
  <w:style w:type="paragraph" w:styleId="BalloonText">
    <w:name w:val="Balloon Text"/>
    <w:basedOn w:val="Normal"/>
    <w:semiHidden/>
    <w:rPr>
      <w:rFonts w:ascii="Tahoma" w:hAnsi="Tahoma" w:cs="Tahoma"/>
      <w:sz w:val="16"/>
      <w:szCs w:val="16"/>
    </w:rPr>
  </w:style>
  <w:style w:type="character" w:customStyle="1" w:styleId="WW8Num3z0">
    <w:name w:val="WW8Num3z0"/>
    <w:rPr>
      <w:rFonts w:ascii="Symbol" w:hAnsi="Symbol" w:cs="Symbol"/>
    </w:rPr>
  </w:style>
  <w:style w:type="character" w:customStyle="1" w:styleId="Caractresdenotedebasdepage">
    <w:name w:val="Caractères de note de bas de page"/>
    <w:rPr>
      <w:rFonts w:ascii="Times New Roman" w:hAnsi="Times New Roman" w:cs="Times New Roman"/>
      <w:sz w:val="18"/>
      <w:vertAlign w:val="superscript"/>
      <w:lang w:val="fr-CH"/>
    </w:rPr>
  </w:style>
  <w:style w:type="character" w:customStyle="1" w:styleId="HChGChar">
    <w:name w:val="_ H _Ch_G Char"/>
    <w:link w:val="HChG"/>
    <w:uiPriority w:val="99"/>
    <w:rPr>
      <w:b/>
      <w:sz w:val="28"/>
      <w:lang w:val="fr-CH" w:eastAsia="en-US"/>
    </w:rPr>
  </w:style>
  <w:style w:type="paragraph" w:styleId="ListContinue">
    <w:name w:val="List Continue"/>
    <w:basedOn w:val="Normal"/>
    <w:pPr>
      <w:spacing w:after="120"/>
      <w:ind w:left="283"/>
    </w:pPr>
    <w:rPr>
      <w:lang w:val="en-GB"/>
    </w:rPr>
  </w:style>
  <w:style w:type="paragraph" w:customStyle="1" w:styleId="Tabletitle">
    <w:name w:val="Table title"/>
    <w:basedOn w:val="Normal"/>
    <w:next w:val="Normal"/>
    <w:pPr>
      <w:keepNext/>
      <w:spacing w:before="120" w:after="120" w:line="230" w:lineRule="exact"/>
      <w:jc w:val="center"/>
    </w:pPr>
    <w:rPr>
      <w:rFonts w:ascii="Arial" w:eastAsia="MS Mincho" w:hAnsi="Arial"/>
      <w:b/>
      <w:lang w:val="en-GB" w:eastAsia="fr-FR"/>
    </w:rPr>
  </w:style>
  <w:style w:type="character" w:customStyle="1" w:styleId="FooterChar">
    <w:name w:val="Footer Char"/>
    <w:aliases w:val="3_G Char"/>
    <w:link w:val="Footer"/>
    <w:uiPriority w:val="99"/>
    <w:rPr>
      <w:sz w:val="16"/>
      <w:lang w:val="fr-CH" w:eastAsia="en-US"/>
    </w:rPr>
  </w:style>
  <w:style w:type="paragraph" w:styleId="ListParagraph">
    <w:name w:val="List Paragraph"/>
    <w:basedOn w:val="Normal"/>
    <w:uiPriority w:val="34"/>
    <w:qFormat/>
    <w:pPr>
      <w:suppressAutoHyphens w:val="0"/>
      <w:spacing w:line="240" w:lineRule="auto"/>
      <w:ind w:left="720"/>
    </w:pPr>
    <w:rPr>
      <w:color w:val="000000"/>
      <w:sz w:val="24"/>
      <w:szCs w:val="24"/>
      <w:lang w:val="de-CH" w:eastAsia="de-CH"/>
    </w:rPr>
  </w:style>
  <w:style w:type="character" w:customStyle="1" w:styleId="Heading2Char">
    <w:name w:val="Heading 2 Char"/>
    <w:link w:val="Heading2"/>
    <w:uiPriority w:val="99"/>
    <w:locked/>
    <w:rPr>
      <w:lang w:val="fr-CH"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link w:val="HeaderChar"/>
    <w:uiPriority w:val="99"/>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link w:val="FooterChar"/>
    <w:uiPriority w:val="99"/>
    <w:pPr>
      <w:spacing w:line="240" w:lineRule="auto"/>
    </w:pPr>
    <w:rPr>
      <w:sz w:val="16"/>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Hier">
    <w:name w:val="Hier"/>
    <w:basedOn w:val="Normal"/>
    <w:pPr>
      <w:tabs>
        <w:tab w:val="left" w:pos="284"/>
      </w:tabs>
      <w:suppressAutoHyphens w:val="0"/>
      <w:spacing w:line="240" w:lineRule="auto"/>
      <w:ind w:left="284" w:hanging="284"/>
    </w:pPr>
    <w:rPr>
      <w:rFonts w:ascii="Arial" w:hAnsi="Arial"/>
      <w:sz w:val="24"/>
      <w:lang w:val="de-DE" w:eastAsia="de-DE"/>
    </w:rPr>
  </w:style>
  <w:style w:type="paragraph" w:customStyle="1" w:styleId="Randnummer">
    <w:name w:val="Randnummer"/>
    <w:basedOn w:val="Normal"/>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text">
    <w:name w:val="Normaltext"/>
    <w:basedOn w:val="Normal"/>
    <w:pPr>
      <w:tabs>
        <w:tab w:val="left" w:pos="425"/>
        <w:tab w:val="left" w:pos="851"/>
        <w:tab w:val="left" w:pos="1276"/>
      </w:tabs>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pPr>
      <w:tabs>
        <w:tab w:val="left" w:pos="425"/>
        <w:tab w:val="left" w:pos="851"/>
        <w:tab w:val="left" w:pos="1276"/>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List123">
    <w:name w:val="Normal List 123"/>
    <w:basedOn w:val="Normal"/>
    <w:pPr>
      <w:suppressAutoHyphens w:val="0"/>
      <w:spacing w:before="60" w:line="240" w:lineRule="auto"/>
      <w:ind w:left="1700" w:hanging="300"/>
      <w:jc w:val="both"/>
    </w:pPr>
    <w:rPr>
      <w:rFonts w:ascii="Arial" w:hAnsi="Arial"/>
      <w:color w:val="000000"/>
      <w:sz w:val="18"/>
      <w:lang w:val="de-DE" w:eastAsia="de-DE"/>
    </w:rPr>
  </w:style>
  <w:style w:type="paragraph" w:styleId="NormalWeb">
    <w:name w:val="Normal (Web)"/>
    <w:basedOn w:val="Normal"/>
    <w:pPr>
      <w:suppressAutoHyphens w:val="0"/>
      <w:spacing w:before="60" w:after="120" w:line="288" w:lineRule="auto"/>
    </w:pPr>
    <w:rPr>
      <w:lang w:val="de-DE" w:eastAsia="de-DE"/>
    </w:rPr>
  </w:style>
  <w:style w:type="paragraph" w:customStyle="1" w:styleId="entry">
    <w:name w:val="entry"/>
    <w:basedOn w:val="Normal"/>
    <w:pPr>
      <w:suppressAutoHyphens w:val="0"/>
      <w:spacing w:before="60" w:after="120" w:line="312" w:lineRule="auto"/>
    </w:pPr>
    <w:rPr>
      <w:lang w:val="de-DE" w:eastAsia="de-DE"/>
    </w:rPr>
  </w:style>
  <w:style w:type="character" w:customStyle="1" w:styleId="HeaderChar">
    <w:name w:val="Header Char"/>
    <w:aliases w:val="6_G Char"/>
    <w:link w:val="Header"/>
    <w:uiPriority w:val="99"/>
    <w:locked/>
    <w:rPr>
      <w:b/>
      <w:sz w:val="18"/>
      <w:lang w:val="fr-CH" w:eastAsia="en-US" w:bidi="ar-SA"/>
    </w:rPr>
  </w:style>
  <w:style w:type="character" w:customStyle="1" w:styleId="H1GChar">
    <w:name w:val="_ H_1_G Char"/>
    <w:link w:val="H1G"/>
    <w:uiPriority w:val="99"/>
    <w:rPr>
      <w:b/>
      <w:sz w:val="24"/>
      <w:lang w:val="fr-CH" w:eastAsia="en-US" w:bidi="ar-SA"/>
    </w:rPr>
  </w:style>
  <w:style w:type="character" w:customStyle="1" w:styleId="SingleTxtGChar">
    <w:name w:val="_ Single Txt_G Char"/>
    <w:link w:val="SingleTxtG"/>
    <w:rPr>
      <w:lang w:val="fr-CH" w:eastAsia="en-US" w:bidi="ar-SA"/>
    </w:rPr>
  </w:style>
  <w:style w:type="paragraph" w:styleId="BalloonText">
    <w:name w:val="Balloon Text"/>
    <w:basedOn w:val="Normal"/>
    <w:semiHidden/>
    <w:rPr>
      <w:rFonts w:ascii="Tahoma" w:hAnsi="Tahoma" w:cs="Tahoma"/>
      <w:sz w:val="16"/>
      <w:szCs w:val="16"/>
    </w:rPr>
  </w:style>
  <w:style w:type="character" w:customStyle="1" w:styleId="WW8Num3z0">
    <w:name w:val="WW8Num3z0"/>
    <w:rPr>
      <w:rFonts w:ascii="Symbol" w:hAnsi="Symbol" w:cs="Symbol"/>
    </w:rPr>
  </w:style>
  <w:style w:type="character" w:customStyle="1" w:styleId="Caractresdenotedebasdepage">
    <w:name w:val="Caractères de note de bas de page"/>
    <w:rPr>
      <w:rFonts w:ascii="Times New Roman" w:hAnsi="Times New Roman" w:cs="Times New Roman"/>
      <w:sz w:val="18"/>
      <w:vertAlign w:val="superscript"/>
      <w:lang w:val="fr-CH"/>
    </w:rPr>
  </w:style>
  <w:style w:type="character" w:customStyle="1" w:styleId="HChGChar">
    <w:name w:val="_ H _Ch_G Char"/>
    <w:link w:val="HChG"/>
    <w:uiPriority w:val="99"/>
    <w:rPr>
      <w:b/>
      <w:sz w:val="28"/>
      <w:lang w:val="fr-CH" w:eastAsia="en-US"/>
    </w:rPr>
  </w:style>
  <w:style w:type="paragraph" w:styleId="ListContinue">
    <w:name w:val="List Continue"/>
    <w:basedOn w:val="Normal"/>
    <w:pPr>
      <w:spacing w:after="120"/>
      <w:ind w:left="283"/>
    </w:pPr>
    <w:rPr>
      <w:lang w:val="en-GB"/>
    </w:rPr>
  </w:style>
  <w:style w:type="paragraph" w:customStyle="1" w:styleId="Tabletitle">
    <w:name w:val="Table title"/>
    <w:basedOn w:val="Normal"/>
    <w:next w:val="Normal"/>
    <w:pPr>
      <w:keepNext/>
      <w:spacing w:before="120" w:after="120" w:line="230" w:lineRule="exact"/>
      <w:jc w:val="center"/>
    </w:pPr>
    <w:rPr>
      <w:rFonts w:ascii="Arial" w:eastAsia="MS Mincho" w:hAnsi="Arial"/>
      <w:b/>
      <w:lang w:val="en-GB" w:eastAsia="fr-FR"/>
    </w:rPr>
  </w:style>
  <w:style w:type="character" w:customStyle="1" w:styleId="FooterChar">
    <w:name w:val="Footer Char"/>
    <w:aliases w:val="3_G Char"/>
    <w:link w:val="Footer"/>
    <w:uiPriority w:val="99"/>
    <w:rPr>
      <w:sz w:val="16"/>
      <w:lang w:val="fr-CH" w:eastAsia="en-US"/>
    </w:rPr>
  </w:style>
  <w:style w:type="paragraph" w:styleId="ListParagraph">
    <w:name w:val="List Paragraph"/>
    <w:basedOn w:val="Normal"/>
    <w:uiPriority w:val="34"/>
    <w:qFormat/>
    <w:pPr>
      <w:suppressAutoHyphens w:val="0"/>
      <w:spacing w:line="240" w:lineRule="auto"/>
      <w:ind w:left="720"/>
    </w:pPr>
    <w:rPr>
      <w:color w:val="000000"/>
      <w:sz w:val="24"/>
      <w:szCs w:val="24"/>
      <w:lang w:val="de-CH" w:eastAsia="de-CH"/>
    </w:rPr>
  </w:style>
  <w:style w:type="character" w:customStyle="1" w:styleId="Heading2Char">
    <w:name w:val="Heading 2 Char"/>
    <w:link w:val="Heading2"/>
    <w:uiPriority w:val="99"/>
    <w:locked/>
    <w:rPr>
      <w:lang w:val="fr-CH"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1530</Words>
  <Characters>8722</Characters>
  <Application>Microsoft Office Word</Application>
  <DocSecurity>0</DocSecurity>
  <Lines>72</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ECE/TRANS/WP.15/AC.1/</vt:lpstr>
      <vt:lpstr>ECE/TRANS/WP.15/AC.1/</vt:lpstr>
      <vt:lpstr>ECE/TRANS/WP.15/AC.1/</vt:lpstr>
    </vt:vector>
  </TitlesOfParts>
  <Company>CSD</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Gatto</dc:creator>
  <cp:lastModifiedBy>barrio-champeau</cp:lastModifiedBy>
  <cp:revision>5</cp:revision>
  <cp:lastPrinted>2015-09-09T11:02:00Z</cp:lastPrinted>
  <dcterms:created xsi:type="dcterms:W3CDTF">2015-09-09T11:06:00Z</dcterms:created>
  <dcterms:modified xsi:type="dcterms:W3CDTF">2015-09-09T11:18:00Z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COO.2125.100.2.7837574</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ECE-TRANS-WP15-AC1-2015-GE-INFxxf_PMS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Despont Claude</vt:lpwstr>
  </property>
  <property fmtid="{D5CDD505-2E9C-101B-9397-08002B2CF9AE}" pid="80" name="FSC#COOELAK@1.1001:OwnerExtension">
    <vt:lpwstr>+41 58 464 35 28</vt:lpwstr>
  </property>
  <property fmtid="{D5CDD505-2E9C-101B-9397-08002B2CF9AE}" pid="81" name="FSC#COOELAK@1.1001:OwnerFaxExtension">
    <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05.08.2015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*COO.2125.100.2.7837574*</vt:lpwstr>
  </property>
  <property fmtid="{D5CDD505-2E9C-101B-9397-08002B2CF9AE}" pid="91" name="FSC#COOELAK@1.1001:RefBarCode">
    <vt:lpwstr>*COO.2125.100.2.7837577*</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ECE-TRANS-WP15-AC1-2015-GE-INFxxf_PMS</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BAV-510.42-00002/00001/00007/00018</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SYSTEM@1.1:Container">
    <vt:lpwstr>COO.2125.100.2.7837574</vt:lpwstr>
  </property>
  <property fmtid="{D5CDD505-2E9C-101B-9397-08002B2CF9AE}" pid="137" name="FSC#FSCFOLIO@1.1001:docpropproject">
    <vt:lpwstr/>
  </property>
</Properties>
</file>