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EBC" w:rsidRPr="00357EBC" w:rsidRDefault="00357EBC" w:rsidP="00357EBC">
      <w:pPr>
        <w:keepNext/>
        <w:keepLines/>
        <w:tabs>
          <w:tab w:val="right" w:pos="851"/>
        </w:tabs>
        <w:spacing w:before="120" w:after="120" w:line="223" w:lineRule="auto"/>
        <w:ind w:right="-6"/>
        <w:rPr>
          <w:rFonts w:ascii="Times New Roman" w:eastAsia="Times New Roman" w:hAnsi="Times New Roman" w:cs="Times New Roman"/>
          <w:b/>
          <w:sz w:val="20"/>
          <w:szCs w:val="20"/>
          <w:lang w:val="en-GB"/>
        </w:rPr>
      </w:pPr>
      <w:r w:rsidRPr="00357EBC">
        <w:rPr>
          <w:rFonts w:ascii="Times New Roman" w:eastAsia="Times New Roman" w:hAnsi="Times New Roman" w:cs="Times New Roman"/>
          <w:b/>
          <w:sz w:val="20"/>
          <w:szCs w:val="20"/>
          <w:lang w:val="en-GB"/>
        </w:rPr>
        <w:t>Joint Meeting of the RID Committee of Experts and the</w:t>
      </w:r>
      <w:r w:rsidRPr="00357EBC">
        <w:rPr>
          <w:rFonts w:ascii="Times New Roman" w:eastAsia="Times New Roman" w:hAnsi="Times New Roman" w:cs="Times New Roman"/>
          <w:b/>
          <w:sz w:val="20"/>
          <w:szCs w:val="20"/>
          <w:lang w:val="en-GB"/>
        </w:rPr>
        <w:br/>
        <w:t>Working Party on the Transport of Dangerous Goods</w:t>
      </w:r>
    </w:p>
    <w:p w:rsidR="00357EBC" w:rsidRPr="00357EBC" w:rsidRDefault="00357EBC" w:rsidP="00357EBC">
      <w:pPr>
        <w:spacing w:after="0" w:line="240" w:lineRule="auto"/>
        <w:rPr>
          <w:rFonts w:ascii="Times New Roman" w:eastAsia="Times New Roman" w:hAnsi="Times New Roman" w:cs="Times New Roman"/>
          <w:sz w:val="20"/>
          <w:szCs w:val="20"/>
          <w:lang w:val="en-GB"/>
        </w:rPr>
      </w:pPr>
      <w:r w:rsidRPr="00357EBC">
        <w:rPr>
          <w:rFonts w:ascii="Times New Roman" w:eastAsia="Times New Roman" w:hAnsi="Times New Roman" w:cs="Times New Roman"/>
          <w:sz w:val="20"/>
          <w:szCs w:val="20"/>
          <w:lang w:val="en-GB"/>
        </w:rPr>
        <w:t>Geneva, 15–25 September 2015</w:t>
      </w:r>
    </w:p>
    <w:p w:rsidR="00357EBC" w:rsidRPr="00357EBC" w:rsidRDefault="00357EBC" w:rsidP="00357EBC">
      <w:pPr>
        <w:spacing w:after="0" w:line="240" w:lineRule="auto"/>
        <w:rPr>
          <w:rFonts w:ascii="Times New Roman" w:eastAsia="Times New Roman" w:hAnsi="Times New Roman" w:cs="Times New Roman"/>
          <w:sz w:val="20"/>
          <w:szCs w:val="20"/>
          <w:lang w:val="en-GB"/>
        </w:rPr>
      </w:pPr>
      <w:r w:rsidRPr="00357EBC">
        <w:rPr>
          <w:rFonts w:ascii="Times New Roman" w:eastAsia="Times New Roman" w:hAnsi="Times New Roman" w:cs="Times New Roman"/>
          <w:sz w:val="20"/>
          <w:szCs w:val="20"/>
          <w:lang w:val="en-GB"/>
        </w:rPr>
        <w:t>Item 2 of the provisional agenda</w:t>
      </w:r>
    </w:p>
    <w:p w:rsidR="00357EBC" w:rsidRPr="00357EBC" w:rsidRDefault="00357EBC" w:rsidP="00357EBC">
      <w:pPr>
        <w:spacing w:after="0" w:line="240" w:lineRule="auto"/>
        <w:rPr>
          <w:rFonts w:ascii="Times New Roman" w:eastAsia="Times New Roman" w:hAnsi="Times New Roman" w:cs="Times New Roman"/>
          <w:b/>
          <w:sz w:val="20"/>
          <w:szCs w:val="20"/>
          <w:lang w:val="en-GB"/>
        </w:rPr>
      </w:pPr>
      <w:r w:rsidRPr="00357EBC">
        <w:rPr>
          <w:rFonts w:ascii="Times New Roman" w:eastAsia="Times New Roman" w:hAnsi="Times New Roman" w:cs="Times New Roman"/>
          <w:b/>
          <w:sz w:val="20"/>
          <w:szCs w:val="20"/>
          <w:lang w:val="en-GB"/>
        </w:rPr>
        <w:t xml:space="preserve">Harmonization with the United Nations Recommendations </w:t>
      </w:r>
    </w:p>
    <w:p w:rsidR="00357EBC" w:rsidRPr="00357EBC" w:rsidRDefault="00357EBC" w:rsidP="00357EBC">
      <w:pPr>
        <w:spacing w:after="0" w:line="240" w:lineRule="auto"/>
        <w:rPr>
          <w:rFonts w:ascii="Times New Roman" w:eastAsia="Times New Roman" w:hAnsi="Times New Roman" w:cs="Times New Roman"/>
          <w:b/>
          <w:sz w:val="20"/>
          <w:szCs w:val="20"/>
          <w:lang w:val="en-GB"/>
        </w:rPr>
      </w:pPr>
      <w:proofErr w:type="gramStart"/>
      <w:r w:rsidRPr="00357EBC">
        <w:rPr>
          <w:rFonts w:ascii="Times New Roman" w:eastAsia="Times New Roman" w:hAnsi="Times New Roman" w:cs="Times New Roman"/>
          <w:b/>
          <w:sz w:val="20"/>
          <w:szCs w:val="20"/>
          <w:lang w:val="en-GB"/>
        </w:rPr>
        <w:t>on</w:t>
      </w:r>
      <w:proofErr w:type="gramEnd"/>
      <w:r w:rsidRPr="00357EBC">
        <w:rPr>
          <w:rFonts w:ascii="Times New Roman" w:eastAsia="Times New Roman" w:hAnsi="Times New Roman" w:cs="Times New Roman"/>
          <w:b/>
          <w:sz w:val="20"/>
          <w:szCs w:val="20"/>
          <w:lang w:val="en-GB"/>
        </w:rPr>
        <w:t xml:space="preserve"> the Transport of Dangerous Goods</w:t>
      </w:r>
    </w:p>
    <w:p w:rsidR="00357EBC" w:rsidRPr="00357EBC" w:rsidRDefault="00357EBC" w:rsidP="00357EBC">
      <w:pPr>
        <w:keepNext/>
        <w:keepLines/>
        <w:tabs>
          <w:tab w:val="right" w:pos="851"/>
          <w:tab w:val="left" w:pos="2552"/>
        </w:tabs>
        <w:spacing w:before="240" w:after="120" w:line="240" w:lineRule="exact"/>
        <w:ind w:left="1134" w:right="1134" w:hanging="1134"/>
        <w:rPr>
          <w:rFonts w:ascii="Times New Roman" w:eastAsia="Times New Roman" w:hAnsi="Times New Roman" w:cs="Times New Roman"/>
          <w:b/>
          <w:sz w:val="28"/>
          <w:szCs w:val="28"/>
          <w:lang w:val="en-GB"/>
        </w:rPr>
      </w:pPr>
      <w:r w:rsidRPr="00357EBC">
        <w:rPr>
          <w:rFonts w:ascii="Times New Roman" w:eastAsia="Times New Roman" w:hAnsi="Times New Roman" w:cs="Times New Roman"/>
          <w:b/>
          <w:sz w:val="28"/>
          <w:szCs w:val="28"/>
          <w:lang w:val="en-GB"/>
        </w:rPr>
        <w:tab/>
      </w:r>
      <w:r w:rsidRPr="00357EBC">
        <w:rPr>
          <w:rFonts w:ascii="Times New Roman" w:eastAsia="Times New Roman" w:hAnsi="Times New Roman" w:cs="Times New Roman"/>
          <w:b/>
          <w:sz w:val="28"/>
          <w:szCs w:val="28"/>
          <w:lang w:val="en-GB"/>
        </w:rPr>
        <w:tab/>
        <w:t>Carriage of waste electrical and electronic equipment containing Lithium Batteries</w:t>
      </w:r>
    </w:p>
    <w:p w:rsidR="00357EBC" w:rsidRPr="00357EBC" w:rsidRDefault="00C3010A" w:rsidP="00357EBC">
      <w:pPr>
        <w:ind w:left="426" w:firstLine="708"/>
        <w:rPr>
          <w:rFonts w:ascii="Times New Roman" w:hAnsi="Times New Roman" w:cs="Times New Roman"/>
          <w:b/>
          <w:sz w:val="28"/>
          <w:szCs w:val="28"/>
          <w:lang w:val="en-GB"/>
        </w:rPr>
      </w:pPr>
      <w:proofErr w:type="spellStart"/>
      <w:r>
        <w:rPr>
          <w:rFonts w:ascii="Times New Roman" w:hAnsi="Times New Roman" w:cs="Times New Roman"/>
          <w:b/>
          <w:sz w:val="28"/>
          <w:szCs w:val="28"/>
          <w:lang w:val="en-GB"/>
        </w:rPr>
        <w:t>Attachement</w:t>
      </w:r>
      <w:proofErr w:type="spellEnd"/>
      <w:r>
        <w:rPr>
          <w:rFonts w:ascii="Times New Roman" w:hAnsi="Times New Roman" w:cs="Times New Roman"/>
          <w:b/>
          <w:sz w:val="28"/>
          <w:szCs w:val="28"/>
          <w:lang w:val="en-GB"/>
        </w:rPr>
        <w:t xml:space="preserve"> 1 to INF.14</w:t>
      </w:r>
    </w:p>
    <w:p w:rsidR="00357EBC" w:rsidRPr="00357EBC" w:rsidRDefault="00357EBC">
      <w:pPr>
        <w:rPr>
          <w:lang w:val="en-GB"/>
        </w:rPr>
      </w:pPr>
      <w:r w:rsidRPr="00357EBC">
        <w:rPr>
          <w:lang w:val="en-GB"/>
        </w:rPr>
        <w:br w:type="page"/>
      </w:r>
    </w:p>
    <w:p w:rsidR="00357EBC" w:rsidRPr="00357EBC" w:rsidRDefault="00357EBC" w:rsidP="0027162D">
      <w:pPr>
        <w:rPr>
          <w:lang w:val="en-GB"/>
        </w:rPr>
      </w:pPr>
    </w:p>
    <w:p w:rsidR="00672682" w:rsidRDefault="00672682" w:rsidP="0027162D">
      <w:pPr>
        <w:jc w:val="center"/>
        <w:rPr>
          <w:b/>
          <w:sz w:val="32"/>
          <w:szCs w:val="32"/>
          <w:lang w:val="en-GB"/>
        </w:rPr>
      </w:pPr>
    </w:p>
    <w:p w:rsidR="00672682" w:rsidRDefault="00672682" w:rsidP="0027162D">
      <w:pPr>
        <w:jc w:val="center"/>
        <w:rPr>
          <w:b/>
          <w:sz w:val="32"/>
          <w:szCs w:val="32"/>
          <w:lang w:val="en-GB"/>
        </w:rPr>
      </w:pPr>
    </w:p>
    <w:p w:rsidR="0027162D" w:rsidRDefault="0020480F" w:rsidP="0027162D">
      <w:pPr>
        <w:jc w:val="center"/>
        <w:rPr>
          <w:b/>
          <w:sz w:val="32"/>
          <w:szCs w:val="32"/>
          <w:lang w:val="en-GB"/>
        </w:rPr>
      </w:pPr>
      <w:r>
        <w:rPr>
          <w:b/>
          <w:sz w:val="32"/>
          <w:szCs w:val="32"/>
          <w:lang w:val="en-GB"/>
        </w:rPr>
        <w:t>Lithium Batteries contained</w:t>
      </w:r>
    </w:p>
    <w:p w:rsidR="0027162D" w:rsidRDefault="0027162D" w:rsidP="0027162D">
      <w:pPr>
        <w:jc w:val="center"/>
        <w:rPr>
          <w:b/>
          <w:sz w:val="32"/>
          <w:szCs w:val="32"/>
          <w:lang w:val="en-GB"/>
        </w:rPr>
      </w:pPr>
      <w:r w:rsidRPr="00494A56">
        <w:rPr>
          <w:b/>
          <w:sz w:val="32"/>
          <w:szCs w:val="32"/>
          <w:lang w:val="en-GB"/>
        </w:rPr>
        <w:t xml:space="preserve"> </w:t>
      </w:r>
      <w:proofErr w:type="gramStart"/>
      <w:r w:rsidRPr="00494A56">
        <w:rPr>
          <w:b/>
          <w:sz w:val="32"/>
          <w:szCs w:val="32"/>
          <w:lang w:val="en-GB"/>
        </w:rPr>
        <w:t>in</w:t>
      </w:r>
      <w:proofErr w:type="gramEnd"/>
      <w:r w:rsidRPr="00494A56">
        <w:rPr>
          <w:b/>
          <w:sz w:val="32"/>
          <w:szCs w:val="32"/>
          <w:lang w:val="en-GB"/>
        </w:rPr>
        <w:t xml:space="preserve"> Electrical and Electronic Equipment</w:t>
      </w:r>
    </w:p>
    <w:p w:rsidR="0027162D" w:rsidRPr="00494A56" w:rsidRDefault="0027162D" w:rsidP="0027162D">
      <w:pPr>
        <w:jc w:val="center"/>
        <w:rPr>
          <w:b/>
          <w:sz w:val="32"/>
          <w:szCs w:val="32"/>
          <w:lang w:val="en-GB"/>
        </w:rPr>
      </w:pPr>
    </w:p>
    <w:p w:rsidR="0027162D" w:rsidRDefault="0027162D">
      <w:pPr>
        <w:rPr>
          <w:lang w:val="en-GB"/>
        </w:rPr>
      </w:pPr>
    </w:p>
    <w:p w:rsidR="0027162D" w:rsidRPr="0027162D" w:rsidRDefault="0027162D" w:rsidP="0027162D">
      <w:pPr>
        <w:jc w:val="center"/>
        <w:rPr>
          <w:b/>
          <w:lang w:val="en-GB"/>
        </w:rPr>
      </w:pPr>
    </w:p>
    <w:p w:rsidR="0027162D" w:rsidRPr="0027162D" w:rsidRDefault="0027162D" w:rsidP="0027162D">
      <w:pPr>
        <w:jc w:val="center"/>
        <w:rPr>
          <w:b/>
          <w:lang w:val="en-GB"/>
        </w:rPr>
      </w:pPr>
    </w:p>
    <w:p w:rsidR="0027162D" w:rsidRPr="0027162D" w:rsidRDefault="0027162D" w:rsidP="0027162D">
      <w:pPr>
        <w:jc w:val="center"/>
        <w:rPr>
          <w:b/>
          <w:lang w:val="en-GB"/>
        </w:rPr>
      </w:pPr>
      <w:r w:rsidRPr="0027162D">
        <w:rPr>
          <w:b/>
          <w:lang w:val="en-GB"/>
        </w:rPr>
        <w:t xml:space="preserve">A report prepared by RECHARGE </w:t>
      </w:r>
      <w:proofErr w:type="spellStart"/>
      <w:r w:rsidRPr="0027162D">
        <w:rPr>
          <w:b/>
          <w:lang w:val="en-GB"/>
        </w:rPr>
        <w:t>aisbl</w:t>
      </w:r>
      <w:proofErr w:type="spellEnd"/>
      <w:r w:rsidR="00CB37FB">
        <w:rPr>
          <w:b/>
          <w:lang w:val="en-GB"/>
        </w:rPr>
        <w:t>.</w:t>
      </w:r>
    </w:p>
    <w:p w:rsidR="0027162D" w:rsidRPr="0027162D" w:rsidRDefault="0027162D" w:rsidP="0027162D">
      <w:pPr>
        <w:jc w:val="center"/>
        <w:rPr>
          <w:b/>
          <w:lang w:val="en-GB"/>
        </w:rPr>
      </w:pPr>
    </w:p>
    <w:p w:rsidR="0027162D" w:rsidRDefault="0027162D">
      <w:pPr>
        <w:rPr>
          <w:lang w:val="en-GB"/>
        </w:rPr>
      </w:pPr>
    </w:p>
    <w:p w:rsidR="0027162D" w:rsidRDefault="0027162D">
      <w:pPr>
        <w:rPr>
          <w:lang w:val="en-GB"/>
        </w:rPr>
      </w:pPr>
    </w:p>
    <w:p w:rsidR="0027162D" w:rsidRPr="0027162D" w:rsidRDefault="0027162D" w:rsidP="00CB37FB">
      <w:pPr>
        <w:ind w:left="1776"/>
        <w:rPr>
          <w:b/>
          <w:lang w:val="en-GB"/>
        </w:rPr>
      </w:pPr>
      <w:proofErr w:type="gramStart"/>
      <w:r w:rsidRPr="0027162D">
        <w:rPr>
          <w:b/>
          <w:lang w:val="en-GB"/>
        </w:rPr>
        <w:t>CONTENT.</w:t>
      </w:r>
      <w:proofErr w:type="gramEnd"/>
    </w:p>
    <w:p w:rsidR="0027162D" w:rsidRDefault="0027162D" w:rsidP="00CB37FB">
      <w:pPr>
        <w:pStyle w:val="Paragraphedeliste"/>
        <w:numPr>
          <w:ilvl w:val="0"/>
          <w:numId w:val="6"/>
        </w:numPr>
        <w:ind w:left="2496"/>
        <w:rPr>
          <w:b/>
          <w:lang w:val="en-GB"/>
        </w:rPr>
      </w:pPr>
      <w:r w:rsidRPr="0027162D">
        <w:rPr>
          <w:b/>
          <w:lang w:val="en-GB"/>
        </w:rPr>
        <w:t>INTRODUCTION</w:t>
      </w:r>
    </w:p>
    <w:p w:rsidR="0027162D" w:rsidRDefault="0027162D" w:rsidP="00CB37FB">
      <w:pPr>
        <w:pStyle w:val="Paragraphedeliste"/>
        <w:ind w:left="2496"/>
        <w:rPr>
          <w:b/>
          <w:lang w:val="en-GB"/>
        </w:rPr>
      </w:pPr>
    </w:p>
    <w:p w:rsidR="0027162D" w:rsidRDefault="0027162D" w:rsidP="00CB37FB">
      <w:pPr>
        <w:pStyle w:val="Paragraphedeliste"/>
        <w:numPr>
          <w:ilvl w:val="0"/>
          <w:numId w:val="6"/>
        </w:numPr>
        <w:ind w:left="2496"/>
        <w:rPr>
          <w:b/>
          <w:lang w:val="en-GB"/>
        </w:rPr>
      </w:pPr>
      <w:r w:rsidRPr="0027162D">
        <w:rPr>
          <w:b/>
          <w:lang w:val="en-GB"/>
        </w:rPr>
        <w:t>REVIEW OF THE LITHIUM BATTERY MARKET (Li-M and Li-Ion)</w:t>
      </w:r>
    </w:p>
    <w:p w:rsidR="0027162D" w:rsidRDefault="0027162D" w:rsidP="00CB37FB">
      <w:pPr>
        <w:pStyle w:val="Paragraphedeliste"/>
        <w:ind w:left="3552"/>
        <w:rPr>
          <w:b/>
          <w:lang w:val="en-GB"/>
        </w:rPr>
      </w:pPr>
    </w:p>
    <w:p w:rsidR="0027162D" w:rsidRDefault="0027162D" w:rsidP="00CB37FB">
      <w:pPr>
        <w:pStyle w:val="Paragraphedeliste"/>
        <w:numPr>
          <w:ilvl w:val="0"/>
          <w:numId w:val="6"/>
        </w:numPr>
        <w:spacing w:after="160" w:line="259" w:lineRule="auto"/>
        <w:ind w:left="2496"/>
        <w:rPr>
          <w:b/>
          <w:lang w:val="en-GB"/>
        </w:rPr>
      </w:pPr>
      <w:r w:rsidRPr="0027162D">
        <w:rPr>
          <w:b/>
          <w:lang w:val="en-GB"/>
        </w:rPr>
        <w:t>LITHIUM BATTERIES and Electrical and Electronic Equipment</w:t>
      </w:r>
      <w:r>
        <w:rPr>
          <w:b/>
          <w:lang w:val="en-GB"/>
        </w:rPr>
        <w:t xml:space="preserve"> (EEE)</w:t>
      </w:r>
    </w:p>
    <w:p w:rsidR="0027162D" w:rsidRPr="0027162D" w:rsidRDefault="0027162D" w:rsidP="00CB37FB">
      <w:pPr>
        <w:pStyle w:val="Paragraphedeliste"/>
        <w:numPr>
          <w:ilvl w:val="1"/>
          <w:numId w:val="6"/>
        </w:numPr>
        <w:spacing w:after="160" w:line="259" w:lineRule="auto"/>
        <w:ind w:left="3552"/>
        <w:rPr>
          <w:b/>
          <w:lang w:val="en-GB"/>
        </w:rPr>
      </w:pPr>
      <w:r w:rsidRPr="0027162D">
        <w:rPr>
          <w:b/>
          <w:lang w:val="en-GB"/>
        </w:rPr>
        <w:t>Rechargeable Lithium-Ion Batteries in EEE</w:t>
      </w:r>
    </w:p>
    <w:p w:rsidR="0027162D" w:rsidRDefault="00E1001A" w:rsidP="00CB37FB">
      <w:pPr>
        <w:pStyle w:val="Paragraphedeliste"/>
        <w:numPr>
          <w:ilvl w:val="1"/>
          <w:numId w:val="6"/>
        </w:numPr>
        <w:spacing w:after="160" w:line="259" w:lineRule="auto"/>
        <w:ind w:left="3552"/>
        <w:rPr>
          <w:b/>
          <w:lang w:val="en-GB"/>
        </w:rPr>
      </w:pPr>
      <w:r>
        <w:rPr>
          <w:b/>
          <w:lang w:val="en-GB"/>
        </w:rPr>
        <w:t xml:space="preserve">Primary </w:t>
      </w:r>
      <w:r w:rsidR="0027162D" w:rsidRPr="0027162D">
        <w:rPr>
          <w:b/>
          <w:lang w:val="en-GB"/>
        </w:rPr>
        <w:t>Lithium</w:t>
      </w:r>
      <w:r>
        <w:rPr>
          <w:b/>
          <w:lang w:val="en-GB"/>
        </w:rPr>
        <w:t xml:space="preserve"> Metal </w:t>
      </w:r>
      <w:r w:rsidR="0027162D">
        <w:rPr>
          <w:b/>
          <w:lang w:val="en-GB"/>
        </w:rPr>
        <w:t>Batteries in EEE</w:t>
      </w:r>
    </w:p>
    <w:p w:rsidR="0027162D" w:rsidRPr="0027162D" w:rsidRDefault="0027162D" w:rsidP="00CB37FB">
      <w:pPr>
        <w:pStyle w:val="Paragraphedeliste"/>
        <w:spacing w:after="160" w:line="259" w:lineRule="auto"/>
        <w:ind w:left="3552"/>
        <w:rPr>
          <w:b/>
          <w:lang w:val="en-GB"/>
        </w:rPr>
      </w:pPr>
    </w:p>
    <w:p w:rsidR="00E1001A" w:rsidRPr="005D67A4" w:rsidRDefault="00E1001A" w:rsidP="00CB37FB">
      <w:pPr>
        <w:pStyle w:val="Paragraphedeliste"/>
        <w:numPr>
          <w:ilvl w:val="0"/>
          <w:numId w:val="6"/>
        </w:numPr>
        <w:spacing w:after="160" w:line="259" w:lineRule="auto"/>
        <w:ind w:left="2496"/>
        <w:rPr>
          <w:b/>
        </w:rPr>
      </w:pPr>
      <w:r>
        <w:rPr>
          <w:b/>
        </w:rPr>
        <w:t>LITHIUM BATTERIES WITHIN APPLICATIONS</w:t>
      </w:r>
    </w:p>
    <w:p w:rsidR="00E1001A" w:rsidRDefault="00E1001A" w:rsidP="00CB37FB">
      <w:pPr>
        <w:pStyle w:val="Paragraphedeliste"/>
        <w:spacing w:after="160" w:line="259" w:lineRule="auto"/>
        <w:ind w:left="2496"/>
        <w:rPr>
          <w:b/>
        </w:rPr>
      </w:pPr>
    </w:p>
    <w:p w:rsidR="00E1001A" w:rsidRDefault="00E1001A" w:rsidP="00CB37FB">
      <w:pPr>
        <w:pStyle w:val="Paragraphedeliste"/>
        <w:numPr>
          <w:ilvl w:val="1"/>
          <w:numId w:val="6"/>
        </w:numPr>
        <w:spacing w:after="160" w:line="259" w:lineRule="auto"/>
        <w:ind w:left="3552"/>
        <w:rPr>
          <w:b/>
        </w:rPr>
      </w:pPr>
      <w:r w:rsidRPr="00E1001A">
        <w:rPr>
          <w:b/>
        </w:rPr>
        <w:t>Rechargeable Lithium-Ion Batteries.</w:t>
      </w:r>
    </w:p>
    <w:p w:rsidR="00E1001A" w:rsidRPr="00E1001A" w:rsidRDefault="00E1001A" w:rsidP="00CB37FB">
      <w:pPr>
        <w:pStyle w:val="Paragraphedeliste"/>
        <w:numPr>
          <w:ilvl w:val="1"/>
          <w:numId w:val="6"/>
        </w:numPr>
        <w:spacing w:after="160" w:line="259" w:lineRule="auto"/>
        <w:ind w:left="3552"/>
        <w:rPr>
          <w:b/>
        </w:rPr>
      </w:pPr>
      <w:proofErr w:type="spellStart"/>
      <w:r>
        <w:rPr>
          <w:b/>
        </w:rPr>
        <w:t>Primary</w:t>
      </w:r>
      <w:proofErr w:type="spellEnd"/>
      <w:r>
        <w:rPr>
          <w:b/>
        </w:rPr>
        <w:t xml:space="preserve"> Lithium </w:t>
      </w:r>
      <w:proofErr w:type="spellStart"/>
      <w:r>
        <w:rPr>
          <w:b/>
        </w:rPr>
        <w:t>Metal</w:t>
      </w:r>
      <w:proofErr w:type="spellEnd"/>
      <w:r>
        <w:rPr>
          <w:b/>
        </w:rPr>
        <w:t xml:space="preserve"> Batteries</w:t>
      </w:r>
    </w:p>
    <w:p w:rsidR="00E1001A" w:rsidRPr="005D67A4" w:rsidRDefault="00E1001A" w:rsidP="00CB37FB">
      <w:pPr>
        <w:pStyle w:val="Paragraphedeliste"/>
        <w:spacing w:after="160" w:line="259" w:lineRule="auto"/>
        <w:ind w:left="2496"/>
        <w:rPr>
          <w:b/>
        </w:rPr>
      </w:pPr>
    </w:p>
    <w:p w:rsidR="0027162D" w:rsidRPr="0027162D" w:rsidRDefault="0027162D" w:rsidP="00CB37FB">
      <w:pPr>
        <w:pStyle w:val="Paragraphedeliste"/>
        <w:numPr>
          <w:ilvl w:val="0"/>
          <w:numId w:val="6"/>
        </w:numPr>
        <w:spacing w:after="160" w:line="259" w:lineRule="auto"/>
        <w:ind w:left="2496"/>
        <w:rPr>
          <w:b/>
          <w:lang w:val="en-GB"/>
        </w:rPr>
      </w:pPr>
      <w:r w:rsidRPr="0027162D">
        <w:rPr>
          <w:b/>
          <w:lang w:val="en-GB"/>
        </w:rPr>
        <w:t>CONCLUSIONS</w:t>
      </w:r>
    </w:p>
    <w:p w:rsidR="0027162D" w:rsidRPr="0027162D" w:rsidRDefault="0027162D">
      <w:pPr>
        <w:rPr>
          <w:b/>
          <w:lang w:val="en-GB"/>
        </w:rPr>
      </w:pPr>
    </w:p>
    <w:p w:rsidR="0027162D" w:rsidRPr="00CC7A1A" w:rsidRDefault="00CC7A1A" w:rsidP="00CC7A1A">
      <w:pPr>
        <w:jc w:val="right"/>
        <w:rPr>
          <w:b/>
          <w:lang w:val="en-GB"/>
        </w:rPr>
      </w:pPr>
      <w:r w:rsidRPr="00CC7A1A">
        <w:rPr>
          <w:b/>
          <w:lang w:val="en-GB"/>
        </w:rPr>
        <w:t>Brussels, August 21, 2015</w:t>
      </w:r>
    </w:p>
    <w:p w:rsidR="0027162D" w:rsidRPr="0027162D" w:rsidRDefault="0027162D" w:rsidP="00494A56">
      <w:pPr>
        <w:rPr>
          <w:lang w:val="en-GB"/>
        </w:rPr>
      </w:pPr>
    </w:p>
    <w:p w:rsidR="0027162D" w:rsidRDefault="0027162D" w:rsidP="00494A56">
      <w:pPr>
        <w:jc w:val="center"/>
        <w:rPr>
          <w:b/>
          <w:sz w:val="32"/>
          <w:szCs w:val="32"/>
          <w:lang w:val="en-GB"/>
        </w:rPr>
      </w:pPr>
    </w:p>
    <w:p w:rsidR="00CC7A1A" w:rsidRDefault="00CC7A1A" w:rsidP="00494A56">
      <w:pPr>
        <w:jc w:val="center"/>
        <w:rPr>
          <w:b/>
          <w:sz w:val="32"/>
          <w:szCs w:val="32"/>
          <w:lang w:val="en-GB"/>
        </w:rPr>
      </w:pPr>
    </w:p>
    <w:p w:rsidR="00494A56" w:rsidRDefault="0020480F" w:rsidP="00494A56">
      <w:pPr>
        <w:jc w:val="center"/>
        <w:rPr>
          <w:b/>
          <w:sz w:val="32"/>
          <w:szCs w:val="32"/>
          <w:lang w:val="en-GB"/>
        </w:rPr>
      </w:pPr>
      <w:r>
        <w:rPr>
          <w:b/>
          <w:sz w:val="32"/>
          <w:szCs w:val="32"/>
          <w:lang w:val="en-GB"/>
        </w:rPr>
        <w:t>Lithium Batteries contained</w:t>
      </w:r>
      <w:r w:rsidR="00494A56" w:rsidRPr="00494A56">
        <w:rPr>
          <w:b/>
          <w:sz w:val="32"/>
          <w:szCs w:val="32"/>
          <w:lang w:val="en-GB"/>
        </w:rPr>
        <w:t xml:space="preserve"> in Electrical and Electronic Equipment</w:t>
      </w:r>
    </w:p>
    <w:p w:rsidR="0043365B" w:rsidRPr="00494A56" w:rsidRDefault="0043365B" w:rsidP="00494A56">
      <w:pPr>
        <w:jc w:val="center"/>
        <w:rPr>
          <w:b/>
          <w:sz w:val="32"/>
          <w:szCs w:val="32"/>
          <w:lang w:val="en-GB"/>
        </w:rPr>
      </w:pPr>
    </w:p>
    <w:p w:rsidR="00494A56" w:rsidRPr="0027162D" w:rsidRDefault="00494A56" w:rsidP="0027162D">
      <w:pPr>
        <w:pStyle w:val="Paragraphedeliste"/>
        <w:numPr>
          <w:ilvl w:val="0"/>
          <w:numId w:val="7"/>
        </w:numPr>
        <w:spacing w:after="160" w:line="259" w:lineRule="auto"/>
        <w:rPr>
          <w:b/>
          <w:lang w:val="en-GB"/>
        </w:rPr>
      </w:pPr>
      <w:r w:rsidRPr="0027162D">
        <w:rPr>
          <w:b/>
          <w:lang w:val="en-GB"/>
        </w:rPr>
        <w:t>INTRODUCTION.</w:t>
      </w:r>
    </w:p>
    <w:p w:rsidR="0043365B" w:rsidRDefault="0043365B" w:rsidP="00494A56">
      <w:pPr>
        <w:rPr>
          <w:lang w:val="en-GB"/>
        </w:rPr>
      </w:pPr>
      <w:r w:rsidRPr="0043365B">
        <w:rPr>
          <w:lang w:val="en-GB"/>
        </w:rPr>
        <w:t>This report is aiming at responding to the request of the German Competent Authority for additional information regarding the presence of Lithium-Metal Primary (Li-M) and Lithium-Ion Rechargeable (Li-Ion) batteries in Waste Electrical and Electronic Equipment (WEEE) collected in EU in compliance with Directive 2012/19/EU.</w:t>
      </w:r>
      <w:r>
        <w:rPr>
          <w:lang w:val="en-GB"/>
        </w:rPr>
        <w:t xml:space="preserve"> </w:t>
      </w:r>
    </w:p>
    <w:p w:rsidR="00494A56" w:rsidRPr="00494A56" w:rsidRDefault="00494A56" w:rsidP="0027162D">
      <w:pPr>
        <w:pStyle w:val="Paragraphedeliste"/>
        <w:numPr>
          <w:ilvl w:val="0"/>
          <w:numId w:val="8"/>
        </w:numPr>
        <w:spacing w:after="160" w:line="259" w:lineRule="auto"/>
        <w:rPr>
          <w:lang w:val="en-GB"/>
        </w:rPr>
      </w:pPr>
      <w:r w:rsidRPr="00494A56">
        <w:rPr>
          <w:lang w:val="en-GB"/>
        </w:rPr>
        <w:t>The</w:t>
      </w:r>
      <w:r w:rsidR="00083071">
        <w:rPr>
          <w:lang w:val="en-GB"/>
        </w:rPr>
        <w:t xml:space="preserve"> report is</w:t>
      </w:r>
      <w:r w:rsidRPr="00494A56">
        <w:rPr>
          <w:lang w:val="en-GB"/>
        </w:rPr>
        <w:t xml:space="preserve"> review</w:t>
      </w:r>
      <w:r w:rsidR="00083071">
        <w:rPr>
          <w:lang w:val="en-GB"/>
        </w:rPr>
        <w:t>ing</w:t>
      </w:r>
      <w:r w:rsidRPr="00494A56">
        <w:rPr>
          <w:lang w:val="en-GB"/>
        </w:rPr>
        <w:t xml:space="preserve"> the major applications where Lithium batteries (Li-M and Li-Ion) </w:t>
      </w:r>
      <w:r w:rsidR="00083071">
        <w:rPr>
          <w:lang w:val="en-GB"/>
        </w:rPr>
        <w:t xml:space="preserve">are used and is </w:t>
      </w:r>
      <w:r w:rsidRPr="00494A56">
        <w:rPr>
          <w:lang w:val="en-GB"/>
        </w:rPr>
        <w:t>quantify</w:t>
      </w:r>
      <w:r w:rsidR="00083071">
        <w:rPr>
          <w:lang w:val="en-GB"/>
        </w:rPr>
        <w:t>ing</w:t>
      </w:r>
      <w:r w:rsidRPr="00494A56">
        <w:rPr>
          <w:lang w:val="en-GB"/>
        </w:rPr>
        <w:t xml:space="preserve"> their market volume/share by application. The data </w:t>
      </w:r>
      <w:r w:rsidR="006217EF">
        <w:rPr>
          <w:lang w:val="en-GB"/>
        </w:rPr>
        <w:t>are reported</w:t>
      </w:r>
      <w:r w:rsidRPr="00494A56">
        <w:rPr>
          <w:lang w:val="en-GB"/>
        </w:rPr>
        <w:t xml:space="preserve"> by weight and number of units.</w:t>
      </w:r>
      <w:r w:rsidR="006217EF">
        <w:rPr>
          <w:lang w:val="en-GB"/>
        </w:rPr>
        <w:t xml:space="preserve"> These represent best estimates on the basis of the information available to RECHARGE.</w:t>
      </w:r>
    </w:p>
    <w:p w:rsidR="00494A56" w:rsidRPr="00494A56" w:rsidRDefault="00494A56" w:rsidP="0027162D">
      <w:pPr>
        <w:pStyle w:val="Paragraphedeliste"/>
        <w:numPr>
          <w:ilvl w:val="0"/>
          <w:numId w:val="8"/>
        </w:numPr>
        <w:spacing w:after="160" w:line="259" w:lineRule="auto"/>
        <w:rPr>
          <w:lang w:val="en-GB"/>
        </w:rPr>
      </w:pPr>
      <w:r w:rsidRPr="00494A56">
        <w:rPr>
          <w:lang w:val="en-GB"/>
        </w:rPr>
        <w:t>The technical chara</w:t>
      </w:r>
      <w:r w:rsidR="0027162D">
        <w:rPr>
          <w:lang w:val="en-GB"/>
        </w:rPr>
        <w:t>cteristics of the battery by</w:t>
      </w:r>
      <w:r w:rsidRPr="00494A56">
        <w:rPr>
          <w:lang w:val="en-GB"/>
        </w:rPr>
        <w:t xml:space="preserve"> application range </w:t>
      </w:r>
      <w:r w:rsidR="006217EF">
        <w:rPr>
          <w:lang w:val="en-GB"/>
        </w:rPr>
        <w:t>are described</w:t>
      </w:r>
      <w:r w:rsidRPr="00494A56">
        <w:rPr>
          <w:lang w:val="en-GB"/>
        </w:rPr>
        <w:t>: energy, voltage, capacity, Lithium content…</w:t>
      </w:r>
    </w:p>
    <w:p w:rsidR="00494A56" w:rsidRPr="00494A56" w:rsidRDefault="00494A56" w:rsidP="0027162D">
      <w:pPr>
        <w:pStyle w:val="Paragraphedeliste"/>
        <w:numPr>
          <w:ilvl w:val="0"/>
          <w:numId w:val="8"/>
        </w:numPr>
        <w:spacing w:after="160" w:line="259" w:lineRule="auto"/>
        <w:rPr>
          <w:lang w:val="en-GB"/>
        </w:rPr>
      </w:pPr>
      <w:r w:rsidRPr="00494A56">
        <w:rPr>
          <w:lang w:val="en-GB"/>
        </w:rPr>
        <w:t>An estimation of the ratio by weight between the b</w:t>
      </w:r>
      <w:r w:rsidR="006217EF">
        <w:rPr>
          <w:lang w:val="en-GB"/>
        </w:rPr>
        <w:t>attery and the equipment is</w:t>
      </w:r>
      <w:r w:rsidRPr="00494A56">
        <w:rPr>
          <w:lang w:val="en-GB"/>
        </w:rPr>
        <w:t xml:space="preserve"> presented</w:t>
      </w:r>
      <w:r w:rsidR="00A84AEF">
        <w:rPr>
          <w:lang w:val="en-GB"/>
        </w:rPr>
        <w:t xml:space="preserve"> in Tables 4 &amp; 5</w:t>
      </w:r>
      <w:r w:rsidRPr="00494A56">
        <w:rPr>
          <w:lang w:val="en-GB"/>
        </w:rPr>
        <w:t>.</w:t>
      </w:r>
    </w:p>
    <w:p w:rsidR="000D505C" w:rsidRDefault="00494A56" w:rsidP="0027162D">
      <w:pPr>
        <w:pStyle w:val="Paragraphedeliste"/>
        <w:numPr>
          <w:ilvl w:val="0"/>
          <w:numId w:val="8"/>
        </w:numPr>
        <w:spacing w:after="160" w:line="259" w:lineRule="auto"/>
        <w:rPr>
          <w:lang w:val="en-GB"/>
        </w:rPr>
      </w:pPr>
      <w:r w:rsidRPr="00494A56">
        <w:rPr>
          <w:lang w:val="en-GB"/>
        </w:rPr>
        <w:t>The conclusions are drafted based on this information with consideration</w:t>
      </w:r>
      <w:r w:rsidR="000D505C">
        <w:rPr>
          <w:lang w:val="en-GB"/>
        </w:rPr>
        <w:t>s,</w:t>
      </w:r>
    </w:p>
    <w:p w:rsidR="000D505C" w:rsidRDefault="000D505C" w:rsidP="0027162D">
      <w:pPr>
        <w:pStyle w:val="Paragraphedeliste"/>
        <w:numPr>
          <w:ilvl w:val="1"/>
          <w:numId w:val="8"/>
        </w:numPr>
        <w:spacing w:after="160" w:line="259" w:lineRule="auto"/>
        <w:rPr>
          <w:lang w:val="en-GB"/>
        </w:rPr>
      </w:pPr>
      <w:r>
        <w:rPr>
          <w:lang w:val="en-GB"/>
        </w:rPr>
        <w:t>to the ratio of Lithium-batteries in collected WEEE, and</w:t>
      </w:r>
    </w:p>
    <w:p w:rsidR="00494A56" w:rsidRDefault="000D505C" w:rsidP="0027162D">
      <w:pPr>
        <w:pStyle w:val="Paragraphedeliste"/>
        <w:numPr>
          <w:ilvl w:val="1"/>
          <w:numId w:val="8"/>
        </w:numPr>
        <w:spacing w:after="160" w:line="259" w:lineRule="auto"/>
        <w:rPr>
          <w:lang w:val="en-GB"/>
        </w:rPr>
      </w:pPr>
      <w:proofErr w:type="gramStart"/>
      <w:r>
        <w:rPr>
          <w:lang w:val="en-GB"/>
        </w:rPr>
        <w:t>to</w:t>
      </w:r>
      <w:proofErr w:type="gramEnd"/>
      <w:r>
        <w:rPr>
          <w:lang w:val="en-GB"/>
        </w:rPr>
        <w:t xml:space="preserve"> </w:t>
      </w:r>
      <w:r w:rsidR="00494A56" w:rsidRPr="00494A56">
        <w:rPr>
          <w:lang w:val="en-GB"/>
        </w:rPr>
        <w:t xml:space="preserve">the </w:t>
      </w:r>
      <w:r>
        <w:rPr>
          <w:lang w:val="en-GB"/>
        </w:rPr>
        <w:t xml:space="preserve">types of </w:t>
      </w:r>
      <w:r w:rsidR="00494A56" w:rsidRPr="00494A56">
        <w:rPr>
          <w:lang w:val="en-GB"/>
        </w:rPr>
        <w:t xml:space="preserve">WEEE </w:t>
      </w:r>
      <w:r>
        <w:rPr>
          <w:lang w:val="en-GB"/>
        </w:rPr>
        <w:t xml:space="preserve">streams </w:t>
      </w:r>
      <w:r w:rsidR="00494A56" w:rsidRPr="00494A56">
        <w:rPr>
          <w:lang w:val="en-GB"/>
        </w:rPr>
        <w:t>that</w:t>
      </w:r>
      <w:r>
        <w:rPr>
          <w:lang w:val="en-GB"/>
        </w:rPr>
        <w:t xml:space="preserve"> ne</w:t>
      </w:r>
      <w:r w:rsidR="00A84AEF">
        <w:rPr>
          <w:lang w:val="en-GB"/>
        </w:rPr>
        <w:t xml:space="preserve">ed to receive particular </w:t>
      </w:r>
      <w:r>
        <w:rPr>
          <w:lang w:val="en-GB"/>
        </w:rPr>
        <w:t xml:space="preserve">attention </w:t>
      </w:r>
      <w:r w:rsidR="00A84AEF">
        <w:rPr>
          <w:lang w:val="en-GB"/>
        </w:rPr>
        <w:t xml:space="preserve">on a safety point of view </w:t>
      </w:r>
      <w:r>
        <w:rPr>
          <w:lang w:val="en-GB"/>
        </w:rPr>
        <w:t>or that can be relaxed from the most stringent requirements.</w:t>
      </w:r>
    </w:p>
    <w:p w:rsidR="00494A56" w:rsidRPr="00494A56" w:rsidRDefault="00494A56" w:rsidP="00494A56">
      <w:pPr>
        <w:rPr>
          <w:lang w:val="en-GB"/>
        </w:rPr>
      </w:pPr>
    </w:p>
    <w:p w:rsidR="00494A56" w:rsidRDefault="00494A56" w:rsidP="0027162D">
      <w:pPr>
        <w:pStyle w:val="Paragraphedeliste"/>
        <w:numPr>
          <w:ilvl w:val="0"/>
          <w:numId w:val="7"/>
        </w:numPr>
        <w:spacing w:after="160" w:line="259" w:lineRule="auto"/>
        <w:rPr>
          <w:b/>
          <w:lang w:val="en-GB"/>
        </w:rPr>
      </w:pPr>
      <w:r w:rsidRPr="00494A56">
        <w:rPr>
          <w:b/>
          <w:lang w:val="en-GB"/>
        </w:rPr>
        <w:t>REVIEW OF TH</w:t>
      </w:r>
      <w:r w:rsidR="000D505C">
        <w:rPr>
          <w:b/>
          <w:lang w:val="en-GB"/>
        </w:rPr>
        <w:t>E</w:t>
      </w:r>
      <w:r w:rsidRPr="00494A56">
        <w:rPr>
          <w:b/>
          <w:lang w:val="en-GB"/>
        </w:rPr>
        <w:t xml:space="preserve"> LITHIUM BATTERY MARKET (Li-M and Li-Ion).</w:t>
      </w:r>
    </w:p>
    <w:p w:rsidR="0043365B" w:rsidRPr="00494A56" w:rsidRDefault="0043365B" w:rsidP="0043365B">
      <w:pPr>
        <w:pStyle w:val="Paragraphedeliste"/>
        <w:spacing w:after="160" w:line="259" w:lineRule="auto"/>
        <w:rPr>
          <w:b/>
          <w:lang w:val="en-GB"/>
        </w:rPr>
      </w:pPr>
    </w:p>
    <w:p w:rsidR="00494A56" w:rsidRPr="00494A56" w:rsidRDefault="00494A56" w:rsidP="00494A56">
      <w:pPr>
        <w:rPr>
          <w:lang w:val="en-GB"/>
        </w:rPr>
      </w:pPr>
      <w:r w:rsidRPr="00494A56">
        <w:rPr>
          <w:lang w:val="en-GB"/>
        </w:rPr>
        <w:t xml:space="preserve">The market for </w:t>
      </w:r>
      <w:r w:rsidR="000D19D4">
        <w:rPr>
          <w:lang w:val="en-GB"/>
        </w:rPr>
        <w:t>Primary Lithium-Metal</w:t>
      </w:r>
      <w:r w:rsidRPr="00494A56">
        <w:rPr>
          <w:lang w:val="en-GB"/>
        </w:rPr>
        <w:t xml:space="preserve"> (Li-M) and </w:t>
      </w:r>
      <w:r w:rsidR="000D19D4">
        <w:rPr>
          <w:lang w:val="en-GB"/>
        </w:rPr>
        <w:t>Rechargeable Lithium-Ion</w:t>
      </w:r>
      <w:r w:rsidRPr="00494A56">
        <w:rPr>
          <w:lang w:val="en-GB"/>
        </w:rPr>
        <w:t xml:space="preserve"> (Li-Ion) </w:t>
      </w:r>
      <w:r w:rsidR="006217EF">
        <w:rPr>
          <w:lang w:val="en-GB"/>
        </w:rPr>
        <w:t xml:space="preserve">batteries </w:t>
      </w:r>
      <w:r w:rsidRPr="00494A56">
        <w:rPr>
          <w:lang w:val="en-GB"/>
        </w:rPr>
        <w:t xml:space="preserve">has been estimated on the basis of data published on the energy content of batteries </w:t>
      </w:r>
      <w:r w:rsidR="00DC19D0">
        <w:rPr>
          <w:lang w:val="en-GB"/>
        </w:rPr>
        <w:t xml:space="preserve">produced and </w:t>
      </w:r>
      <w:r w:rsidRPr="00494A56">
        <w:rPr>
          <w:lang w:val="en-GB"/>
        </w:rPr>
        <w:t>sold per specific application and from number of cells or batteries sold in the world</w:t>
      </w:r>
      <w:r>
        <w:rPr>
          <w:rStyle w:val="Appelnotedebasdep"/>
        </w:rPr>
        <w:footnoteReference w:id="1"/>
      </w:r>
      <w:r w:rsidRPr="00494A56">
        <w:rPr>
          <w:lang w:val="en-GB"/>
        </w:rPr>
        <w:t>. It includes also an estimation of the market share of Europe per application. When available, the sales of equipment containing Lithium batteries are considered together with an average weight of the battery for a given application.</w:t>
      </w:r>
    </w:p>
    <w:p w:rsidR="00472D8F" w:rsidRDefault="00494A56" w:rsidP="00494A56">
      <w:pPr>
        <w:rPr>
          <w:lang w:val="en-GB"/>
        </w:rPr>
      </w:pPr>
      <w:r w:rsidRPr="00494A56">
        <w:rPr>
          <w:lang w:val="en-GB"/>
        </w:rPr>
        <w:t xml:space="preserve">Figure 1A indicates the major applications where </w:t>
      </w:r>
      <w:r w:rsidRPr="00472D8F">
        <w:rPr>
          <w:b/>
          <w:lang w:val="en-GB"/>
        </w:rPr>
        <w:t>Lithium-Ion Batteries</w:t>
      </w:r>
      <w:r w:rsidRPr="00494A56">
        <w:rPr>
          <w:lang w:val="en-GB"/>
        </w:rPr>
        <w:t xml:space="preserve"> are “Placed on the Market”. The data are presented as the yearly weight o</w:t>
      </w:r>
      <w:r w:rsidR="00472D8F">
        <w:rPr>
          <w:lang w:val="en-GB"/>
        </w:rPr>
        <w:t>f batteries sold per</w:t>
      </w:r>
      <w:r w:rsidR="006217EF">
        <w:rPr>
          <w:lang w:val="en-GB"/>
        </w:rPr>
        <w:t xml:space="preserve"> application</w:t>
      </w:r>
      <w:r w:rsidRPr="00494A56">
        <w:rPr>
          <w:lang w:val="en-GB"/>
        </w:rPr>
        <w:t xml:space="preserve">. Indeed, more than 90% </w:t>
      </w:r>
      <w:r w:rsidRPr="00494A56">
        <w:rPr>
          <w:lang w:val="en-GB"/>
        </w:rPr>
        <w:lastRenderedPageBreak/>
        <w:t>of these batteries are purchased with the battery incorporated in the appliance or pack</w:t>
      </w:r>
      <w:r w:rsidR="006217EF">
        <w:rPr>
          <w:lang w:val="en-GB"/>
        </w:rPr>
        <w:t>ed with the appliance</w:t>
      </w:r>
      <w:r w:rsidRPr="00494A56">
        <w:rPr>
          <w:lang w:val="en-GB"/>
        </w:rPr>
        <w:t>. It is estimated that the repl</w:t>
      </w:r>
      <w:r w:rsidR="00472D8F">
        <w:rPr>
          <w:lang w:val="en-GB"/>
        </w:rPr>
        <w:t>acement market is approximately</w:t>
      </w:r>
      <w:r w:rsidRPr="00494A56">
        <w:rPr>
          <w:lang w:val="en-GB"/>
        </w:rPr>
        <w:t xml:space="preserve"> 10% of the total market for </w:t>
      </w:r>
    </w:p>
    <w:p w:rsidR="00472D8F" w:rsidRDefault="00472D8F" w:rsidP="00494A56">
      <w:pPr>
        <w:rPr>
          <w:lang w:val="en-GB"/>
        </w:rPr>
      </w:pPr>
    </w:p>
    <w:p w:rsidR="00472D8F" w:rsidRDefault="00472D8F" w:rsidP="00494A56">
      <w:pPr>
        <w:rPr>
          <w:lang w:val="en-GB"/>
        </w:rPr>
      </w:pPr>
    </w:p>
    <w:p w:rsidR="00494A56" w:rsidRPr="00494A56" w:rsidRDefault="00494A56" w:rsidP="00494A56">
      <w:pPr>
        <w:rPr>
          <w:lang w:val="en-GB"/>
        </w:rPr>
      </w:pPr>
      <w:r w:rsidRPr="00494A56">
        <w:rPr>
          <w:lang w:val="en-GB"/>
        </w:rPr>
        <w:t>Li-Ion</w:t>
      </w:r>
      <w:r w:rsidR="006217EF">
        <w:rPr>
          <w:lang w:val="en-GB"/>
        </w:rPr>
        <w:t xml:space="preserve"> batteries </w:t>
      </w:r>
      <w:r w:rsidR="000D19D4">
        <w:rPr>
          <w:lang w:val="en-GB"/>
        </w:rPr>
        <w:t>design for a specific</w:t>
      </w:r>
      <w:r w:rsidRPr="00494A56">
        <w:rPr>
          <w:lang w:val="en-GB"/>
        </w:rPr>
        <w:t xml:space="preserve"> equipment. </w:t>
      </w:r>
      <w:r w:rsidR="000D19D4">
        <w:rPr>
          <w:lang w:val="en-GB"/>
        </w:rPr>
        <w:t>From a total of 65’6</w:t>
      </w:r>
      <w:r w:rsidR="00472D8F">
        <w:rPr>
          <w:lang w:val="en-GB"/>
        </w:rPr>
        <w:t xml:space="preserve">00 Tonnes, the large majority of these batteries </w:t>
      </w:r>
      <w:proofErr w:type="gramStart"/>
      <w:r w:rsidR="00472D8F">
        <w:rPr>
          <w:lang w:val="en-GB"/>
        </w:rPr>
        <w:t>is</w:t>
      </w:r>
      <w:proofErr w:type="gramEnd"/>
      <w:r w:rsidR="00472D8F">
        <w:rPr>
          <w:lang w:val="en-GB"/>
        </w:rPr>
        <w:t xml:space="preserve"> placed on the market in communication equipment, cordless Tools and mobility applications. When the number of batteries placed on the market is considered, the communication equipment t</w:t>
      </w:r>
      <w:r w:rsidR="000D19D4">
        <w:rPr>
          <w:lang w:val="en-GB"/>
        </w:rPr>
        <w:t>akes 90 % of the market by weight</w:t>
      </w:r>
      <w:r w:rsidR="00472D8F">
        <w:rPr>
          <w:lang w:val="en-GB"/>
        </w:rPr>
        <w:t>.</w:t>
      </w:r>
    </w:p>
    <w:p w:rsidR="00472D8F" w:rsidRPr="00494A56" w:rsidRDefault="00494A56" w:rsidP="00472D8F">
      <w:pPr>
        <w:rPr>
          <w:lang w:val="en-GB"/>
        </w:rPr>
      </w:pPr>
      <w:r w:rsidRPr="00494A56">
        <w:rPr>
          <w:lang w:val="en-GB"/>
        </w:rPr>
        <w:t>Figure 1B indicates the market for</w:t>
      </w:r>
      <w:r w:rsidR="006217EF">
        <w:rPr>
          <w:lang w:val="en-GB"/>
        </w:rPr>
        <w:t xml:space="preserve"> Li-Ion batteries by units </w:t>
      </w:r>
      <w:r w:rsidRPr="00494A56">
        <w:rPr>
          <w:lang w:val="en-GB"/>
        </w:rPr>
        <w:t>per year.</w:t>
      </w:r>
      <w:r w:rsidR="00472D8F" w:rsidRPr="00472D8F">
        <w:rPr>
          <w:lang w:val="en-GB"/>
        </w:rPr>
        <w:t xml:space="preserve"> </w:t>
      </w:r>
      <w:r w:rsidR="00472D8F">
        <w:rPr>
          <w:lang w:val="en-GB"/>
        </w:rPr>
        <w:t>As shown on this Figure, when the number of batteries placed on the market is considered, the communication equi</w:t>
      </w:r>
      <w:r w:rsidR="000D19D4">
        <w:rPr>
          <w:lang w:val="en-GB"/>
        </w:rPr>
        <w:t xml:space="preserve">pment takes 90 % of the market </w:t>
      </w:r>
      <w:r w:rsidR="00472D8F">
        <w:rPr>
          <w:lang w:val="en-GB"/>
        </w:rPr>
        <w:t>by unit.</w:t>
      </w:r>
    </w:p>
    <w:p w:rsidR="00494A56" w:rsidRPr="00494A56" w:rsidRDefault="00494A56" w:rsidP="00494A56">
      <w:pPr>
        <w:rPr>
          <w:lang w:val="en-GB"/>
        </w:rPr>
      </w:pPr>
    </w:p>
    <w:p w:rsidR="00472D8F" w:rsidRDefault="00494A56" w:rsidP="00472D8F">
      <w:pPr>
        <w:rPr>
          <w:lang w:val="en-GB"/>
        </w:rPr>
      </w:pPr>
      <w:r w:rsidRPr="00494A56">
        <w:rPr>
          <w:lang w:val="en-GB"/>
        </w:rPr>
        <w:t xml:space="preserve">Figure 2A indicates the estimated quantities by weight of </w:t>
      </w:r>
      <w:r w:rsidR="000D19D4" w:rsidRPr="000D19D4">
        <w:rPr>
          <w:b/>
          <w:lang w:val="en-GB"/>
        </w:rPr>
        <w:t>Primary</w:t>
      </w:r>
      <w:r w:rsidR="000D19D4">
        <w:rPr>
          <w:lang w:val="en-GB"/>
        </w:rPr>
        <w:t xml:space="preserve"> </w:t>
      </w:r>
      <w:r w:rsidRPr="00472D8F">
        <w:rPr>
          <w:b/>
          <w:lang w:val="en-GB"/>
        </w:rPr>
        <w:t>Lithium</w:t>
      </w:r>
      <w:r w:rsidR="00472D8F">
        <w:rPr>
          <w:b/>
          <w:lang w:val="en-GB"/>
        </w:rPr>
        <w:t>-Metal</w:t>
      </w:r>
      <w:r w:rsidR="000D19D4">
        <w:rPr>
          <w:b/>
          <w:lang w:val="en-GB"/>
        </w:rPr>
        <w:t xml:space="preserve"> </w:t>
      </w:r>
      <w:r w:rsidRPr="00472D8F">
        <w:rPr>
          <w:b/>
          <w:lang w:val="en-GB"/>
        </w:rPr>
        <w:t>batteries</w:t>
      </w:r>
      <w:r w:rsidRPr="00494A56">
        <w:rPr>
          <w:lang w:val="en-GB"/>
        </w:rPr>
        <w:t xml:space="preserve"> Placed on the Market yearly in Europe. The data refers to year 2013. For these batteries, there is a replacement market in addition to the first sales market. The Data are obtained from a Frost and Sullivan Market Survey</w:t>
      </w:r>
      <w:r>
        <w:rPr>
          <w:rStyle w:val="Appelnotedebasdep"/>
        </w:rPr>
        <w:footnoteReference w:id="2"/>
      </w:r>
      <w:r w:rsidRPr="00494A56">
        <w:rPr>
          <w:lang w:val="en-GB"/>
        </w:rPr>
        <w:t xml:space="preserve"> and have been checked internally with RECHARGE’s Members. </w:t>
      </w:r>
      <w:r w:rsidR="00472D8F">
        <w:rPr>
          <w:lang w:val="en-GB"/>
        </w:rPr>
        <w:t xml:space="preserve">Figure 2A indicates that the dominant </w:t>
      </w:r>
      <w:proofErr w:type="gramStart"/>
      <w:r w:rsidR="00472D8F">
        <w:rPr>
          <w:lang w:val="en-GB"/>
        </w:rPr>
        <w:t>technology are</w:t>
      </w:r>
      <w:proofErr w:type="gramEnd"/>
      <w:r w:rsidR="00472D8F">
        <w:rPr>
          <w:lang w:val="en-GB"/>
        </w:rPr>
        <w:t xml:space="preserve"> the Li-MnO2 and the Li-SOCL2 systems. </w:t>
      </w:r>
    </w:p>
    <w:p w:rsidR="00494A56" w:rsidRDefault="00494A56" w:rsidP="00494A56">
      <w:pPr>
        <w:rPr>
          <w:lang w:val="en-GB"/>
        </w:rPr>
      </w:pPr>
      <w:r w:rsidRPr="00494A56">
        <w:rPr>
          <w:lang w:val="en-GB"/>
        </w:rPr>
        <w:t>Figure 2B indicates the market for Li-Metal Primary batteries by units sold per year.</w:t>
      </w:r>
      <w:r w:rsidR="00472D8F">
        <w:rPr>
          <w:lang w:val="en-GB"/>
        </w:rPr>
        <w:t xml:space="preserve"> In this case, the Li-MnO2 system dominates the market.</w:t>
      </w:r>
    </w:p>
    <w:p w:rsidR="0043365B" w:rsidRDefault="0043365B">
      <w:pPr>
        <w:rPr>
          <w:lang w:val="en-GB"/>
        </w:rPr>
      </w:pPr>
      <w:r>
        <w:rPr>
          <w:lang w:val="en-GB"/>
        </w:rPr>
        <w:br w:type="page"/>
      </w:r>
    </w:p>
    <w:p w:rsidR="0043365B" w:rsidRPr="00494A56" w:rsidRDefault="0043365B" w:rsidP="00494A56">
      <w:pPr>
        <w:rPr>
          <w:lang w:val="en-GB"/>
        </w:rPr>
      </w:pPr>
    </w:p>
    <w:p w:rsidR="006217EF" w:rsidRPr="00494A56" w:rsidRDefault="004009C3" w:rsidP="00494A56">
      <w:pPr>
        <w:rPr>
          <w:lang w:val="en-GB"/>
        </w:rPr>
      </w:pPr>
      <w:r>
        <w:rPr>
          <w:noProof/>
          <w:lang w:val="fr-FR" w:eastAsia="fr-FR"/>
        </w:rPr>
        <w:drawing>
          <wp:inline distT="0" distB="0" distL="0" distR="0">
            <wp:extent cx="5760720" cy="2400300"/>
            <wp:effectExtent l="0" t="0" r="11430" b="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94A56" w:rsidRDefault="00494A56" w:rsidP="00494A56">
      <w:pPr>
        <w:jc w:val="center"/>
      </w:pPr>
    </w:p>
    <w:p w:rsidR="000D505C" w:rsidRDefault="00494A56" w:rsidP="000D505C">
      <w:pPr>
        <w:spacing w:after="0"/>
        <w:jc w:val="center"/>
        <w:rPr>
          <w:b/>
          <w:lang w:val="en-GB"/>
        </w:rPr>
      </w:pPr>
      <w:proofErr w:type="gramStart"/>
      <w:r w:rsidRPr="00494A56">
        <w:rPr>
          <w:b/>
          <w:lang w:val="en-GB"/>
        </w:rPr>
        <w:t>FIGURE 1 A.</w:t>
      </w:r>
      <w:proofErr w:type="gramEnd"/>
      <w:r w:rsidRPr="00494A56">
        <w:rPr>
          <w:b/>
          <w:lang w:val="en-GB"/>
        </w:rPr>
        <w:t xml:space="preserve"> </w:t>
      </w:r>
    </w:p>
    <w:p w:rsidR="00494A56" w:rsidRPr="00494A56" w:rsidRDefault="00494A56" w:rsidP="000D505C">
      <w:pPr>
        <w:spacing w:after="0"/>
        <w:jc w:val="center"/>
        <w:rPr>
          <w:b/>
          <w:lang w:val="en-GB"/>
        </w:rPr>
      </w:pPr>
      <w:proofErr w:type="gramStart"/>
      <w:r w:rsidRPr="00494A56">
        <w:rPr>
          <w:b/>
          <w:lang w:val="en-GB"/>
        </w:rPr>
        <w:t>Estimation of the Lithium-Ion Rechargeable Battery market in Europe (2013-2014 estimates)</w:t>
      </w:r>
      <w:r w:rsidR="006217EF">
        <w:rPr>
          <w:b/>
          <w:lang w:val="en-GB"/>
        </w:rPr>
        <w:t>.</w:t>
      </w:r>
      <w:proofErr w:type="gramEnd"/>
      <w:r w:rsidR="006217EF">
        <w:rPr>
          <w:b/>
          <w:lang w:val="en-GB"/>
        </w:rPr>
        <w:t xml:space="preserve"> Data </w:t>
      </w:r>
      <w:r w:rsidRPr="00494A56">
        <w:rPr>
          <w:b/>
          <w:lang w:val="en-GB"/>
        </w:rPr>
        <w:t>by Weight</w:t>
      </w:r>
      <w:r w:rsidR="006217EF">
        <w:rPr>
          <w:b/>
          <w:lang w:val="en-GB"/>
        </w:rPr>
        <w:t xml:space="preserve"> per Application</w:t>
      </w:r>
      <w:r w:rsidRPr="00494A56">
        <w:rPr>
          <w:b/>
          <w:lang w:val="en-GB"/>
        </w:rPr>
        <w:t xml:space="preserve">: </w:t>
      </w:r>
      <w:r w:rsidR="004009C3">
        <w:rPr>
          <w:b/>
          <w:lang w:val="en-GB"/>
        </w:rPr>
        <w:t>Total of 65’6</w:t>
      </w:r>
      <w:r w:rsidR="009D325A">
        <w:rPr>
          <w:b/>
          <w:lang w:val="en-GB"/>
        </w:rPr>
        <w:t>8</w:t>
      </w:r>
      <w:r w:rsidR="004009C3">
        <w:rPr>
          <w:b/>
          <w:lang w:val="en-GB"/>
        </w:rPr>
        <w:t>3</w:t>
      </w:r>
      <w:r w:rsidRPr="00494A56">
        <w:rPr>
          <w:b/>
          <w:lang w:val="en-GB"/>
        </w:rPr>
        <w:t xml:space="preserve"> Tonnes of </w:t>
      </w:r>
      <w:r w:rsidR="006217EF">
        <w:rPr>
          <w:b/>
          <w:lang w:val="en-GB"/>
        </w:rPr>
        <w:t>Li</w:t>
      </w:r>
      <w:r w:rsidRPr="00494A56">
        <w:rPr>
          <w:b/>
          <w:lang w:val="en-GB"/>
        </w:rPr>
        <w:t>-Ion batteries per year.</w:t>
      </w:r>
    </w:p>
    <w:p w:rsidR="00494A56" w:rsidRPr="00494A56" w:rsidRDefault="00494A56" w:rsidP="00494A56">
      <w:pPr>
        <w:rPr>
          <w:lang w:val="en-GB"/>
        </w:rPr>
      </w:pPr>
    </w:p>
    <w:p w:rsidR="00494A56" w:rsidRDefault="00CC7B20" w:rsidP="00494A56">
      <w:r>
        <w:rPr>
          <w:noProof/>
          <w:lang w:val="fr-FR" w:eastAsia="fr-FR"/>
        </w:rPr>
        <w:drawing>
          <wp:inline distT="0" distB="0" distL="0" distR="0">
            <wp:extent cx="5760720" cy="3157220"/>
            <wp:effectExtent l="0" t="0" r="11430" b="5080"/>
            <wp:docPr id="11"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94A56" w:rsidRDefault="00494A56" w:rsidP="000D505C">
      <w:pPr>
        <w:spacing w:after="0"/>
      </w:pPr>
    </w:p>
    <w:p w:rsidR="00494A56" w:rsidRPr="00494A56" w:rsidRDefault="00494A56" w:rsidP="000D505C">
      <w:pPr>
        <w:spacing w:after="0"/>
        <w:jc w:val="center"/>
        <w:rPr>
          <w:b/>
          <w:lang w:val="en-GB"/>
        </w:rPr>
      </w:pPr>
      <w:r w:rsidRPr="00494A56">
        <w:rPr>
          <w:b/>
          <w:lang w:val="en-GB"/>
        </w:rPr>
        <w:t xml:space="preserve">FIGURE 1 B. </w:t>
      </w:r>
    </w:p>
    <w:p w:rsidR="000D505C" w:rsidRDefault="00494A56" w:rsidP="000D505C">
      <w:pPr>
        <w:spacing w:after="0" w:line="240" w:lineRule="auto"/>
        <w:jc w:val="center"/>
        <w:rPr>
          <w:b/>
          <w:lang w:val="en-GB"/>
        </w:rPr>
      </w:pPr>
      <w:proofErr w:type="gramStart"/>
      <w:r w:rsidRPr="00494A56">
        <w:rPr>
          <w:b/>
          <w:lang w:val="en-GB"/>
        </w:rPr>
        <w:t xml:space="preserve">Estimation of the </w:t>
      </w:r>
      <w:r w:rsidR="000D505C">
        <w:rPr>
          <w:b/>
          <w:lang w:val="en-GB"/>
        </w:rPr>
        <w:t>Li-Ion</w:t>
      </w:r>
      <w:r w:rsidRPr="00494A56">
        <w:rPr>
          <w:b/>
          <w:lang w:val="en-GB"/>
        </w:rPr>
        <w:t xml:space="preserve"> Battery market in Europe (2013-2014 estimates)</w:t>
      </w:r>
      <w:r w:rsidR="000D505C">
        <w:rPr>
          <w:b/>
          <w:lang w:val="en-GB"/>
        </w:rPr>
        <w:t>.</w:t>
      </w:r>
      <w:proofErr w:type="gramEnd"/>
      <w:r w:rsidR="000D505C">
        <w:rPr>
          <w:b/>
          <w:lang w:val="en-GB"/>
        </w:rPr>
        <w:t xml:space="preserve"> </w:t>
      </w:r>
    </w:p>
    <w:p w:rsidR="00494A56" w:rsidRDefault="00494A56" w:rsidP="000D505C">
      <w:pPr>
        <w:spacing w:after="0" w:line="240" w:lineRule="auto"/>
        <w:jc w:val="center"/>
        <w:rPr>
          <w:b/>
          <w:lang w:val="en-GB"/>
        </w:rPr>
      </w:pPr>
      <w:r w:rsidRPr="00494A56">
        <w:rPr>
          <w:b/>
          <w:lang w:val="en-GB"/>
        </w:rPr>
        <w:t>Data presented in Number of Units (Million) per application</w:t>
      </w:r>
      <w:r w:rsidR="0043365B">
        <w:rPr>
          <w:b/>
          <w:lang w:val="en-GB"/>
        </w:rPr>
        <w:t>.</w:t>
      </w:r>
    </w:p>
    <w:p w:rsidR="0043365B" w:rsidRDefault="0043365B" w:rsidP="000D505C">
      <w:pPr>
        <w:spacing w:after="0" w:line="240" w:lineRule="auto"/>
        <w:jc w:val="center"/>
        <w:rPr>
          <w:b/>
          <w:lang w:val="en-GB"/>
        </w:rPr>
      </w:pPr>
    </w:p>
    <w:p w:rsidR="0043365B" w:rsidRDefault="0043365B" w:rsidP="000D505C">
      <w:pPr>
        <w:spacing w:after="0" w:line="240" w:lineRule="auto"/>
        <w:jc w:val="center"/>
        <w:rPr>
          <w:b/>
          <w:lang w:val="en-GB"/>
        </w:rPr>
      </w:pPr>
    </w:p>
    <w:p w:rsidR="0043365B" w:rsidRDefault="0043365B" w:rsidP="000D505C">
      <w:pPr>
        <w:spacing w:after="0" w:line="240" w:lineRule="auto"/>
        <w:jc w:val="center"/>
        <w:rPr>
          <w:b/>
          <w:lang w:val="en-GB"/>
        </w:rPr>
      </w:pPr>
    </w:p>
    <w:p w:rsidR="0043365B" w:rsidRDefault="0043365B" w:rsidP="000D505C">
      <w:pPr>
        <w:spacing w:after="0" w:line="240" w:lineRule="auto"/>
        <w:jc w:val="center"/>
        <w:rPr>
          <w:b/>
          <w:lang w:val="en-GB"/>
        </w:rPr>
      </w:pPr>
    </w:p>
    <w:p w:rsidR="0043365B" w:rsidRDefault="0043365B" w:rsidP="000D505C">
      <w:pPr>
        <w:spacing w:after="0" w:line="240" w:lineRule="auto"/>
        <w:jc w:val="center"/>
        <w:rPr>
          <w:b/>
          <w:lang w:val="en-GB"/>
        </w:rPr>
      </w:pPr>
    </w:p>
    <w:p w:rsidR="0043365B" w:rsidRDefault="0043365B" w:rsidP="000D505C">
      <w:pPr>
        <w:spacing w:after="0" w:line="240" w:lineRule="auto"/>
        <w:jc w:val="center"/>
        <w:rPr>
          <w:b/>
          <w:lang w:val="en-GB"/>
        </w:rPr>
      </w:pPr>
    </w:p>
    <w:p w:rsidR="00494A56" w:rsidRDefault="00494A56" w:rsidP="0043365B">
      <w:pPr>
        <w:jc w:val="center"/>
      </w:pPr>
      <w:r>
        <w:rPr>
          <w:noProof/>
          <w:lang w:val="fr-FR" w:eastAsia="fr-FR"/>
        </w:rPr>
        <w:drawing>
          <wp:inline distT="0" distB="0" distL="0" distR="0">
            <wp:extent cx="4267200" cy="2671011"/>
            <wp:effectExtent l="0" t="0" r="0" b="1524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D505C" w:rsidRDefault="00494A56" w:rsidP="000D505C">
      <w:pPr>
        <w:spacing w:after="0" w:line="240" w:lineRule="auto"/>
        <w:jc w:val="center"/>
        <w:rPr>
          <w:b/>
          <w:lang w:val="en-GB"/>
        </w:rPr>
      </w:pPr>
      <w:proofErr w:type="gramStart"/>
      <w:r w:rsidRPr="00494A56">
        <w:rPr>
          <w:b/>
          <w:lang w:val="en-GB"/>
        </w:rPr>
        <w:t>FIGURE 2 A.</w:t>
      </w:r>
      <w:proofErr w:type="gramEnd"/>
      <w:r w:rsidRPr="00494A56">
        <w:rPr>
          <w:b/>
          <w:lang w:val="en-GB"/>
        </w:rPr>
        <w:t xml:space="preserve"> </w:t>
      </w:r>
    </w:p>
    <w:p w:rsidR="00494A56" w:rsidRPr="00494A56" w:rsidRDefault="00494A56" w:rsidP="000D505C">
      <w:pPr>
        <w:spacing w:after="0" w:line="240" w:lineRule="auto"/>
        <w:jc w:val="center"/>
        <w:rPr>
          <w:b/>
          <w:lang w:val="en-GB"/>
        </w:rPr>
      </w:pPr>
      <w:r w:rsidRPr="00494A56">
        <w:rPr>
          <w:b/>
          <w:lang w:val="en-GB"/>
        </w:rPr>
        <w:t>Estimation of the Lithium-Metal Primary Battery market in Europe (2013-2014)</w:t>
      </w:r>
    </w:p>
    <w:p w:rsidR="00494A56" w:rsidRPr="00494A56" w:rsidRDefault="00494A56" w:rsidP="000D505C">
      <w:pPr>
        <w:spacing w:after="0" w:line="240" w:lineRule="auto"/>
        <w:jc w:val="center"/>
        <w:rPr>
          <w:b/>
          <w:lang w:val="en-GB"/>
        </w:rPr>
      </w:pPr>
      <w:proofErr w:type="gramStart"/>
      <w:r w:rsidRPr="00494A56">
        <w:rPr>
          <w:b/>
          <w:lang w:val="en-GB"/>
        </w:rPr>
        <w:t>Total of 2’500 Tonnes of Lithium-Metal Primary batteries per year.</w:t>
      </w:r>
      <w:proofErr w:type="gramEnd"/>
    </w:p>
    <w:p w:rsidR="00494A56" w:rsidRDefault="00494A56" w:rsidP="00494A56">
      <w:pPr>
        <w:jc w:val="center"/>
        <w:rPr>
          <w:b/>
          <w:lang w:val="en-GB"/>
        </w:rPr>
      </w:pPr>
    </w:p>
    <w:p w:rsidR="000D505C" w:rsidRDefault="000D505C" w:rsidP="00494A56">
      <w:pPr>
        <w:jc w:val="center"/>
        <w:rPr>
          <w:b/>
          <w:lang w:val="en-GB"/>
        </w:rPr>
      </w:pPr>
    </w:p>
    <w:p w:rsidR="0043365B" w:rsidRPr="00494A56" w:rsidRDefault="0043365B" w:rsidP="00494A56">
      <w:pPr>
        <w:jc w:val="center"/>
        <w:rPr>
          <w:b/>
          <w:lang w:val="en-GB"/>
        </w:rPr>
      </w:pPr>
    </w:p>
    <w:p w:rsidR="00494A56" w:rsidRDefault="00494A56" w:rsidP="00494A56">
      <w:pPr>
        <w:jc w:val="center"/>
      </w:pPr>
      <w:r>
        <w:rPr>
          <w:noProof/>
          <w:lang w:val="fr-FR" w:eastAsia="fr-FR"/>
        </w:rPr>
        <w:drawing>
          <wp:inline distT="0" distB="0" distL="0" distR="0">
            <wp:extent cx="5059680" cy="3009900"/>
            <wp:effectExtent l="0" t="0" r="7620" b="0"/>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D505C" w:rsidRDefault="00494A56" w:rsidP="000D505C">
      <w:pPr>
        <w:spacing w:after="0" w:line="240" w:lineRule="auto"/>
        <w:jc w:val="center"/>
        <w:rPr>
          <w:b/>
          <w:lang w:val="en-GB"/>
        </w:rPr>
      </w:pPr>
      <w:r w:rsidRPr="00494A56">
        <w:rPr>
          <w:b/>
          <w:lang w:val="en-GB"/>
        </w:rPr>
        <w:lastRenderedPageBreak/>
        <w:t xml:space="preserve">FIGURE 2 B. </w:t>
      </w:r>
    </w:p>
    <w:p w:rsidR="00494A56" w:rsidRPr="00494A56" w:rsidRDefault="00494A56" w:rsidP="000D505C">
      <w:pPr>
        <w:spacing w:after="0" w:line="240" w:lineRule="auto"/>
        <w:jc w:val="center"/>
        <w:rPr>
          <w:b/>
          <w:lang w:val="en-GB"/>
        </w:rPr>
      </w:pPr>
      <w:r w:rsidRPr="00494A56">
        <w:rPr>
          <w:b/>
          <w:lang w:val="en-GB"/>
        </w:rPr>
        <w:t>Estimation of the Lithium-Metal Primary Battery market in Europe (2013-2014)</w:t>
      </w:r>
    </w:p>
    <w:p w:rsidR="00494A56" w:rsidRDefault="00494A56" w:rsidP="000D505C">
      <w:pPr>
        <w:spacing w:after="0" w:line="240" w:lineRule="auto"/>
        <w:jc w:val="center"/>
        <w:rPr>
          <w:b/>
          <w:lang w:val="en-GB"/>
        </w:rPr>
      </w:pPr>
      <w:r w:rsidRPr="00494A56">
        <w:rPr>
          <w:b/>
          <w:lang w:val="en-GB"/>
        </w:rPr>
        <w:t>Data presented in Number of Units (Million)</w:t>
      </w:r>
    </w:p>
    <w:p w:rsidR="00DC6D72" w:rsidRPr="00494A56" w:rsidRDefault="00DC6D72" w:rsidP="000D505C">
      <w:pPr>
        <w:spacing w:after="0" w:line="240" w:lineRule="auto"/>
        <w:jc w:val="center"/>
        <w:rPr>
          <w:b/>
          <w:lang w:val="en-GB"/>
        </w:rPr>
      </w:pPr>
    </w:p>
    <w:p w:rsidR="000D505C" w:rsidRDefault="000D505C">
      <w:pPr>
        <w:rPr>
          <w:lang w:val="en-GB"/>
        </w:rPr>
      </w:pPr>
    </w:p>
    <w:p w:rsidR="00473EEF" w:rsidRDefault="00473EEF">
      <w:pPr>
        <w:rPr>
          <w:lang w:val="en-GB"/>
        </w:rPr>
      </w:pPr>
    </w:p>
    <w:p w:rsidR="00472D8F" w:rsidRPr="00E1001A" w:rsidRDefault="00472D8F" w:rsidP="00E1001A">
      <w:pPr>
        <w:pStyle w:val="Paragraphedeliste"/>
        <w:numPr>
          <w:ilvl w:val="0"/>
          <w:numId w:val="7"/>
        </w:numPr>
        <w:spacing w:after="160" w:line="259" w:lineRule="auto"/>
        <w:rPr>
          <w:b/>
          <w:lang w:val="en-GB"/>
        </w:rPr>
      </w:pPr>
      <w:r w:rsidRPr="00E1001A">
        <w:rPr>
          <w:b/>
          <w:lang w:val="en-GB"/>
        </w:rPr>
        <w:t>LITHIUM BATTERIES and Electrical and Electronic Equipment (EEE)</w:t>
      </w:r>
    </w:p>
    <w:p w:rsidR="00DC6D72" w:rsidRDefault="00DC6D72" w:rsidP="00DC6D72">
      <w:pPr>
        <w:pStyle w:val="Paragraphedeliste"/>
        <w:spacing w:after="160" w:line="259" w:lineRule="auto"/>
        <w:ind w:left="360"/>
        <w:rPr>
          <w:b/>
          <w:lang w:val="en-GB"/>
        </w:rPr>
      </w:pPr>
    </w:p>
    <w:p w:rsidR="00494A56" w:rsidRPr="00472D8F" w:rsidRDefault="0043365B" w:rsidP="00E1001A">
      <w:pPr>
        <w:pStyle w:val="Paragraphedeliste"/>
        <w:numPr>
          <w:ilvl w:val="1"/>
          <w:numId w:val="11"/>
        </w:numPr>
        <w:spacing w:after="160" w:line="259" w:lineRule="auto"/>
        <w:rPr>
          <w:b/>
          <w:lang w:val="en-GB"/>
        </w:rPr>
      </w:pPr>
      <w:r w:rsidRPr="00472D8F">
        <w:rPr>
          <w:b/>
          <w:lang w:val="en-GB"/>
        </w:rPr>
        <w:t xml:space="preserve">Rechargeable Lithium-Ion </w:t>
      </w:r>
      <w:r w:rsidR="00494A56" w:rsidRPr="00472D8F">
        <w:rPr>
          <w:b/>
          <w:lang w:val="en-GB"/>
        </w:rPr>
        <w:t>Battery Market.</w:t>
      </w:r>
    </w:p>
    <w:p w:rsidR="00494A56" w:rsidRPr="00494A56" w:rsidRDefault="00494A56" w:rsidP="00494A56">
      <w:pPr>
        <w:rPr>
          <w:lang w:val="en-GB"/>
        </w:rPr>
      </w:pPr>
      <w:r w:rsidRPr="00494A56">
        <w:rPr>
          <w:lang w:val="en-GB"/>
        </w:rPr>
        <w:t xml:space="preserve">The analysis of the data presented in Figure 1 A and 1 B for Li-Ion batteries placed on the market shows the following trends. </w:t>
      </w:r>
    </w:p>
    <w:p w:rsidR="00A406E6" w:rsidRDefault="00494A56" w:rsidP="00067720">
      <w:pPr>
        <w:pStyle w:val="Paragraphedeliste"/>
        <w:numPr>
          <w:ilvl w:val="0"/>
          <w:numId w:val="5"/>
        </w:numPr>
        <w:spacing w:after="160" w:line="259" w:lineRule="auto"/>
        <w:rPr>
          <w:lang w:val="en-GB"/>
        </w:rPr>
      </w:pPr>
      <w:r w:rsidRPr="00A406E6">
        <w:rPr>
          <w:lang w:val="en-GB"/>
        </w:rPr>
        <w:t xml:space="preserve">When one excludes the E-mobility market </w:t>
      </w:r>
      <w:r w:rsidR="00A406E6" w:rsidRPr="00A406E6">
        <w:rPr>
          <w:lang w:val="en-GB"/>
        </w:rPr>
        <w:t>and one considers</w:t>
      </w:r>
      <w:r w:rsidRPr="00A406E6">
        <w:rPr>
          <w:lang w:val="en-GB"/>
        </w:rPr>
        <w:t xml:space="preserve"> the consumer market, a majority by weight and by unit of Lithium-Ion batteries are sold in IT equipment (mobile Phones, Laptops, Tablets</w:t>
      </w:r>
      <w:proofErr w:type="gramStart"/>
      <w:r w:rsidRPr="00A406E6">
        <w:rPr>
          <w:lang w:val="en-GB"/>
        </w:rPr>
        <w:t>,…</w:t>
      </w:r>
      <w:proofErr w:type="gramEnd"/>
      <w:r w:rsidRPr="00A406E6">
        <w:rPr>
          <w:lang w:val="en-GB"/>
        </w:rPr>
        <w:t xml:space="preserve">). </w:t>
      </w:r>
    </w:p>
    <w:p w:rsidR="00A406E6" w:rsidRPr="00A406E6" w:rsidRDefault="00494A56" w:rsidP="00A406E6">
      <w:pPr>
        <w:pStyle w:val="Paragraphedeliste"/>
        <w:numPr>
          <w:ilvl w:val="0"/>
          <w:numId w:val="5"/>
        </w:numPr>
        <w:spacing w:after="160" w:line="259" w:lineRule="auto"/>
        <w:rPr>
          <w:lang w:val="en-GB"/>
        </w:rPr>
      </w:pPr>
      <w:r w:rsidRPr="00A406E6">
        <w:rPr>
          <w:lang w:val="en-GB"/>
        </w:rPr>
        <w:t xml:space="preserve">On the Industrial Market, there </w:t>
      </w:r>
      <w:proofErr w:type="gramStart"/>
      <w:r w:rsidRPr="00A406E6">
        <w:rPr>
          <w:lang w:val="en-GB"/>
        </w:rPr>
        <w:t>is</w:t>
      </w:r>
      <w:proofErr w:type="gramEnd"/>
      <w:r w:rsidRPr="00A406E6">
        <w:rPr>
          <w:lang w:val="en-GB"/>
        </w:rPr>
        <w:t xml:space="preserve"> a lower number of batteries sold but their energy content is much higher.</w:t>
      </w:r>
      <w:r w:rsidR="00A406E6">
        <w:rPr>
          <w:lang w:val="en-GB"/>
        </w:rPr>
        <w:t xml:space="preserve"> </w:t>
      </w:r>
      <w:r w:rsidRPr="00A406E6">
        <w:rPr>
          <w:lang w:val="en-GB"/>
        </w:rPr>
        <w:t xml:space="preserve"> </w:t>
      </w:r>
      <w:r w:rsidR="00A406E6">
        <w:rPr>
          <w:lang w:val="en-GB"/>
        </w:rPr>
        <w:t xml:space="preserve">Batteries for E-mobility have </w:t>
      </w:r>
      <w:proofErr w:type="gramStart"/>
      <w:r w:rsidR="00A406E6">
        <w:rPr>
          <w:lang w:val="en-GB"/>
        </w:rPr>
        <w:t>an energy</w:t>
      </w:r>
      <w:proofErr w:type="gramEnd"/>
      <w:r w:rsidR="00A406E6">
        <w:rPr>
          <w:lang w:val="en-GB"/>
        </w:rPr>
        <w:t xml:space="preserve"> content well above the 100 </w:t>
      </w:r>
      <w:proofErr w:type="spellStart"/>
      <w:r w:rsidR="00A406E6">
        <w:rPr>
          <w:lang w:val="en-GB"/>
        </w:rPr>
        <w:t>Wh</w:t>
      </w:r>
      <w:proofErr w:type="spellEnd"/>
      <w:r w:rsidR="00A406E6">
        <w:rPr>
          <w:lang w:val="en-GB"/>
        </w:rPr>
        <w:t xml:space="preserve"> limit: </w:t>
      </w:r>
      <w:r w:rsidR="00473EEF">
        <w:rPr>
          <w:lang w:val="en-GB"/>
        </w:rPr>
        <w:t xml:space="preserve">e.g. </w:t>
      </w:r>
      <w:r w:rsidR="00A406E6">
        <w:rPr>
          <w:lang w:val="en-GB"/>
        </w:rPr>
        <w:t>E-Bikes and Electric Vehicles.</w:t>
      </w:r>
    </w:p>
    <w:p w:rsidR="00A406E6" w:rsidRDefault="00494A56" w:rsidP="00494A56">
      <w:pPr>
        <w:pStyle w:val="Paragraphedeliste"/>
        <w:numPr>
          <w:ilvl w:val="0"/>
          <w:numId w:val="5"/>
        </w:numPr>
        <w:spacing w:after="160" w:line="259" w:lineRule="auto"/>
        <w:rPr>
          <w:lang w:val="en-GB"/>
        </w:rPr>
      </w:pPr>
      <w:r w:rsidRPr="00494A56">
        <w:rPr>
          <w:lang w:val="en-GB"/>
        </w:rPr>
        <w:t xml:space="preserve">As illustrated in Figure 3, Lithium-Ion cells and batteries placed on the consumer market </w:t>
      </w:r>
    </w:p>
    <w:p w:rsidR="00494A56" w:rsidRPr="00494A56" w:rsidRDefault="00494A56" w:rsidP="00A406E6">
      <w:pPr>
        <w:pStyle w:val="Paragraphedeliste"/>
        <w:spacing w:after="160" w:line="259" w:lineRule="auto"/>
        <w:ind w:left="1080"/>
        <w:rPr>
          <w:lang w:val="en-GB"/>
        </w:rPr>
      </w:pPr>
      <w:proofErr w:type="gramStart"/>
      <w:r w:rsidRPr="00494A56">
        <w:rPr>
          <w:lang w:val="en-GB"/>
        </w:rPr>
        <w:t>have</w:t>
      </w:r>
      <w:proofErr w:type="gramEnd"/>
      <w:r w:rsidRPr="00494A56">
        <w:rPr>
          <w:lang w:val="en-GB"/>
        </w:rPr>
        <w:t xml:space="preserve"> an energy content of less than 20 </w:t>
      </w:r>
      <w:proofErr w:type="spellStart"/>
      <w:r w:rsidRPr="00494A56">
        <w:rPr>
          <w:lang w:val="en-GB"/>
        </w:rPr>
        <w:t>Wh</w:t>
      </w:r>
      <w:proofErr w:type="spellEnd"/>
      <w:r w:rsidRPr="00494A56">
        <w:rPr>
          <w:lang w:val="en-GB"/>
        </w:rPr>
        <w:t xml:space="preserve"> per cell or 100 </w:t>
      </w:r>
      <w:proofErr w:type="spellStart"/>
      <w:r w:rsidRPr="00494A56">
        <w:rPr>
          <w:lang w:val="en-GB"/>
        </w:rPr>
        <w:t>Wh</w:t>
      </w:r>
      <w:proofErr w:type="spellEnd"/>
      <w:r w:rsidRPr="00494A56">
        <w:rPr>
          <w:lang w:val="en-GB"/>
        </w:rPr>
        <w:t xml:space="preserve"> per battery</w:t>
      </w:r>
      <w:r w:rsidR="00A406E6">
        <w:rPr>
          <w:lang w:val="en-GB"/>
        </w:rPr>
        <w:t xml:space="preserve"> (Yellow boxes)</w:t>
      </w:r>
      <w:r w:rsidRPr="00494A56">
        <w:rPr>
          <w:lang w:val="en-GB"/>
        </w:rPr>
        <w:t>.</w:t>
      </w:r>
    </w:p>
    <w:p w:rsidR="00A406E6" w:rsidRDefault="00A406E6" w:rsidP="00C9056B">
      <w:pPr>
        <w:pStyle w:val="Paragraphedeliste"/>
        <w:numPr>
          <w:ilvl w:val="0"/>
          <w:numId w:val="5"/>
        </w:numPr>
        <w:spacing w:after="160" w:line="259" w:lineRule="auto"/>
        <w:rPr>
          <w:lang w:val="en-GB"/>
        </w:rPr>
      </w:pPr>
      <w:r w:rsidRPr="00A406E6">
        <w:rPr>
          <w:lang w:val="en-GB"/>
        </w:rPr>
        <w:t xml:space="preserve">There is still a majority of Cordless Power Tools equipped with batteries of less than 100 </w:t>
      </w:r>
      <w:proofErr w:type="spellStart"/>
      <w:proofErr w:type="gramStart"/>
      <w:r w:rsidRPr="00A406E6">
        <w:rPr>
          <w:lang w:val="en-GB"/>
        </w:rPr>
        <w:t>Wh</w:t>
      </w:r>
      <w:proofErr w:type="spellEnd"/>
      <w:proofErr w:type="gramEnd"/>
      <w:r w:rsidRPr="00A406E6">
        <w:rPr>
          <w:lang w:val="en-GB"/>
        </w:rPr>
        <w:t xml:space="preserve"> energy content, but there is an increasing quantity of cordless </w:t>
      </w:r>
      <w:r w:rsidR="00CC7B20">
        <w:rPr>
          <w:lang w:val="en-GB"/>
        </w:rPr>
        <w:t xml:space="preserve">power </w:t>
      </w:r>
      <w:r w:rsidRPr="00A406E6">
        <w:rPr>
          <w:lang w:val="en-GB"/>
        </w:rPr>
        <w:t>tools equipped with batteries above 100 Wh. These batteries are also found in gardening and innovative professional equipment (e.g. portable power modules of 1.0 kWh)</w:t>
      </w:r>
      <w:r>
        <w:rPr>
          <w:lang w:val="en-GB"/>
        </w:rPr>
        <w:t>.</w:t>
      </w:r>
    </w:p>
    <w:p w:rsidR="00494A56" w:rsidRDefault="00FA537E" w:rsidP="00494A56">
      <w:pPr>
        <w:ind w:left="-1134"/>
        <w:jc w:val="center"/>
      </w:pPr>
      <w:r w:rsidRPr="00FA537E">
        <w:rPr>
          <w:noProof/>
          <w:lang w:val="fr-FR" w:eastAsia="fr-FR"/>
        </w:rPr>
        <w:lastRenderedPageBreak/>
        <w:drawing>
          <wp:inline distT="0" distB="0" distL="0" distR="0">
            <wp:extent cx="7074422" cy="4241587"/>
            <wp:effectExtent l="0" t="0" r="0" b="698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81775" cy="4245995"/>
                    </a:xfrm>
                    <a:prstGeom prst="rect">
                      <a:avLst/>
                    </a:prstGeom>
                    <a:noFill/>
                    <a:ln>
                      <a:noFill/>
                    </a:ln>
                  </pic:spPr>
                </pic:pic>
              </a:graphicData>
            </a:graphic>
          </wp:inline>
        </w:drawing>
      </w:r>
    </w:p>
    <w:p w:rsidR="00473EEF" w:rsidRDefault="00494A56" w:rsidP="00473EEF">
      <w:pPr>
        <w:spacing w:after="0" w:line="240" w:lineRule="auto"/>
        <w:jc w:val="center"/>
        <w:rPr>
          <w:b/>
          <w:lang w:val="en-GB"/>
        </w:rPr>
      </w:pPr>
      <w:proofErr w:type="gramStart"/>
      <w:r w:rsidRPr="00494A56">
        <w:rPr>
          <w:b/>
          <w:lang w:val="en-GB"/>
        </w:rPr>
        <w:t>FIGURE 3.</w:t>
      </w:r>
      <w:proofErr w:type="gramEnd"/>
    </w:p>
    <w:p w:rsidR="00494A56" w:rsidRPr="00494A56" w:rsidRDefault="00494A56" w:rsidP="00473EEF">
      <w:pPr>
        <w:spacing w:after="0" w:line="240" w:lineRule="auto"/>
        <w:jc w:val="center"/>
        <w:rPr>
          <w:b/>
          <w:lang w:val="en-GB"/>
        </w:rPr>
      </w:pPr>
      <w:r w:rsidRPr="00494A56">
        <w:rPr>
          <w:b/>
          <w:lang w:val="en-GB"/>
        </w:rPr>
        <w:t>Energy content of Lithium-Ion Batteries Placed on the market by application.</w:t>
      </w:r>
    </w:p>
    <w:p w:rsidR="00494A56" w:rsidRPr="00494A56" w:rsidRDefault="00494A56" w:rsidP="00473EEF">
      <w:pPr>
        <w:spacing w:after="0" w:line="240" w:lineRule="auto"/>
        <w:jc w:val="center"/>
        <w:rPr>
          <w:b/>
          <w:lang w:val="en-GB"/>
        </w:rPr>
      </w:pPr>
      <w:proofErr w:type="gramStart"/>
      <w:r w:rsidRPr="00494A56">
        <w:rPr>
          <w:b/>
          <w:lang w:val="en-GB"/>
        </w:rPr>
        <w:t>Relation with SP</w:t>
      </w:r>
      <w:r w:rsidR="00CC7B20">
        <w:rPr>
          <w:b/>
          <w:lang w:val="en-GB"/>
        </w:rPr>
        <w:t>188 of the UN Model regulation for</w:t>
      </w:r>
      <w:r w:rsidRPr="00494A56">
        <w:rPr>
          <w:b/>
          <w:lang w:val="en-GB"/>
        </w:rPr>
        <w:t xml:space="preserve"> the Transport of Dangerous Goods.</w:t>
      </w:r>
      <w:proofErr w:type="gramEnd"/>
    </w:p>
    <w:p w:rsidR="00494A56" w:rsidRDefault="00494A56" w:rsidP="00473EEF">
      <w:pPr>
        <w:jc w:val="center"/>
        <w:rPr>
          <w:b/>
          <w:lang w:val="en-GB"/>
        </w:rPr>
      </w:pPr>
    </w:p>
    <w:p w:rsidR="002B19A8" w:rsidRDefault="002B19A8" w:rsidP="00473EEF">
      <w:pPr>
        <w:jc w:val="center"/>
        <w:rPr>
          <w:b/>
          <w:lang w:val="en-GB"/>
        </w:rPr>
      </w:pPr>
    </w:p>
    <w:p w:rsidR="00494A56" w:rsidRPr="00494A56" w:rsidRDefault="00DC4D93" w:rsidP="00E1001A">
      <w:pPr>
        <w:pStyle w:val="Paragraphedeliste"/>
        <w:numPr>
          <w:ilvl w:val="1"/>
          <w:numId w:val="11"/>
        </w:numPr>
        <w:spacing w:after="160" w:line="259" w:lineRule="auto"/>
        <w:rPr>
          <w:b/>
          <w:lang w:val="en-GB"/>
        </w:rPr>
      </w:pPr>
      <w:r>
        <w:rPr>
          <w:b/>
          <w:lang w:val="en-GB"/>
        </w:rPr>
        <w:t xml:space="preserve">Primary Lithium-Metal </w:t>
      </w:r>
      <w:r w:rsidR="00494A56" w:rsidRPr="00494A56">
        <w:rPr>
          <w:b/>
          <w:lang w:val="en-GB"/>
        </w:rPr>
        <w:t>Battery Market.</w:t>
      </w:r>
    </w:p>
    <w:p w:rsidR="00473EEF" w:rsidRDefault="00473EEF" w:rsidP="00494A56">
      <w:pPr>
        <w:rPr>
          <w:lang w:val="en-GB"/>
        </w:rPr>
      </w:pPr>
    </w:p>
    <w:p w:rsidR="00494A56" w:rsidRPr="00494A56" w:rsidRDefault="00494A56" w:rsidP="00494A56">
      <w:pPr>
        <w:rPr>
          <w:lang w:val="en-GB"/>
        </w:rPr>
      </w:pPr>
      <w:r w:rsidRPr="00494A56">
        <w:rPr>
          <w:lang w:val="en-GB"/>
        </w:rPr>
        <w:t xml:space="preserve">As shown in Figure 2A, the market </w:t>
      </w:r>
      <w:r w:rsidR="00473EEF">
        <w:rPr>
          <w:lang w:val="en-GB"/>
        </w:rPr>
        <w:t xml:space="preserve">of Lithium-Metal Batteries </w:t>
      </w:r>
      <w:r w:rsidRPr="00494A56">
        <w:rPr>
          <w:lang w:val="en-GB"/>
        </w:rPr>
        <w:t>is mainly distributed between Li-MnO2 and Li-</w:t>
      </w:r>
      <w:proofErr w:type="spellStart"/>
      <w:r w:rsidRPr="00494A56">
        <w:rPr>
          <w:lang w:val="en-GB"/>
        </w:rPr>
        <w:t>Thionyl</w:t>
      </w:r>
      <w:proofErr w:type="spellEnd"/>
      <w:r w:rsidRPr="00494A56">
        <w:rPr>
          <w:lang w:val="en-GB"/>
        </w:rPr>
        <w:t xml:space="preserve"> Chloride (LiSOCl2) systems.</w:t>
      </w:r>
    </w:p>
    <w:p w:rsidR="00494A56" w:rsidRPr="00494A56" w:rsidRDefault="00494A56" w:rsidP="00494A56">
      <w:pPr>
        <w:rPr>
          <w:lang w:val="en-GB"/>
        </w:rPr>
      </w:pPr>
      <w:r w:rsidRPr="00494A56">
        <w:rPr>
          <w:lang w:val="en-GB"/>
        </w:rPr>
        <w:t>As illustrated in Figure 2B, Li-MnO2 is do</w:t>
      </w:r>
      <w:r w:rsidR="00473EEF">
        <w:rPr>
          <w:lang w:val="en-GB"/>
        </w:rPr>
        <w:t>minating the market by units as</w:t>
      </w:r>
      <w:r w:rsidRPr="00494A56">
        <w:rPr>
          <w:lang w:val="en-GB"/>
        </w:rPr>
        <w:t xml:space="preserve"> they are </w:t>
      </w:r>
      <w:r w:rsidR="00473EEF">
        <w:rPr>
          <w:lang w:val="en-GB"/>
        </w:rPr>
        <w:t>mainly use</w:t>
      </w:r>
      <w:r w:rsidRPr="00494A56">
        <w:rPr>
          <w:lang w:val="en-GB"/>
        </w:rPr>
        <w:t xml:space="preserve">d </w:t>
      </w:r>
      <w:r w:rsidR="00473EEF">
        <w:rPr>
          <w:lang w:val="en-GB"/>
        </w:rPr>
        <w:t>as small cells in a wide variety of appliances on the consumer market</w:t>
      </w:r>
      <w:r w:rsidRPr="00494A56">
        <w:rPr>
          <w:lang w:val="en-GB"/>
        </w:rPr>
        <w:t xml:space="preserve">. The LiSOCl2 system is used mainly in professional applications. </w:t>
      </w:r>
    </w:p>
    <w:p w:rsidR="00494A56" w:rsidRPr="00494A56" w:rsidRDefault="00494A56" w:rsidP="00494A56">
      <w:pPr>
        <w:rPr>
          <w:lang w:val="en-GB"/>
        </w:rPr>
      </w:pPr>
      <w:r w:rsidRPr="00494A56">
        <w:rPr>
          <w:lang w:val="en-GB"/>
        </w:rPr>
        <w:t>On the consumer market, the Li-MnO2 is mainly sold as button cell</w:t>
      </w:r>
      <w:r w:rsidR="000D19D4">
        <w:rPr>
          <w:lang w:val="en-GB"/>
        </w:rPr>
        <w:t>s</w:t>
      </w:r>
      <w:r w:rsidRPr="00494A56">
        <w:rPr>
          <w:lang w:val="en-GB"/>
        </w:rPr>
        <w:t>. These batteries are used in a wide variety of applications either as main power or as memory back up applications. This is illustrate</w:t>
      </w:r>
      <w:r w:rsidR="00473EEF">
        <w:rPr>
          <w:lang w:val="en-GB"/>
        </w:rPr>
        <w:t>d</w:t>
      </w:r>
      <w:r w:rsidRPr="00494A56">
        <w:rPr>
          <w:lang w:val="en-GB"/>
        </w:rPr>
        <w:t xml:space="preserve"> in TABLE 1 published by VARTA</w:t>
      </w:r>
      <w:r>
        <w:rPr>
          <w:rStyle w:val="Appelnotedebasdep"/>
        </w:rPr>
        <w:footnoteReference w:id="3"/>
      </w:r>
    </w:p>
    <w:p w:rsidR="00494A56" w:rsidRPr="00494A56" w:rsidRDefault="00494A56" w:rsidP="00494A56">
      <w:pPr>
        <w:rPr>
          <w:lang w:val="en-GB"/>
        </w:rPr>
      </w:pPr>
      <w:r w:rsidRPr="00494A56">
        <w:rPr>
          <w:lang w:val="en-GB"/>
        </w:rPr>
        <w:lastRenderedPageBreak/>
        <w:t xml:space="preserve">As shown in TABLE 2, the Lithium content of these button cells is less than 1.0 g. For the consumer market, they are based in a large majority on the Li-MnO2 chemistry. </w:t>
      </w:r>
    </w:p>
    <w:p w:rsidR="00494A56" w:rsidRPr="00494A56" w:rsidRDefault="00494A56" w:rsidP="00494A56">
      <w:pPr>
        <w:rPr>
          <w:lang w:val="en-GB"/>
        </w:rPr>
      </w:pPr>
      <w:r w:rsidRPr="00494A56">
        <w:rPr>
          <w:lang w:val="en-GB"/>
        </w:rPr>
        <w:t>One considers t</w:t>
      </w:r>
      <w:r w:rsidR="000D19D4">
        <w:rPr>
          <w:lang w:val="en-GB"/>
        </w:rPr>
        <w:t xml:space="preserve">hat several hundreds of </w:t>
      </w:r>
      <w:proofErr w:type="spellStart"/>
      <w:r w:rsidR="000D19D4">
        <w:rPr>
          <w:lang w:val="en-GB"/>
        </w:rPr>
        <w:t>million</w:t>
      </w:r>
      <w:proofErr w:type="spellEnd"/>
      <w:r w:rsidRPr="00494A56">
        <w:rPr>
          <w:lang w:val="en-GB"/>
        </w:rPr>
        <w:t xml:space="preserve"> of such cells are introduced on the EU market either</w:t>
      </w:r>
      <w:r w:rsidR="00004EB7">
        <w:rPr>
          <w:lang w:val="en-GB"/>
        </w:rPr>
        <w:t xml:space="preserve"> directly as cells or</w:t>
      </w:r>
      <w:r w:rsidRPr="00494A56">
        <w:rPr>
          <w:lang w:val="en-GB"/>
        </w:rPr>
        <w:t xml:space="preserve"> as part of a larger equipment.</w:t>
      </w:r>
    </w:p>
    <w:p w:rsidR="00494A56" w:rsidRPr="00494A56" w:rsidRDefault="00494A56" w:rsidP="00494A56">
      <w:pPr>
        <w:rPr>
          <w:lang w:val="en-GB"/>
        </w:rPr>
      </w:pPr>
      <w:r w:rsidRPr="00494A56">
        <w:rPr>
          <w:lang w:val="en-GB"/>
        </w:rPr>
        <w:t xml:space="preserve">In Table 3, the information presented relates to higher energy density Lithium-Metal batteries </w:t>
      </w:r>
      <w:r w:rsidR="00CC7B20">
        <w:rPr>
          <w:lang w:val="en-GB"/>
        </w:rPr>
        <w:t xml:space="preserve">that may contain </w:t>
      </w:r>
      <w:r w:rsidRPr="00494A56">
        <w:rPr>
          <w:lang w:val="en-GB"/>
        </w:rPr>
        <w:t xml:space="preserve">more than 1.0 g of Lithium per cell or more than 2.0 g of Lithium per battery. Their Lithium content is larger than the exception limits of SP188. They are mainly LiSOCl2 batteries with a high Lithium Metal content </w:t>
      </w:r>
      <w:r w:rsidR="00004EB7">
        <w:rPr>
          <w:lang w:val="en-GB"/>
        </w:rPr>
        <w:t xml:space="preserve">and are </w:t>
      </w:r>
      <w:r w:rsidR="00CC7B20">
        <w:rPr>
          <w:lang w:val="en-GB"/>
        </w:rPr>
        <w:t xml:space="preserve">mainly </w:t>
      </w:r>
      <w:r w:rsidRPr="00494A56">
        <w:rPr>
          <w:lang w:val="en-GB"/>
        </w:rPr>
        <w:t>used in industrial, military ad space applications.</w:t>
      </w:r>
    </w:p>
    <w:p w:rsidR="00494A56" w:rsidRPr="00494A56" w:rsidRDefault="00494A56" w:rsidP="00494A56">
      <w:pPr>
        <w:rPr>
          <w:lang w:val="en-GB"/>
        </w:rPr>
      </w:pPr>
    </w:p>
    <w:p w:rsidR="00494A56" w:rsidRPr="005D67A4" w:rsidRDefault="00E1001A" w:rsidP="00E1001A">
      <w:pPr>
        <w:pStyle w:val="Paragraphedeliste"/>
        <w:numPr>
          <w:ilvl w:val="0"/>
          <w:numId w:val="11"/>
        </w:numPr>
        <w:spacing w:after="160" w:line="259" w:lineRule="auto"/>
        <w:rPr>
          <w:b/>
        </w:rPr>
      </w:pPr>
      <w:r>
        <w:rPr>
          <w:b/>
        </w:rPr>
        <w:t>LITHIUM BATTERIES WITHIN APPLICATIONS</w:t>
      </w:r>
    </w:p>
    <w:p w:rsidR="00494A56" w:rsidRDefault="00494A56" w:rsidP="00494A56"/>
    <w:p w:rsidR="00494A56" w:rsidRPr="005D67A4" w:rsidRDefault="00494A56" w:rsidP="00E1001A">
      <w:pPr>
        <w:pStyle w:val="Paragraphedeliste"/>
        <w:numPr>
          <w:ilvl w:val="1"/>
          <w:numId w:val="11"/>
        </w:numPr>
        <w:spacing w:after="160" w:line="259" w:lineRule="auto"/>
        <w:rPr>
          <w:b/>
        </w:rPr>
      </w:pPr>
      <w:r w:rsidRPr="005D67A4">
        <w:rPr>
          <w:b/>
        </w:rPr>
        <w:t>Rechargeable Lithium-Ion Batteries.</w:t>
      </w:r>
    </w:p>
    <w:p w:rsidR="00494A56" w:rsidRDefault="00494A56" w:rsidP="00494A56">
      <w:pPr>
        <w:pStyle w:val="Paragraphedeliste"/>
      </w:pPr>
    </w:p>
    <w:p w:rsidR="00494A56" w:rsidRPr="00494A56" w:rsidRDefault="00004EB7" w:rsidP="00494A56">
      <w:pPr>
        <w:rPr>
          <w:lang w:val="en-GB"/>
        </w:rPr>
      </w:pPr>
      <w:r>
        <w:rPr>
          <w:lang w:val="en-GB"/>
        </w:rPr>
        <w:t>Table 5</w:t>
      </w:r>
      <w:r w:rsidR="00494A56" w:rsidRPr="00494A56">
        <w:rPr>
          <w:lang w:val="en-GB"/>
        </w:rPr>
        <w:t xml:space="preserve"> supplies information about the major applications where Li-Ion batteries are used. It also supplies an estimation of the ratio between the weight of batteries and the weight of equipment.</w:t>
      </w:r>
    </w:p>
    <w:p w:rsidR="00494A56" w:rsidRPr="00494A56" w:rsidRDefault="00494A56" w:rsidP="00494A56">
      <w:pPr>
        <w:rPr>
          <w:lang w:val="en-GB"/>
        </w:rPr>
      </w:pPr>
      <w:r w:rsidRPr="00494A56">
        <w:rPr>
          <w:lang w:val="en-GB"/>
        </w:rPr>
        <w:t>The rechargeable Li</w:t>
      </w:r>
      <w:r w:rsidR="00004EB7">
        <w:rPr>
          <w:lang w:val="en-GB"/>
        </w:rPr>
        <w:t>-Ion battery is mainly used as the</w:t>
      </w:r>
      <w:r w:rsidR="00AC2310">
        <w:rPr>
          <w:lang w:val="en-GB"/>
        </w:rPr>
        <w:t xml:space="preserve"> main</w:t>
      </w:r>
      <w:r w:rsidRPr="00494A56">
        <w:rPr>
          <w:lang w:val="en-GB"/>
        </w:rPr>
        <w:t xml:space="preserve"> power </w:t>
      </w:r>
      <w:r w:rsidR="00AC2310">
        <w:rPr>
          <w:lang w:val="en-GB"/>
        </w:rPr>
        <w:t>source in the listed a</w:t>
      </w:r>
      <w:r w:rsidRPr="00494A56">
        <w:rPr>
          <w:lang w:val="en-GB"/>
        </w:rPr>
        <w:t>p</w:t>
      </w:r>
      <w:r w:rsidR="00AC2310">
        <w:rPr>
          <w:lang w:val="en-GB"/>
        </w:rPr>
        <w:t>plications described in Table 5.</w:t>
      </w:r>
    </w:p>
    <w:p w:rsidR="00494A56" w:rsidRPr="00494A56" w:rsidRDefault="00494A56" w:rsidP="00494A56">
      <w:pPr>
        <w:rPr>
          <w:lang w:val="en-GB"/>
        </w:rPr>
      </w:pPr>
      <w:r w:rsidRPr="00494A56">
        <w:rPr>
          <w:lang w:val="en-GB"/>
        </w:rPr>
        <w:t>Being the main source of power for the appliance, it is observed that the battery represents 10 to 20% by w</w:t>
      </w:r>
      <w:r w:rsidR="00AC2310">
        <w:rPr>
          <w:lang w:val="en-GB"/>
        </w:rPr>
        <w:t>eight of the appliance’s weight in a large majority of applications.</w:t>
      </w:r>
    </w:p>
    <w:p w:rsidR="00494A56" w:rsidRPr="00494A56" w:rsidRDefault="00494A56" w:rsidP="00494A56">
      <w:pPr>
        <w:rPr>
          <w:lang w:val="en-GB"/>
        </w:rPr>
      </w:pPr>
    </w:p>
    <w:p w:rsidR="00494A56" w:rsidRPr="00494A56" w:rsidRDefault="00494A56" w:rsidP="00494A56">
      <w:pPr>
        <w:rPr>
          <w:lang w:val="en-GB"/>
        </w:rPr>
      </w:pPr>
    </w:p>
    <w:p w:rsidR="00494A56" w:rsidRPr="003915D9" w:rsidRDefault="00494A56" w:rsidP="00E1001A">
      <w:pPr>
        <w:pStyle w:val="Paragraphedeliste"/>
        <w:numPr>
          <w:ilvl w:val="1"/>
          <w:numId w:val="11"/>
        </w:numPr>
        <w:spacing w:after="160" w:line="259" w:lineRule="auto"/>
        <w:rPr>
          <w:b/>
        </w:rPr>
      </w:pPr>
      <w:r w:rsidRPr="00494A56">
        <w:rPr>
          <w:b/>
          <w:lang w:val="en-GB"/>
        </w:rPr>
        <w:t xml:space="preserve"> </w:t>
      </w:r>
      <w:r w:rsidR="00DC4D93">
        <w:rPr>
          <w:b/>
          <w:lang w:val="en-GB"/>
        </w:rPr>
        <w:t xml:space="preserve">Primary </w:t>
      </w:r>
      <w:r w:rsidR="00DC4D93">
        <w:rPr>
          <w:b/>
        </w:rPr>
        <w:t xml:space="preserve">Lithium </w:t>
      </w:r>
      <w:proofErr w:type="spellStart"/>
      <w:r w:rsidR="00DC4D93">
        <w:rPr>
          <w:b/>
        </w:rPr>
        <w:t>Metal</w:t>
      </w:r>
      <w:proofErr w:type="spellEnd"/>
      <w:r w:rsidR="00DC4D93">
        <w:rPr>
          <w:b/>
        </w:rPr>
        <w:t xml:space="preserve"> </w:t>
      </w:r>
      <w:r w:rsidRPr="003915D9">
        <w:rPr>
          <w:b/>
        </w:rPr>
        <w:t>Batteries.</w:t>
      </w:r>
    </w:p>
    <w:p w:rsidR="00494A56" w:rsidRDefault="00494A56" w:rsidP="00494A56"/>
    <w:p w:rsidR="00494A56" w:rsidRPr="00494A56" w:rsidRDefault="00004EB7" w:rsidP="00494A56">
      <w:pPr>
        <w:rPr>
          <w:lang w:val="en-GB"/>
        </w:rPr>
      </w:pPr>
      <w:r>
        <w:rPr>
          <w:lang w:val="en-GB"/>
        </w:rPr>
        <w:t xml:space="preserve">As mentioned, </w:t>
      </w:r>
      <w:r w:rsidR="00AC2310">
        <w:rPr>
          <w:lang w:val="en-GB"/>
        </w:rPr>
        <w:t xml:space="preserve">on the consumer market, </w:t>
      </w:r>
      <w:r>
        <w:rPr>
          <w:lang w:val="en-GB"/>
        </w:rPr>
        <w:t>t</w:t>
      </w:r>
      <w:r w:rsidR="00494A56" w:rsidRPr="00494A56">
        <w:rPr>
          <w:lang w:val="en-GB"/>
        </w:rPr>
        <w:t>he major use of Li-M batteries is the memory back up application. In this case, the battery represents less than 0.1 % by weight compared to the weight of the appliance.</w:t>
      </w:r>
      <w:r>
        <w:rPr>
          <w:lang w:val="en-GB"/>
        </w:rPr>
        <w:t xml:space="preserve"> This is illustrated in TABLE 4.</w:t>
      </w:r>
    </w:p>
    <w:p w:rsidR="00494A56" w:rsidRPr="00494A56" w:rsidRDefault="00494A56" w:rsidP="00494A56">
      <w:pPr>
        <w:rPr>
          <w:lang w:val="en-GB"/>
        </w:rPr>
      </w:pPr>
      <w:r w:rsidRPr="00494A56">
        <w:rPr>
          <w:lang w:val="en-GB"/>
        </w:rPr>
        <w:t xml:space="preserve">In several applications, the Li-M battery is a major source of </w:t>
      </w:r>
      <w:proofErr w:type="gramStart"/>
      <w:r w:rsidRPr="00494A56">
        <w:rPr>
          <w:lang w:val="en-GB"/>
        </w:rPr>
        <w:t>power,</w:t>
      </w:r>
      <w:proofErr w:type="gramEnd"/>
      <w:r w:rsidRPr="00494A56">
        <w:rPr>
          <w:lang w:val="en-GB"/>
        </w:rPr>
        <w:t xml:space="preserve"> it is the case for the Li-MnO2 systems in e.g. calculators, watches and some electronic games. The quantity of Lithium embarked in these batteries remains below 1.0 g per cell or 2.0 g per battery.</w:t>
      </w:r>
    </w:p>
    <w:p w:rsidR="00494A56" w:rsidRPr="00494A56" w:rsidRDefault="00494A56" w:rsidP="00494A56">
      <w:pPr>
        <w:rPr>
          <w:lang w:val="en-GB"/>
        </w:rPr>
      </w:pPr>
      <w:r w:rsidRPr="00494A56">
        <w:rPr>
          <w:lang w:val="en-GB"/>
        </w:rPr>
        <w:t>When the Li-SOCl2 system is used to power equipment, it is generally in industrial applications which are returned in dedicated stream</w:t>
      </w:r>
      <w:r w:rsidR="000D19D4">
        <w:rPr>
          <w:lang w:val="en-GB"/>
        </w:rPr>
        <w:t>s</w:t>
      </w:r>
      <w:r w:rsidRPr="00494A56">
        <w:rPr>
          <w:lang w:val="en-GB"/>
        </w:rPr>
        <w:t xml:space="preserve"> via waste manageme</w:t>
      </w:r>
      <w:r w:rsidR="00AC2310">
        <w:rPr>
          <w:lang w:val="en-GB"/>
        </w:rPr>
        <w:t xml:space="preserve">nt companies and professional </w:t>
      </w:r>
      <w:r w:rsidRPr="00494A56">
        <w:rPr>
          <w:lang w:val="en-GB"/>
        </w:rPr>
        <w:t>carriers.</w:t>
      </w:r>
    </w:p>
    <w:p w:rsidR="00494A56" w:rsidRPr="00494A56" w:rsidRDefault="00494A56" w:rsidP="00494A56">
      <w:pPr>
        <w:rPr>
          <w:lang w:val="en-GB"/>
        </w:rPr>
      </w:pPr>
      <w:r w:rsidRPr="00494A56">
        <w:rPr>
          <w:lang w:val="en-GB"/>
        </w:rPr>
        <w:lastRenderedPageBreak/>
        <w:t xml:space="preserve">From the analysis of Table </w:t>
      </w:r>
      <w:r w:rsidR="00004EB7">
        <w:rPr>
          <w:lang w:val="en-GB"/>
        </w:rPr>
        <w:t>4</w:t>
      </w:r>
      <w:r w:rsidRPr="00494A56">
        <w:rPr>
          <w:lang w:val="en-GB"/>
        </w:rPr>
        <w:t>, it is confirmed that the weight ratio of Lithium-M batteries is most consumer applications remains in the range of 1 for 1000.</w:t>
      </w:r>
    </w:p>
    <w:p w:rsidR="00494A56" w:rsidRPr="00494A56" w:rsidRDefault="00494A56" w:rsidP="00494A56">
      <w:pPr>
        <w:rPr>
          <w:lang w:val="en-GB"/>
        </w:rPr>
      </w:pPr>
      <w:r w:rsidRPr="00494A56">
        <w:rPr>
          <w:lang w:val="en-GB"/>
        </w:rPr>
        <w:t xml:space="preserve">When industrial take back schemes are considered, attention should be paid to the fact that some of these Li-M batteries have </w:t>
      </w:r>
      <w:proofErr w:type="gramStart"/>
      <w:r w:rsidRPr="00494A56">
        <w:rPr>
          <w:lang w:val="en-GB"/>
        </w:rPr>
        <w:t>a higher</w:t>
      </w:r>
      <w:proofErr w:type="gramEnd"/>
      <w:r w:rsidRPr="00494A56">
        <w:rPr>
          <w:lang w:val="en-GB"/>
        </w:rPr>
        <w:t xml:space="preserve"> residual energy content and therefore should be carried under </w:t>
      </w:r>
      <w:r w:rsidR="00AC2310">
        <w:rPr>
          <w:lang w:val="en-GB"/>
        </w:rPr>
        <w:t xml:space="preserve">fully </w:t>
      </w:r>
      <w:r w:rsidR="00BC28BE">
        <w:rPr>
          <w:lang w:val="en-GB"/>
        </w:rPr>
        <w:t>regulated</w:t>
      </w:r>
      <w:r w:rsidR="00BC28BE" w:rsidRPr="00494A56">
        <w:rPr>
          <w:lang w:val="en-GB"/>
        </w:rPr>
        <w:t xml:space="preserve"> </w:t>
      </w:r>
      <w:r w:rsidRPr="00494A56">
        <w:rPr>
          <w:lang w:val="en-GB"/>
        </w:rPr>
        <w:t>conditions.</w:t>
      </w:r>
    </w:p>
    <w:p w:rsidR="00494A56" w:rsidRDefault="00494A56" w:rsidP="00494A56">
      <w:pPr>
        <w:rPr>
          <w:b/>
          <w:lang w:val="en-GB"/>
        </w:rPr>
      </w:pPr>
    </w:p>
    <w:p w:rsidR="00004EB7" w:rsidRPr="00494A56" w:rsidRDefault="00004EB7" w:rsidP="00494A56">
      <w:pPr>
        <w:rPr>
          <w:b/>
          <w:lang w:val="en-GB"/>
        </w:rPr>
      </w:pPr>
    </w:p>
    <w:p w:rsidR="00494A56" w:rsidRDefault="00494A56" w:rsidP="00E1001A">
      <w:pPr>
        <w:pStyle w:val="Paragraphedeliste"/>
        <w:numPr>
          <w:ilvl w:val="0"/>
          <w:numId w:val="11"/>
        </w:numPr>
        <w:spacing w:after="160" w:line="259" w:lineRule="auto"/>
        <w:rPr>
          <w:b/>
        </w:rPr>
      </w:pPr>
      <w:r>
        <w:rPr>
          <w:b/>
        </w:rPr>
        <w:t>CONCLUSIONS.</w:t>
      </w:r>
    </w:p>
    <w:p w:rsidR="000D505C" w:rsidRDefault="000D505C" w:rsidP="000D505C">
      <w:pPr>
        <w:spacing w:after="160" w:line="259" w:lineRule="auto"/>
        <w:rPr>
          <w:b/>
        </w:rPr>
      </w:pPr>
    </w:p>
    <w:p w:rsidR="00F57D3A" w:rsidRPr="00F57D3A" w:rsidRDefault="00A53F28" w:rsidP="000D505C">
      <w:pPr>
        <w:spacing w:after="160" w:line="259" w:lineRule="auto"/>
        <w:rPr>
          <w:b/>
          <w:lang w:val="en-GB"/>
        </w:rPr>
      </w:pPr>
      <w:proofErr w:type="gramStart"/>
      <w:r>
        <w:rPr>
          <w:b/>
          <w:lang w:val="en-GB"/>
        </w:rPr>
        <w:t xml:space="preserve">The Transport of WEEE containing </w:t>
      </w:r>
      <w:r w:rsidR="00F57D3A" w:rsidRPr="00F57D3A">
        <w:rPr>
          <w:b/>
          <w:lang w:val="en-GB"/>
        </w:rPr>
        <w:t>Lithium-Ion batteries.</w:t>
      </w:r>
      <w:proofErr w:type="gramEnd"/>
    </w:p>
    <w:p w:rsidR="00F57D3A" w:rsidRDefault="00F57D3A" w:rsidP="00F57D3A">
      <w:pPr>
        <w:pStyle w:val="Paragraphedeliste"/>
        <w:spacing w:after="160" w:line="259" w:lineRule="auto"/>
        <w:ind w:left="1080"/>
        <w:rPr>
          <w:lang w:val="en-GB"/>
        </w:rPr>
      </w:pPr>
    </w:p>
    <w:p w:rsidR="00F57D3A" w:rsidRPr="00494A56" w:rsidRDefault="00F57D3A" w:rsidP="0043365B">
      <w:pPr>
        <w:rPr>
          <w:lang w:val="en-GB"/>
        </w:rPr>
      </w:pPr>
      <w:r w:rsidRPr="00494A56">
        <w:rPr>
          <w:lang w:val="en-GB"/>
        </w:rPr>
        <w:t xml:space="preserve">Modern </w:t>
      </w:r>
      <w:r w:rsidR="00A53F28">
        <w:rPr>
          <w:lang w:val="en-GB"/>
        </w:rPr>
        <w:t xml:space="preserve">portable </w:t>
      </w:r>
      <w:r w:rsidRPr="00494A56">
        <w:rPr>
          <w:lang w:val="en-GB"/>
        </w:rPr>
        <w:t xml:space="preserve">EEE appliances, instruments and </w:t>
      </w:r>
      <w:proofErr w:type="spellStart"/>
      <w:r w:rsidRPr="00494A56">
        <w:rPr>
          <w:lang w:val="en-GB"/>
        </w:rPr>
        <w:t>equipmen</w:t>
      </w:r>
      <w:r w:rsidR="00DC4D93">
        <w:rPr>
          <w:lang w:val="en-GB"/>
        </w:rPr>
        <w:t>s</w:t>
      </w:r>
      <w:r w:rsidRPr="00494A56">
        <w:rPr>
          <w:lang w:val="en-GB"/>
        </w:rPr>
        <w:t>t</w:t>
      </w:r>
      <w:proofErr w:type="spellEnd"/>
      <w:r w:rsidRPr="00494A56">
        <w:rPr>
          <w:lang w:val="en-GB"/>
        </w:rPr>
        <w:t xml:space="preserve"> use extensively Lithium batteries.</w:t>
      </w:r>
    </w:p>
    <w:p w:rsidR="00F57D3A" w:rsidRPr="0043365B" w:rsidRDefault="00A406E6" w:rsidP="0043365B">
      <w:pPr>
        <w:spacing w:after="160" w:line="259" w:lineRule="auto"/>
        <w:rPr>
          <w:lang w:val="en-GB"/>
        </w:rPr>
      </w:pPr>
      <w:r w:rsidRPr="0043365B">
        <w:rPr>
          <w:lang w:val="en-GB"/>
        </w:rPr>
        <w:t>When one excludes the E-mobility market and one considers the consumer market, a majority by weight and by unit of Lithium-Ion batteries are sold in IT equipment (mobile Phones, Laptops, Tablets</w:t>
      </w:r>
      <w:proofErr w:type="gramStart"/>
      <w:r w:rsidRPr="0043365B">
        <w:rPr>
          <w:lang w:val="en-GB"/>
        </w:rPr>
        <w:t>,…</w:t>
      </w:r>
      <w:proofErr w:type="gramEnd"/>
      <w:r w:rsidRPr="0043365B">
        <w:rPr>
          <w:lang w:val="en-GB"/>
        </w:rPr>
        <w:t>). Some of these batteries are returned and collected with primary alkaline batteries (not-lithium based) via the Portable Batteries Compliance Collection Schemes, but a significant number is returned with WEEE.</w:t>
      </w:r>
    </w:p>
    <w:p w:rsidR="00F57D3A" w:rsidRPr="00F57D3A" w:rsidRDefault="00F57D3A" w:rsidP="00A53F28">
      <w:pPr>
        <w:pStyle w:val="Paragraphedeliste"/>
        <w:spacing w:after="160" w:line="259" w:lineRule="auto"/>
        <w:ind w:left="708"/>
        <w:rPr>
          <w:lang w:val="en-GB"/>
        </w:rPr>
      </w:pPr>
    </w:p>
    <w:p w:rsidR="00F57D3A" w:rsidRDefault="00F57D3A" w:rsidP="0043365B">
      <w:pPr>
        <w:rPr>
          <w:lang w:val="en-GB"/>
        </w:rPr>
      </w:pPr>
      <w:r w:rsidRPr="00494A56">
        <w:rPr>
          <w:b/>
          <w:lang w:val="en-GB"/>
        </w:rPr>
        <w:t>Lithium Ion Rechargeable Batteries</w:t>
      </w:r>
      <w:r w:rsidRPr="00494A56">
        <w:rPr>
          <w:lang w:val="en-GB"/>
        </w:rPr>
        <w:t xml:space="preserve"> are the major source of power for mobile </w:t>
      </w:r>
      <w:r>
        <w:rPr>
          <w:lang w:val="en-GB"/>
        </w:rPr>
        <w:t xml:space="preserve">electrical </w:t>
      </w:r>
      <w:proofErr w:type="gramStart"/>
      <w:r w:rsidRPr="00494A56">
        <w:rPr>
          <w:lang w:val="en-GB"/>
        </w:rPr>
        <w:t>equipment,</w:t>
      </w:r>
      <w:proofErr w:type="gramEnd"/>
      <w:r w:rsidRPr="00494A56">
        <w:rPr>
          <w:lang w:val="en-GB"/>
        </w:rPr>
        <w:t xml:space="preserve"> they </w:t>
      </w:r>
      <w:r w:rsidR="00A53F28">
        <w:rPr>
          <w:lang w:val="en-GB"/>
        </w:rPr>
        <w:t xml:space="preserve">may </w:t>
      </w:r>
      <w:r w:rsidRPr="00494A56">
        <w:rPr>
          <w:lang w:val="en-GB"/>
        </w:rPr>
        <w:t>represent by weight a significant ratio of the appliance</w:t>
      </w:r>
      <w:r>
        <w:rPr>
          <w:lang w:val="en-GB"/>
        </w:rPr>
        <w:t xml:space="preserve"> (</w:t>
      </w:r>
      <w:r w:rsidR="00BC28BE">
        <w:rPr>
          <w:lang w:val="en-GB"/>
        </w:rPr>
        <w:t>typically in the range of</w:t>
      </w:r>
      <w:r>
        <w:rPr>
          <w:lang w:val="en-GB"/>
        </w:rPr>
        <w:t xml:space="preserve"> 10-20%)</w:t>
      </w:r>
      <w:r w:rsidRPr="00494A56">
        <w:rPr>
          <w:lang w:val="en-GB"/>
        </w:rPr>
        <w:t>.</w:t>
      </w:r>
    </w:p>
    <w:p w:rsidR="00494A56" w:rsidRDefault="00494A56" w:rsidP="00494A56">
      <w:pPr>
        <w:rPr>
          <w:lang w:val="en-GB"/>
        </w:rPr>
      </w:pPr>
      <w:r w:rsidRPr="00494A56">
        <w:rPr>
          <w:lang w:val="en-GB"/>
        </w:rPr>
        <w:t>Dedicated attention should b</w:t>
      </w:r>
      <w:r w:rsidR="00F57D3A">
        <w:rPr>
          <w:lang w:val="en-GB"/>
        </w:rPr>
        <w:t>e brought for the carriage of t</w:t>
      </w:r>
      <w:r w:rsidRPr="00494A56">
        <w:rPr>
          <w:lang w:val="en-GB"/>
        </w:rPr>
        <w:t>h</w:t>
      </w:r>
      <w:r w:rsidR="00F57D3A">
        <w:rPr>
          <w:lang w:val="en-GB"/>
        </w:rPr>
        <w:t>ese bat</w:t>
      </w:r>
      <w:r w:rsidRPr="00494A56">
        <w:rPr>
          <w:lang w:val="en-GB"/>
        </w:rPr>
        <w:t>t</w:t>
      </w:r>
      <w:r w:rsidR="00F57D3A">
        <w:rPr>
          <w:lang w:val="en-GB"/>
        </w:rPr>
        <w:t>e</w:t>
      </w:r>
      <w:r w:rsidRPr="00494A56">
        <w:rPr>
          <w:lang w:val="en-GB"/>
        </w:rPr>
        <w:t>ries and equipment</w:t>
      </w:r>
      <w:r w:rsidR="00A53F28">
        <w:rPr>
          <w:lang w:val="en-GB"/>
        </w:rPr>
        <w:t xml:space="preserve"> in accordance with </w:t>
      </w:r>
      <w:r w:rsidRPr="00494A56">
        <w:rPr>
          <w:lang w:val="en-GB"/>
        </w:rPr>
        <w:t>the new Speci</w:t>
      </w:r>
      <w:r w:rsidR="00F57D3A">
        <w:rPr>
          <w:lang w:val="en-GB"/>
        </w:rPr>
        <w:t>al Provisions SP377 and P909 of</w:t>
      </w:r>
      <w:r w:rsidRPr="00494A56">
        <w:rPr>
          <w:lang w:val="en-GB"/>
        </w:rPr>
        <w:t xml:space="preserve"> the </w:t>
      </w:r>
      <w:r w:rsidR="00F57D3A">
        <w:rPr>
          <w:lang w:val="en-GB"/>
        </w:rPr>
        <w:t xml:space="preserve">UN Model Regulation for the </w:t>
      </w:r>
      <w:r w:rsidRPr="00494A56">
        <w:rPr>
          <w:lang w:val="en-GB"/>
        </w:rPr>
        <w:t>Transport of Dangerous Goods</w:t>
      </w:r>
      <w:r w:rsidR="00BC28BE">
        <w:rPr>
          <w:lang w:val="en-GB"/>
        </w:rPr>
        <w:t xml:space="preserve">, </w:t>
      </w:r>
      <w:r w:rsidR="00731624">
        <w:rPr>
          <w:lang w:val="en-GB"/>
        </w:rPr>
        <w:t xml:space="preserve">in particular </w:t>
      </w:r>
      <w:r w:rsidR="00BC28BE">
        <w:rPr>
          <w:lang w:val="en-GB"/>
        </w:rPr>
        <w:t>when they have been sorted out</w:t>
      </w:r>
      <w:r w:rsidR="00DC4D93">
        <w:rPr>
          <w:lang w:val="en-GB"/>
        </w:rPr>
        <w:t>.</w:t>
      </w:r>
    </w:p>
    <w:p w:rsidR="00DC4D93" w:rsidRDefault="00DC4D93" w:rsidP="00A53F28">
      <w:pPr>
        <w:spacing w:after="160" w:line="259" w:lineRule="auto"/>
        <w:rPr>
          <w:lang w:val="en-GB"/>
        </w:rPr>
      </w:pPr>
    </w:p>
    <w:p w:rsidR="00DC4D93" w:rsidRDefault="00DC4D93" w:rsidP="00A53F28">
      <w:pPr>
        <w:spacing w:after="160" w:line="259" w:lineRule="auto"/>
        <w:rPr>
          <w:lang w:val="en-GB"/>
        </w:rPr>
      </w:pPr>
    </w:p>
    <w:p w:rsidR="00A53F28" w:rsidRPr="00A53F28" w:rsidRDefault="00A53F28" w:rsidP="00A53F28">
      <w:pPr>
        <w:spacing w:after="160" w:line="259" w:lineRule="auto"/>
        <w:rPr>
          <w:lang w:val="en-GB"/>
        </w:rPr>
      </w:pPr>
      <w:r w:rsidRPr="00A53F28">
        <w:rPr>
          <w:lang w:val="en-GB"/>
        </w:rPr>
        <w:t>Industrial Li-Ion batteries have to be taken back by producers when reaching an end of life.</w:t>
      </w:r>
      <w:r>
        <w:rPr>
          <w:lang w:val="en-GB"/>
        </w:rPr>
        <w:t xml:space="preserve"> The conditions of transport </w:t>
      </w:r>
      <w:r w:rsidR="00D06591">
        <w:rPr>
          <w:lang w:val="en-GB"/>
        </w:rPr>
        <w:t>are</w:t>
      </w:r>
      <w:r>
        <w:rPr>
          <w:lang w:val="en-GB"/>
        </w:rPr>
        <w:t xml:space="preserve"> also regulated by the UN Model Regulation for the Transport of Dangerous Goods</w:t>
      </w:r>
      <w:r w:rsidR="000D19D4">
        <w:rPr>
          <w:lang w:val="en-GB"/>
        </w:rPr>
        <w:t xml:space="preserve"> (SP376 &amp; P909).</w:t>
      </w:r>
    </w:p>
    <w:p w:rsidR="00A53F28" w:rsidRDefault="00A53F28" w:rsidP="00A53F28">
      <w:pPr>
        <w:spacing w:after="160" w:line="259" w:lineRule="auto"/>
        <w:rPr>
          <w:b/>
          <w:lang w:val="en-GB"/>
        </w:rPr>
      </w:pPr>
    </w:p>
    <w:p w:rsidR="00A53F28" w:rsidRPr="00F57D3A" w:rsidRDefault="00A53F28" w:rsidP="00A53F28">
      <w:pPr>
        <w:spacing w:after="160" w:line="259" w:lineRule="auto"/>
        <w:rPr>
          <w:b/>
          <w:lang w:val="en-GB"/>
        </w:rPr>
      </w:pPr>
      <w:proofErr w:type="gramStart"/>
      <w:r>
        <w:rPr>
          <w:b/>
          <w:lang w:val="en-GB"/>
        </w:rPr>
        <w:t xml:space="preserve">The Transport of WEEE containing Lithium-Metal </w:t>
      </w:r>
      <w:r w:rsidRPr="00F57D3A">
        <w:rPr>
          <w:b/>
          <w:lang w:val="en-GB"/>
        </w:rPr>
        <w:t>batteries.</w:t>
      </w:r>
      <w:proofErr w:type="gramEnd"/>
    </w:p>
    <w:p w:rsidR="00494A56" w:rsidRPr="00494A56" w:rsidRDefault="00494A56" w:rsidP="00494A56">
      <w:pPr>
        <w:rPr>
          <w:lang w:val="en-GB"/>
        </w:rPr>
      </w:pPr>
    </w:p>
    <w:p w:rsidR="00494A56" w:rsidRPr="00494A56" w:rsidRDefault="00494A56" w:rsidP="00494A56">
      <w:pPr>
        <w:rPr>
          <w:lang w:val="en-GB"/>
        </w:rPr>
      </w:pPr>
      <w:r w:rsidRPr="00494A56">
        <w:rPr>
          <w:b/>
          <w:lang w:val="en-GB"/>
        </w:rPr>
        <w:t>Lithium-Metal Primary Batteries</w:t>
      </w:r>
      <w:r w:rsidRPr="00494A56">
        <w:rPr>
          <w:lang w:val="en-GB"/>
        </w:rPr>
        <w:t xml:space="preserve"> are used </w:t>
      </w:r>
      <w:r w:rsidR="00F57D3A">
        <w:rPr>
          <w:lang w:val="en-GB"/>
        </w:rPr>
        <w:t xml:space="preserve">mainly </w:t>
      </w:r>
      <w:r w:rsidRPr="00494A56">
        <w:rPr>
          <w:lang w:val="en-GB"/>
        </w:rPr>
        <w:t xml:space="preserve">for </w:t>
      </w:r>
      <w:r w:rsidR="00F57D3A">
        <w:rPr>
          <w:lang w:val="en-GB"/>
        </w:rPr>
        <w:t>memory back-up applications and,</w:t>
      </w:r>
      <w:r w:rsidRPr="00494A56">
        <w:rPr>
          <w:lang w:val="en-GB"/>
        </w:rPr>
        <w:t xml:space="preserve"> i</w:t>
      </w:r>
      <w:r w:rsidR="00F57D3A">
        <w:rPr>
          <w:lang w:val="en-GB"/>
        </w:rPr>
        <w:t xml:space="preserve">n a limited number of equipment, </w:t>
      </w:r>
      <w:r w:rsidR="00F57D3A" w:rsidRPr="00494A56">
        <w:rPr>
          <w:lang w:val="en-GB"/>
        </w:rPr>
        <w:t>as a main power source</w:t>
      </w:r>
      <w:r w:rsidR="00A53F28">
        <w:rPr>
          <w:lang w:val="en-GB"/>
        </w:rPr>
        <w:t>.</w:t>
      </w:r>
    </w:p>
    <w:p w:rsidR="00BC28BE" w:rsidRDefault="00494A56" w:rsidP="00BC28BE">
      <w:pPr>
        <w:rPr>
          <w:lang w:val="en-GB"/>
        </w:rPr>
      </w:pPr>
      <w:r w:rsidRPr="00494A56">
        <w:rPr>
          <w:lang w:val="en-GB"/>
        </w:rPr>
        <w:lastRenderedPageBreak/>
        <w:t xml:space="preserve">When used as </w:t>
      </w:r>
      <w:r w:rsidRPr="00DC4D93">
        <w:rPr>
          <w:b/>
          <w:lang w:val="en-GB"/>
        </w:rPr>
        <w:t>Memory Back-up</w:t>
      </w:r>
      <w:r w:rsidRPr="00494A56">
        <w:rPr>
          <w:lang w:val="en-GB"/>
        </w:rPr>
        <w:t>, they represent by w</w:t>
      </w:r>
      <w:r w:rsidR="00F57D3A">
        <w:rPr>
          <w:lang w:val="en-GB"/>
        </w:rPr>
        <w:t xml:space="preserve">eight of small fraction of the </w:t>
      </w:r>
      <w:r w:rsidRPr="00494A56">
        <w:rPr>
          <w:lang w:val="en-GB"/>
        </w:rPr>
        <w:t>EEE (generally less than 0.1 %)</w:t>
      </w:r>
      <w:r w:rsidR="00F57D3A">
        <w:rPr>
          <w:lang w:val="en-GB"/>
        </w:rPr>
        <w:t>. Their Lithium content is well below the</w:t>
      </w:r>
      <w:r w:rsidR="00A53F28">
        <w:rPr>
          <w:lang w:val="en-GB"/>
        </w:rPr>
        <w:t xml:space="preserve"> 1.0 g limit per cell and 2.0 g limit per </w:t>
      </w:r>
      <w:r w:rsidR="00F57D3A">
        <w:rPr>
          <w:lang w:val="en-GB"/>
        </w:rPr>
        <w:t xml:space="preserve">battery </w:t>
      </w:r>
      <w:r w:rsidR="00BC28BE">
        <w:rPr>
          <w:lang w:val="en-GB"/>
        </w:rPr>
        <w:t>indicated in the</w:t>
      </w:r>
      <w:r w:rsidR="00F57D3A">
        <w:rPr>
          <w:lang w:val="en-GB"/>
        </w:rPr>
        <w:t xml:space="preserve"> SP188 of the UN Model Regulation for the </w:t>
      </w:r>
      <w:r w:rsidR="00F57D3A" w:rsidRPr="00494A56">
        <w:rPr>
          <w:lang w:val="en-GB"/>
        </w:rPr>
        <w:t>Transport of Dangerous Goods.</w:t>
      </w:r>
      <w:r w:rsidR="00BC28BE" w:rsidRPr="00BC28BE">
        <w:rPr>
          <w:lang w:val="en-GB"/>
        </w:rPr>
        <w:t xml:space="preserve"> </w:t>
      </w:r>
    </w:p>
    <w:p w:rsidR="00BC28BE" w:rsidRPr="00494A56" w:rsidRDefault="00BC28BE" w:rsidP="00BC28BE">
      <w:pPr>
        <w:rPr>
          <w:lang w:val="en-GB"/>
        </w:rPr>
      </w:pPr>
      <w:r>
        <w:rPr>
          <w:lang w:val="en-GB"/>
        </w:rPr>
        <w:t>They are generally fixed on the printed circuit board of the equipment, difficult to access, and therefore well protected during transport</w:t>
      </w:r>
      <w:r w:rsidR="000D19D4">
        <w:rPr>
          <w:lang w:val="en-GB"/>
        </w:rPr>
        <w:t xml:space="preserve"> either as new or as waste</w:t>
      </w:r>
      <w:bookmarkStart w:id="0" w:name="_GoBack"/>
      <w:bookmarkEnd w:id="0"/>
      <w:r>
        <w:rPr>
          <w:lang w:val="en-GB"/>
        </w:rPr>
        <w:t>.</w:t>
      </w:r>
    </w:p>
    <w:p w:rsidR="00F57D3A" w:rsidRDefault="00494A56" w:rsidP="00F57D3A">
      <w:pPr>
        <w:rPr>
          <w:lang w:val="en-GB"/>
        </w:rPr>
      </w:pPr>
      <w:r w:rsidRPr="00494A56">
        <w:rPr>
          <w:lang w:val="en-GB"/>
        </w:rPr>
        <w:t xml:space="preserve">As a result, </w:t>
      </w:r>
      <w:r w:rsidR="00F57D3A">
        <w:rPr>
          <w:lang w:val="en-GB"/>
        </w:rPr>
        <w:t xml:space="preserve">the transport of WEEE containing </w:t>
      </w:r>
      <w:r w:rsidRPr="00494A56">
        <w:rPr>
          <w:lang w:val="en-GB"/>
        </w:rPr>
        <w:t xml:space="preserve">Memory Back-up batteries should be considered </w:t>
      </w:r>
      <w:r w:rsidR="00F57D3A">
        <w:rPr>
          <w:lang w:val="en-GB"/>
        </w:rPr>
        <w:t xml:space="preserve">with some relaxation from the Transport Requirements of UN Model Regulation for the </w:t>
      </w:r>
      <w:r w:rsidR="00F57D3A" w:rsidRPr="00494A56">
        <w:rPr>
          <w:lang w:val="en-GB"/>
        </w:rPr>
        <w:t>Transport of Dangerous Goods.</w:t>
      </w:r>
    </w:p>
    <w:p w:rsidR="00F57D3A" w:rsidRPr="00494A56" w:rsidRDefault="00F57D3A" w:rsidP="00F57D3A">
      <w:pPr>
        <w:rPr>
          <w:lang w:val="en-GB"/>
        </w:rPr>
      </w:pPr>
      <w:r w:rsidRPr="00494A56">
        <w:rPr>
          <w:lang w:val="en-GB"/>
        </w:rPr>
        <w:t xml:space="preserve">When </w:t>
      </w:r>
      <w:r w:rsidRPr="00DC4D93">
        <w:rPr>
          <w:b/>
          <w:lang w:val="en-GB"/>
        </w:rPr>
        <w:t>industrial take back schemes</w:t>
      </w:r>
      <w:r w:rsidRPr="00494A56">
        <w:rPr>
          <w:lang w:val="en-GB"/>
        </w:rPr>
        <w:t xml:space="preserve"> are considered, attention should be paid to the fact that some of these </w:t>
      </w:r>
      <w:r w:rsidR="00DC4D93">
        <w:rPr>
          <w:lang w:val="en-GB"/>
        </w:rPr>
        <w:t xml:space="preserve">Primary </w:t>
      </w:r>
      <w:r w:rsidRPr="00494A56">
        <w:rPr>
          <w:lang w:val="en-GB"/>
        </w:rPr>
        <w:t>Li-M</w:t>
      </w:r>
      <w:r w:rsidR="00DC4D93">
        <w:rPr>
          <w:lang w:val="en-GB"/>
        </w:rPr>
        <w:t>etal</w:t>
      </w:r>
      <w:r w:rsidRPr="00494A56">
        <w:rPr>
          <w:lang w:val="en-GB"/>
        </w:rPr>
        <w:t xml:space="preserve"> batteries </w:t>
      </w:r>
      <w:r>
        <w:rPr>
          <w:lang w:val="en-GB"/>
        </w:rPr>
        <w:t xml:space="preserve">may </w:t>
      </w:r>
      <w:r w:rsidRPr="00494A56">
        <w:rPr>
          <w:lang w:val="en-GB"/>
        </w:rPr>
        <w:t xml:space="preserve">have </w:t>
      </w:r>
      <w:proofErr w:type="gramStart"/>
      <w:r w:rsidRPr="00494A56">
        <w:rPr>
          <w:lang w:val="en-GB"/>
        </w:rPr>
        <w:t>a high</w:t>
      </w:r>
      <w:proofErr w:type="gramEnd"/>
      <w:r w:rsidRPr="00494A56">
        <w:rPr>
          <w:lang w:val="en-GB"/>
        </w:rPr>
        <w:t xml:space="preserve"> residual energy content and therefore should be carried under </w:t>
      </w:r>
      <w:r>
        <w:rPr>
          <w:lang w:val="en-GB"/>
        </w:rPr>
        <w:t>the current regulation for the Transport of Dangerous Goods.</w:t>
      </w:r>
    </w:p>
    <w:p w:rsidR="00F57D3A" w:rsidRDefault="00F57D3A" w:rsidP="00494A56">
      <w:pPr>
        <w:rPr>
          <w:lang w:val="en-GB"/>
        </w:rPr>
      </w:pPr>
    </w:p>
    <w:p w:rsidR="00494A56" w:rsidRPr="001161CC" w:rsidRDefault="00BB22FF" w:rsidP="00494A56">
      <w:pPr>
        <w:rPr>
          <w:b/>
          <w:lang w:val="en-GB"/>
        </w:rPr>
      </w:pPr>
      <w:r w:rsidRPr="001161CC">
        <w:rPr>
          <w:b/>
          <w:lang w:val="en-GB"/>
        </w:rPr>
        <w:t xml:space="preserve">RECHARGE </w:t>
      </w:r>
      <w:proofErr w:type="spellStart"/>
      <w:r w:rsidRPr="001161CC">
        <w:rPr>
          <w:b/>
          <w:lang w:val="en-GB"/>
        </w:rPr>
        <w:t>aisbl</w:t>
      </w:r>
      <w:proofErr w:type="spellEnd"/>
      <w:r w:rsidRPr="001161CC">
        <w:rPr>
          <w:b/>
          <w:lang w:val="en-GB"/>
        </w:rPr>
        <w:t>.</w:t>
      </w:r>
    </w:p>
    <w:p w:rsidR="00BB22FF" w:rsidRPr="001161CC" w:rsidRDefault="00BB22FF" w:rsidP="00494A56">
      <w:pPr>
        <w:rPr>
          <w:b/>
          <w:lang w:val="en-GB"/>
        </w:rPr>
      </w:pPr>
      <w:proofErr w:type="spellStart"/>
      <w:proofErr w:type="gramStart"/>
      <w:r w:rsidRPr="001161CC">
        <w:rPr>
          <w:b/>
          <w:lang w:val="en-GB"/>
        </w:rPr>
        <w:t>JPWx</w:t>
      </w:r>
      <w:proofErr w:type="spellEnd"/>
      <w:r w:rsidR="00DC4D93">
        <w:rPr>
          <w:b/>
          <w:lang w:val="en-GB"/>
        </w:rPr>
        <w:t xml:space="preserve"> &amp; CC.</w:t>
      </w:r>
      <w:proofErr w:type="gramEnd"/>
    </w:p>
    <w:p w:rsidR="00BB22FF" w:rsidRPr="001161CC" w:rsidRDefault="00BB22FF" w:rsidP="00494A56">
      <w:pPr>
        <w:rPr>
          <w:b/>
          <w:lang w:val="en-GB"/>
        </w:rPr>
      </w:pPr>
      <w:proofErr w:type="gramStart"/>
      <w:r w:rsidRPr="001161CC">
        <w:rPr>
          <w:b/>
          <w:lang w:val="en-GB"/>
        </w:rPr>
        <w:t>Brussels, August 20915.</w:t>
      </w:r>
      <w:proofErr w:type="gramEnd"/>
    </w:p>
    <w:p w:rsidR="00BB22FF" w:rsidRDefault="00BB22FF" w:rsidP="00BB22FF">
      <w:pPr>
        <w:spacing w:after="160" w:line="259" w:lineRule="auto"/>
        <w:rPr>
          <w:lang w:val="en-GB"/>
        </w:rPr>
      </w:pPr>
    </w:p>
    <w:p w:rsidR="00BB22FF" w:rsidRPr="000B1AEA" w:rsidRDefault="000B1AEA" w:rsidP="00BB22FF">
      <w:pPr>
        <w:spacing w:after="160" w:line="259" w:lineRule="auto"/>
        <w:rPr>
          <w:lang w:val="de-CH"/>
        </w:rPr>
      </w:pPr>
      <w:r>
        <w:rPr>
          <w:lang w:val="en-GB"/>
        </w:rPr>
        <w:t xml:space="preserve">For additional information, please contact RECHARGE </w:t>
      </w:r>
      <w:proofErr w:type="spellStart"/>
      <w:r>
        <w:rPr>
          <w:lang w:val="en-GB"/>
        </w:rPr>
        <w:t>aisbl</w:t>
      </w:r>
      <w:proofErr w:type="spellEnd"/>
      <w:r>
        <w:rPr>
          <w:lang w:val="en-GB"/>
        </w:rPr>
        <w:t xml:space="preserve">. </w:t>
      </w:r>
      <w:r w:rsidRPr="00F97F89">
        <w:rPr>
          <w:lang w:val="fr-FR"/>
        </w:rPr>
        <w:t xml:space="preserve">Avenue de Tervueren, 168. Box 3. B 1150 Brussels. </w:t>
      </w:r>
      <w:r w:rsidRPr="00CB37FB">
        <w:rPr>
          <w:lang w:val="en-GB"/>
        </w:rPr>
        <w:t xml:space="preserve">Belgium. </w:t>
      </w:r>
      <w:r>
        <w:rPr>
          <w:lang w:val="de-CH"/>
        </w:rPr>
        <w:t>Tel. 00 32 2 777 05 60.</w:t>
      </w:r>
    </w:p>
    <w:p w:rsidR="000B1AEA" w:rsidRPr="000B1AEA" w:rsidRDefault="00DA6433" w:rsidP="000B1AEA">
      <w:pPr>
        <w:spacing w:after="0" w:line="240" w:lineRule="auto"/>
        <w:rPr>
          <w:lang w:val="de-CH"/>
        </w:rPr>
      </w:pPr>
      <w:hyperlink r:id="rId13" w:history="1">
        <w:r w:rsidR="000B1AEA" w:rsidRPr="000B1AEA">
          <w:rPr>
            <w:rStyle w:val="Lienhypertexte"/>
            <w:lang w:val="de-CH"/>
          </w:rPr>
          <w:t>jpwiaux@rechargebatteries.org</w:t>
        </w:r>
      </w:hyperlink>
    </w:p>
    <w:p w:rsidR="000B1AEA" w:rsidRPr="000B1AEA" w:rsidRDefault="00DA6433" w:rsidP="000B1AEA">
      <w:pPr>
        <w:spacing w:after="0" w:line="240" w:lineRule="auto"/>
        <w:rPr>
          <w:lang w:val="de-CH"/>
        </w:rPr>
      </w:pPr>
      <w:hyperlink r:id="rId14" w:history="1">
        <w:r w:rsidR="000B1AEA" w:rsidRPr="000B1AEA">
          <w:rPr>
            <w:rStyle w:val="Lienhypertexte"/>
            <w:lang w:val="de-CH"/>
          </w:rPr>
          <w:t>cchanson@rechargebatetries.org</w:t>
        </w:r>
      </w:hyperlink>
    </w:p>
    <w:p w:rsidR="000B1AEA" w:rsidRPr="000B1AEA" w:rsidRDefault="00DA6433" w:rsidP="000B1AEA">
      <w:pPr>
        <w:spacing w:after="0" w:line="240" w:lineRule="auto"/>
        <w:rPr>
          <w:lang w:val="de-CH"/>
        </w:rPr>
      </w:pPr>
      <w:hyperlink r:id="rId15" w:history="1">
        <w:r w:rsidR="000B1AEA" w:rsidRPr="008543C3">
          <w:rPr>
            <w:rStyle w:val="Lienhypertexte"/>
            <w:lang w:val="de-CH"/>
          </w:rPr>
          <w:t>wtomboy@rechargebatetries.org</w:t>
        </w:r>
      </w:hyperlink>
    </w:p>
    <w:p w:rsidR="000B1AEA" w:rsidRPr="000B1AEA" w:rsidRDefault="000B1AEA" w:rsidP="00BB22FF">
      <w:pPr>
        <w:spacing w:after="160" w:line="259" w:lineRule="auto"/>
        <w:rPr>
          <w:lang w:val="de-CH"/>
        </w:rPr>
      </w:pPr>
    </w:p>
    <w:p w:rsidR="0043365B" w:rsidRPr="000B1AEA" w:rsidRDefault="0043365B">
      <w:pPr>
        <w:rPr>
          <w:lang w:val="de-CH"/>
        </w:rPr>
      </w:pPr>
      <w:r w:rsidRPr="000B1AEA">
        <w:rPr>
          <w:lang w:val="de-CH"/>
        </w:rPr>
        <w:br w:type="page"/>
      </w:r>
    </w:p>
    <w:p w:rsidR="00BB22FF" w:rsidRPr="000B1AEA" w:rsidRDefault="00BB22FF" w:rsidP="00BB22FF">
      <w:pPr>
        <w:spacing w:after="160" w:line="259" w:lineRule="auto"/>
        <w:rPr>
          <w:lang w:val="de-CH"/>
        </w:rPr>
      </w:pPr>
    </w:p>
    <w:p w:rsidR="00EA311C" w:rsidRPr="000B1AEA" w:rsidRDefault="00EA311C" w:rsidP="00473EEF">
      <w:pPr>
        <w:spacing w:after="0"/>
        <w:jc w:val="center"/>
        <w:rPr>
          <w:lang w:val="de-CH"/>
        </w:rPr>
      </w:pPr>
    </w:p>
    <w:p w:rsidR="00494A56" w:rsidRPr="00CB37FB" w:rsidRDefault="00494A56" w:rsidP="00473EEF">
      <w:pPr>
        <w:spacing w:after="0"/>
        <w:jc w:val="center"/>
        <w:rPr>
          <w:b/>
          <w:lang w:val="de-CH"/>
        </w:rPr>
      </w:pPr>
      <w:r w:rsidRPr="00CB37FB">
        <w:rPr>
          <w:b/>
          <w:lang w:val="de-CH"/>
        </w:rPr>
        <w:t xml:space="preserve">TABLE </w:t>
      </w:r>
      <w:r w:rsidR="00473EEF" w:rsidRPr="00CB37FB">
        <w:rPr>
          <w:b/>
          <w:lang w:val="de-CH"/>
        </w:rPr>
        <w:t>1</w:t>
      </w:r>
      <w:r w:rsidRPr="00CB37FB">
        <w:rPr>
          <w:b/>
          <w:lang w:val="de-CH"/>
        </w:rPr>
        <w:t xml:space="preserve">. </w:t>
      </w:r>
      <w:r w:rsidRPr="00CB37FB">
        <w:rPr>
          <w:b/>
          <w:lang w:val="de-CH"/>
        </w:rPr>
        <w:tab/>
      </w:r>
    </w:p>
    <w:p w:rsidR="00EA311C" w:rsidRDefault="00494A56" w:rsidP="00473EEF">
      <w:pPr>
        <w:spacing w:after="0"/>
        <w:jc w:val="center"/>
        <w:rPr>
          <w:b/>
          <w:lang w:val="en-GB"/>
        </w:rPr>
      </w:pPr>
      <w:proofErr w:type="gramStart"/>
      <w:r w:rsidRPr="00494A56">
        <w:rPr>
          <w:b/>
          <w:lang w:val="en-GB"/>
        </w:rPr>
        <w:t>List of applications for Lithium-Metal Primary Batteries.</w:t>
      </w:r>
      <w:proofErr w:type="gramEnd"/>
      <w:r w:rsidRPr="00494A56">
        <w:rPr>
          <w:b/>
          <w:lang w:val="en-GB"/>
        </w:rPr>
        <w:t xml:space="preserve"> </w:t>
      </w:r>
    </w:p>
    <w:p w:rsidR="00494A56" w:rsidRPr="00EA311C" w:rsidRDefault="00494A56" w:rsidP="00473EEF">
      <w:pPr>
        <w:spacing w:after="0"/>
        <w:jc w:val="center"/>
        <w:rPr>
          <w:b/>
          <w:lang w:val="en-GB"/>
        </w:rPr>
      </w:pPr>
      <w:r w:rsidRPr="00EA311C">
        <w:rPr>
          <w:b/>
          <w:lang w:val="en-GB"/>
        </w:rPr>
        <w:t>(From VARTA Handbook</w:t>
      </w:r>
      <w:r w:rsidR="00EA311C" w:rsidRPr="00EA311C">
        <w:rPr>
          <w:b/>
          <w:lang w:val="en-GB"/>
        </w:rPr>
        <w:t xml:space="preserve"> and SAFT </w:t>
      </w:r>
      <w:r w:rsidR="00EA311C">
        <w:rPr>
          <w:b/>
          <w:lang w:val="en-GB"/>
        </w:rPr>
        <w:t>Selector Guide</w:t>
      </w:r>
      <w:r w:rsidRPr="00EA311C">
        <w:rPr>
          <w:b/>
          <w:lang w:val="en-GB"/>
        </w:rPr>
        <w:t>)</w:t>
      </w:r>
    </w:p>
    <w:p w:rsidR="00494A56" w:rsidRPr="00EA311C" w:rsidRDefault="00494A56" w:rsidP="00473EEF">
      <w:pPr>
        <w:spacing w:after="0"/>
        <w:rPr>
          <w:lang w:val="en-GB"/>
        </w:rPr>
      </w:pPr>
    </w:p>
    <w:p w:rsidR="00494A56" w:rsidRDefault="00494A56" w:rsidP="00494A56">
      <w:r w:rsidRPr="007E209A">
        <w:rPr>
          <w:noProof/>
          <w:lang w:val="fr-FR" w:eastAsia="fr-FR"/>
        </w:rPr>
        <w:drawing>
          <wp:inline distT="0" distB="0" distL="0" distR="0">
            <wp:extent cx="5760720" cy="6014877"/>
            <wp:effectExtent l="0" t="0" r="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6014877"/>
                    </a:xfrm>
                    <a:prstGeom prst="rect">
                      <a:avLst/>
                    </a:prstGeom>
                    <a:noFill/>
                    <a:ln>
                      <a:noFill/>
                    </a:ln>
                  </pic:spPr>
                </pic:pic>
              </a:graphicData>
            </a:graphic>
          </wp:inline>
        </w:drawing>
      </w:r>
    </w:p>
    <w:p w:rsidR="00494A56" w:rsidRDefault="00494A56" w:rsidP="00494A56">
      <w:pPr>
        <w:jc w:val="center"/>
        <w:rPr>
          <w:b/>
        </w:rPr>
      </w:pPr>
    </w:p>
    <w:p w:rsidR="00473EEF" w:rsidRDefault="00494A56" w:rsidP="00473EEF">
      <w:pPr>
        <w:spacing w:after="0" w:line="240" w:lineRule="auto"/>
        <w:jc w:val="center"/>
        <w:rPr>
          <w:b/>
        </w:rPr>
      </w:pPr>
      <w:r>
        <w:rPr>
          <w:b/>
        </w:rPr>
        <w:br w:type="page"/>
      </w:r>
    </w:p>
    <w:p w:rsidR="00473EEF" w:rsidRDefault="00473EEF" w:rsidP="00473EEF">
      <w:pPr>
        <w:spacing w:after="0" w:line="240" w:lineRule="auto"/>
        <w:jc w:val="center"/>
        <w:rPr>
          <w:b/>
        </w:rPr>
      </w:pPr>
    </w:p>
    <w:p w:rsidR="00473EEF" w:rsidRDefault="00473EEF" w:rsidP="00473EEF">
      <w:pPr>
        <w:spacing w:after="0" w:line="240" w:lineRule="auto"/>
        <w:jc w:val="center"/>
        <w:rPr>
          <w:b/>
        </w:rPr>
      </w:pPr>
    </w:p>
    <w:p w:rsidR="00494A56" w:rsidRPr="00494A56" w:rsidRDefault="00494A56" w:rsidP="00473EEF">
      <w:pPr>
        <w:spacing w:after="0" w:line="240" w:lineRule="auto"/>
        <w:jc w:val="center"/>
        <w:rPr>
          <w:b/>
          <w:lang w:val="en-GB"/>
        </w:rPr>
      </w:pPr>
      <w:proofErr w:type="gramStart"/>
      <w:r w:rsidRPr="00494A56">
        <w:rPr>
          <w:b/>
          <w:lang w:val="en-GB"/>
        </w:rPr>
        <w:t xml:space="preserve">TABLE </w:t>
      </w:r>
      <w:r w:rsidR="00473EEF">
        <w:rPr>
          <w:b/>
          <w:lang w:val="en-GB"/>
        </w:rPr>
        <w:t>2</w:t>
      </w:r>
      <w:r w:rsidRPr="00494A56">
        <w:rPr>
          <w:b/>
          <w:lang w:val="en-GB"/>
        </w:rPr>
        <w:t>.</w:t>
      </w:r>
      <w:proofErr w:type="gramEnd"/>
    </w:p>
    <w:p w:rsidR="00494A56" w:rsidRPr="00494A56" w:rsidRDefault="00494A56" w:rsidP="00473EEF">
      <w:pPr>
        <w:spacing w:after="0" w:line="240" w:lineRule="auto"/>
        <w:ind w:left="1440" w:hanging="1440"/>
        <w:jc w:val="center"/>
        <w:rPr>
          <w:b/>
          <w:lang w:val="en-GB"/>
        </w:rPr>
      </w:pPr>
      <w:r w:rsidRPr="00494A56">
        <w:rPr>
          <w:b/>
          <w:lang w:val="en-GB"/>
        </w:rPr>
        <w:t>List of most currently used Li-MnO2 button cells and cylindrical cells</w:t>
      </w:r>
    </w:p>
    <w:p w:rsidR="00494A56" w:rsidRDefault="00494A56" w:rsidP="00473EEF">
      <w:pPr>
        <w:spacing w:after="0" w:line="240" w:lineRule="auto"/>
        <w:ind w:left="1440" w:hanging="1440"/>
        <w:jc w:val="center"/>
        <w:rPr>
          <w:b/>
          <w:lang w:val="en-GB"/>
        </w:rPr>
      </w:pPr>
      <w:proofErr w:type="gramStart"/>
      <w:r w:rsidRPr="00494A56">
        <w:rPr>
          <w:b/>
          <w:lang w:val="en-GB"/>
        </w:rPr>
        <w:t>in</w:t>
      </w:r>
      <w:proofErr w:type="gramEnd"/>
      <w:r w:rsidRPr="00494A56">
        <w:rPr>
          <w:b/>
          <w:lang w:val="en-GB"/>
        </w:rPr>
        <w:t xml:space="preserve"> relation to their Lithium Metal content</w:t>
      </w:r>
      <w:r w:rsidR="00EA311C">
        <w:rPr>
          <w:b/>
          <w:lang w:val="en-GB"/>
        </w:rPr>
        <w:t>.</w:t>
      </w:r>
    </w:p>
    <w:p w:rsidR="00EA311C" w:rsidRPr="00494A56" w:rsidRDefault="00EA311C" w:rsidP="00473EEF">
      <w:pPr>
        <w:spacing w:after="0" w:line="240" w:lineRule="auto"/>
        <w:ind w:left="1440" w:hanging="1440"/>
        <w:jc w:val="center"/>
        <w:rPr>
          <w:b/>
          <w:lang w:val="en-GB"/>
        </w:rPr>
      </w:pPr>
      <w:proofErr w:type="gramStart"/>
      <w:r w:rsidRPr="00494A56">
        <w:rPr>
          <w:b/>
          <w:lang w:val="en-GB"/>
        </w:rPr>
        <w:t>(Courtesy from VARTA).</w:t>
      </w:r>
      <w:proofErr w:type="gramEnd"/>
    </w:p>
    <w:p w:rsidR="00494A56" w:rsidRPr="00494A56" w:rsidRDefault="00494A56" w:rsidP="00494A56">
      <w:pPr>
        <w:rPr>
          <w:lang w:val="en-GB"/>
        </w:rPr>
      </w:pPr>
    </w:p>
    <w:tbl>
      <w:tblPr>
        <w:tblW w:w="4960" w:type="dxa"/>
        <w:jc w:val="center"/>
        <w:tblLook w:val="04A0"/>
      </w:tblPr>
      <w:tblGrid>
        <w:gridCol w:w="1240"/>
        <w:gridCol w:w="1240"/>
        <w:gridCol w:w="1240"/>
        <w:gridCol w:w="1240"/>
      </w:tblGrid>
      <w:tr w:rsidR="00494A56" w:rsidRPr="00B6704C" w:rsidTr="00913005">
        <w:trPr>
          <w:trHeight w:val="507"/>
          <w:jc w:val="center"/>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94A56" w:rsidRDefault="00494A56" w:rsidP="00913005">
            <w:pPr>
              <w:spacing w:after="0" w:line="240" w:lineRule="auto"/>
              <w:jc w:val="center"/>
              <w:rPr>
                <w:rFonts w:ascii="Arial" w:eastAsia="Times New Roman" w:hAnsi="Arial" w:cs="Arial"/>
                <w:b/>
                <w:bCs/>
                <w:color w:val="000000"/>
                <w:sz w:val="20"/>
                <w:szCs w:val="20"/>
                <w:lang w:eastAsia="en-GB"/>
              </w:rPr>
            </w:pPr>
            <w:r w:rsidRPr="00B6704C">
              <w:rPr>
                <w:rFonts w:ascii="Arial" w:eastAsia="Times New Roman" w:hAnsi="Arial" w:cs="Arial"/>
                <w:b/>
                <w:bCs/>
                <w:color w:val="000000"/>
                <w:sz w:val="20"/>
                <w:szCs w:val="20"/>
                <w:lang w:eastAsia="en-GB"/>
              </w:rPr>
              <w:t>Types</w:t>
            </w:r>
          </w:p>
          <w:p w:rsidR="00494A56" w:rsidRPr="00B6704C" w:rsidRDefault="00494A56" w:rsidP="00913005">
            <w:pPr>
              <w:spacing w:after="0" w:line="240" w:lineRule="auto"/>
              <w:jc w:val="center"/>
              <w:rPr>
                <w:rFonts w:ascii="Arial" w:eastAsia="Times New Roman" w:hAnsi="Arial" w:cs="Arial"/>
                <w:b/>
                <w:bCs/>
                <w:color w:val="000000"/>
                <w:sz w:val="20"/>
                <w:szCs w:val="20"/>
                <w:lang w:eastAsia="en-GB"/>
              </w:rPr>
            </w:pP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rsidR="00494A56" w:rsidRDefault="00494A56" w:rsidP="00913005">
            <w:pPr>
              <w:spacing w:after="0" w:line="240" w:lineRule="auto"/>
              <w:jc w:val="center"/>
              <w:rPr>
                <w:rFonts w:ascii="Arial" w:eastAsia="Times New Roman" w:hAnsi="Arial" w:cs="Arial"/>
                <w:b/>
                <w:bCs/>
                <w:color w:val="000000"/>
                <w:sz w:val="20"/>
                <w:szCs w:val="20"/>
                <w:lang w:eastAsia="en-GB"/>
              </w:rPr>
            </w:pPr>
            <w:r w:rsidRPr="00B6704C">
              <w:rPr>
                <w:rFonts w:ascii="Arial" w:eastAsia="Times New Roman" w:hAnsi="Arial" w:cs="Arial"/>
                <w:b/>
                <w:bCs/>
                <w:color w:val="000000"/>
                <w:sz w:val="20"/>
                <w:szCs w:val="20"/>
                <w:lang w:eastAsia="en-GB"/>
              </w:rPr>
              <w:t>Serial N°</w:t>
            </w:r>
          </w:p>
          <w:p w:rsidR="00494A56" w:rsidRPr="00B6704C" w:rsidRDefault="00494A56" w:rsidP="00913005">
            <w:pPr>
              <w:spacing w:after="0" w:line="240" w:lineRule="auto"/>
              <w:jc w:val="center"/>
              <w:rPr>
                <w:rFonts w:ascii="Arial" w:eastAsia="Times New Roman" w:hAnsi="Arial" w:cs="Arial"/>
                <w:b/>
                <w:bCs/>
                <w:color w:val="000000"/>
                <w:sz w:val="20"/>
                <w:szCs w:val="20"/>
                <w:lang w:eastAsia="en-GB"/>
              </w:rPr>
            </w:pP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rsidR="00494A56" w:rsidRDefault="00494A56" w:rsidP="00913005">
            <w:pPr>
              <w:spacing w:after="0" w:line="240" w:lineRule="auto"/>
              <w:jc w:val="center"/>
              <w:rPr>
                <w:rFonts w:ascii="Arial" w:eastAsia="Times New Roman" w:hAnsi="Arial" w:cs="Arial"/>
                <w:b/>
                <w:bCs/>
                <w:color w:val="000000"/>
                <w:sz w:val="20"/>
                <w:szCs w:val="20"/>
                <w:lang w:eastAsia="en-GB"/>
              </w:rPr>
            </w:pPr>
            <w:r w:rsidRPr="00B6704C">
              <w:rPr>
                <w:rFonts w:ascii="Arial" w:eastAsia="Times New Roman" w:hAnsi="Arial" w:cs="Arial"/>
                <w:b/>
                <w:bCs/>
                <w:color w:val="000000"/>
                <w:sz w:val="20"/>
                <w:szCs w:val="20"/>
                <w:lang w:eastAsia="en-GB"/>
              </w:rPr>
              <w:t>Li [g]</w:t>
            </w:r>
          </w:p>
          <w:p w:rsidR="00494A56" w:rsidRPr="00B6704C" w:rsidRDefault="00494A56" w:rsidP="00913005">
            <w:pPr>
              <w:spacing w:after="0" w:line="240" w:lineRule="auto"/>
              <w:jc w:val="center"/>
              <w:rPr>
                <w:rFonts w:ascii="Arial" w:eastAsia="Times New Roman" w:hAnsi="Arial" w:cs="Arial"/>
                <w:b/>
                <w:bCs/>
                <w:color w:val="000000"/>
                <w:sz w:val="20"/>
                <w:szCs w:val="20"/>
                <w:lang w:eastAsia="en-GB"/>
              </w:rPr>
            </w:pP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rsidR="00494A56" w:rsidRDefault="00494A56" w:rsidP="00913005">
            <w:pPr>
              <w:spacing w:after="0" w:line="240" w:lineRule="auto"/>
              <w:jc w:val="center"/>
              <w:rPr>
                <w:rFonts w:ascii="Arial" w:eastAsia="Times New Roman" w:hAnsi="Arial" w:cs="Arial"/>
                <w:b/>
                <w:bCs/>
                <w:color w:val="000000"/>
                <w:sz w:val="20"/>
                <w:szCs w:val="20"/>
                <w:lang w:eastAsia="en-GB"/>
              </w:rPr>
            </w:pPr>
            <w:proofErr w:type="spellStart"/>
            <w:r w:rsidRPr="00B6704C">
              <w:rPr>
                <w:rFonts w:ascii="Arial" w:eastAsia="Times New Roman" w:hAnsi="Arial" w:cs="Arial"/>
                <w:b/>
                <w:bCs/>
                <w:color w:val="000000"/>
                <w:sz w:val="20"/>
                <w:szCs w:val="20"/>
                <w:lang w:eastAsia="en-GB"/>
              </w:rPr>
              <w:t>mAh</w:t>
            </w:r>
            <w:proofErr w:type="spellEnd"/>
          </w:p>
          <w:p w:rsidR="00494A56" w:rsidRPr="00B6704C" w:rsidRDefault="00494A56" w:rsidP="00913005">
            <w:pPr>
              <w:spacing w:after="0" w:line="240" w:lineRule="auto"/>
              <w:jc w:val="center"/>
              <w:rPr>
                <w:rFonts w:ascii="Arial" w:eastAsia="Times New Roman" w:hAnsi="Arial" w:cs="Arial"/>
                <w:b/>
                <w:bCs/>
                <w:color w:val="000000"/>
                <w:sz w:val="20"/>
                <w:szCs w:val="20"/>
                <w:lang w:eastAsia="en-GB"/>
              </w:rPr>
            </w:pPr>
          </w:p>
        </w:tc>
      </w:tr>
      <w:tr w:rsidR="00494A56" w:rsidRPr="00B6704C" w:rsidTr="00913005">
        <w:trPr>
          <w:trHeight w:val="264"/>
          <w:jc w:val="center"/>
        </w:trPr>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b/>
                <w:bCs/>
                <w:color w:val="000000"/>
                <w:sz w:val="20"/>
                <w:szCs w:val="20"/>
                <w:lang w:eastAsia="en-GB"/>
              </w:rPr>
            </w:pPr>
            <w:proofErr w:type="spellStart"/>
            <w:r w:rsidRPr="00B6704C">
              <w:rPr>
                <w:rFonts w:ascii="Arial" w:eastAsia="Times New Roman" w:hAnsi="Arial" w:cs="Arial"/>
                <w:b/>
                <w:bCs/>
                <w:color w:val="000000"/>
                <w:sz w:val="20"/>
                <w:szCs w:val="20"/>
                <w:lang w:eastAsia="en-GB"/>
              </w:rPr>
              <w:t>Button</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 </w:t>
            </w:r>
          </w:p>
        </w:tc>
      </w:tr>
      <w:tr w:rsidR="00494A56" w:rsidRPr="00B6704C" w:rsidTr="00913005">
        <w:trPr>
          <w:trHeight w:val="264"/>
          <w:jc w:val="center"/>
        </w:trPr>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b/>
                <w:bCs/>
                <w:color w:val="000000"/>
                <w:sz w:val="20"/>
                <w:szCs w:val="20"/>
                <w:lang w:eastAsia="en-GB"/>
              </w:rPr>
            </w:pPr>
            <w:r w:rsidRPr="00B6704C">
              <w:rPr>
                <w:rFonts w:ascii="Arial" w:eastAsia="Times New Roman" w:hAnsi="Arial" w:cs="Arial"/>
                <w:b/>
                <w:bCs/>
                <w:color w:val="000000"/>
                <w:sz w:val="20"/>
                <w:szCs w:val="20"/>
                <w:lang w:eastAsia="en-GB"/>
              </w:rPr>
              <w:t> </w:t>
            </w:r>
          </w:p>
        </w:tc>
        <w:tc>
          <w:tcPr>
            <w:tcW w:w="1240" w:type="dxa"/>
            <w:tcBorders>
              <w:top w:val="nil"/>
              <w:left w:val="nil"/>
              <w:bottom w:val="single" w:sz="4" w:space="0" w:color="auto"/>
              <w:right w:val="single" w:sz="4" w:space="0" w:color="auto"/>
            </w:tcBorders>
            <w:shd w:val="clear" w:color="auto" w:fill="auto"/>
            <w:vAlign w:val="center"/>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CR 1220</w:t>
            </w:r>
          </w:p>
        </w:tc>
        <w:tc>
          <w:tcPr>
            <w:tcW w:w="1240" w:type="dxa"/>
            <w:tcBorders>
              <w:top w:val="nil"/>
              <w:left w:val="nil"/>
              <w:bottom w:val="single" w:sz="4" w:space="0" w:color="auto"/>
              <w:right w:val="single" w:sz="4" w:space="0" w:color="auto"/>
            </w:tcBorders>
            <w:shd w:val="clear" w:color="auto" w:fill="auto"/>
            <w:vAlign w:val="center"/>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0,01</w:t>
            </w:r>
          </w:p>
        </w:tc>
        <w:tc>
          <w:tcPr>
            <w:tcW w:w="1240" w:type="dxa"/>
            <w:tcBorders>
              <w:top w:val="nil"/>
              <w:left w:val="nil"/>
              <w:bottom w:val="single" w:sz="4" w:space="0" w:color="auto"/>
              <w:right w:val="single" w:sz="4"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35</w:t>
            </w:r>
          </w:p>
        </w:tc>
      </w:tr>
      <w:tr w:rsidR="00494A56" w:rsidRPr="00B6704C" w:rsidTr="00913005">
        <w:trPr>
          <w:trHeight w:val="264"/>
          <w:jc w:val="center"/>
        </w:trPr>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b/>
                <w:bCs/>
                <w:color w:val="000000"/>
                <w:sz w:val="20"/>
                <w:szCs w:val="20"/>
                <w:lang w:eastAsia="en-GB"/>
              </w:rPr>
            </w:pPr>
            <w:r w:rsidRPr="00B6704C">
              <w:rPr>
                <w:rFonts w:ascii="Arial" w:eastAsia="Times New Roman" w:hAnsi="Arial" w:cs="Arial"/>
                <w:b/>
                <w:bCs/>
                <w:color w:val="000000"/>
                <w:sz w:val="20"/>
                <w:szCs w:val="20"/>
                <w:lang w:eastAsia="en-GB"/>
              </w:rPr>
              <w:t> </w:t>
            </w:r>
          </w:p>
        </w:tc>
        <w:tc>
          <w:tcPr>
            <w:tcW w:w="1240" w:type="dxa"/>
            <w:tcBorders>
              <w:top w:val="nil"/>
              <w:left w:val="nil"/>
              <w:bottom w:val="single" w:sz="4" w:space="0" w:color="auto"/>
              <w:right w:val="single" w:sz="4" w:space="0" w:color="auto"/>
            </w:tcBorders>
            <w:shd w:val="clear" w:color="auto" w:fill="auto"/>
            <w:vAlign w:val="center"/>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CR 1616</w:t>
            </w:r>
          </w:p>
        </w:tc>
        <w:tc>
          <w:tcPr>
            <w:tcW w:w="1240" w:type="dxa"/>
            <w:tcBorders>
              <w:top w:val="nil"/>
              <w:left w:val="nil"/>
              <w:bottom w:val="single" w:sz="4" w:space="0" w:color="auto"/>
              <w:right w:val="single" w:sz="4" w:space="0" w:color="auto"/>
            </w:tcBorders>
            <w:shd w:val="clear" w:color="auto" w:fill="auto"/>
            <w:vAlign w:val="center"/>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0,02</w:t>
            </w:r>
          </w:p>
        </w:tc>
        <w:tc>
          <w:tcPr>
            <w:tcW w:w="1240" w:type="dxa"/>
            <w:tcBorders>
              <w:top w:val="nil"/>
              <w:left w:val="nil"/>
              <w:bottom w:val="single" w:sz="4" w:space="0" w:color="auto"/>
              <w:right w:val="single" w:sz="4"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55</w:t>
            </w:r>
          </w:p>
        </w:tc>
      </w:tr>
      <w:tr w:rsidR="00494A56" w:rsidRPr="00B6704C" w:rsidTr="00913005">
        <w:trPr>
          <w:trHeight w:val="264"/>
          <w:jc w:val="center"/>
        </w:trPr>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b/>
                <w:bCs/>
                <w:color w:val="000000"/>
                <w:sz w:val="20"/>
                <w:szCs w:val="20"/>
                <w:lang w:eastAsia="en-GB"/>
              </w:rPr>
            </w:pPr>
            <w:r w:rsidRPr="00B6704C">
              <w:rPr>
                <w:rFonts w:ascii="Arial" w:eastAsia="Times New Roman" w:hAnsi="Arial" w:cs="Arial"/>
                <w:b/>
                <w:bCs/>
                <w:color w:val="000000"/>
                <w:sz w:val="20"/>
                <w:szCs w:val="20"/>
                <w:lang w:eastAsia="en-GB"/>
              </w:rPr>
              <w:t> </w:t>
            </w:r>
          </w:p>
        </w:tc>
        <w:tc>
          <w:tcPr>
            <w:tcW w:w="1240" w:type="dxa"/>
            <w:tcBorders>
              <w:top w:val="nil"/>
              <w:left w:val="nil"/>
              <w:bottom w:val="single" w:sz="4" w:space="0" w:color="auto"/>
              <w:right w:val="single" w:sz="4" w:space="0" w:color="auto"/>
            </w:tcBorders>
            <w:shd w:val="clear" w:color="auto" w:fill="auto"/>
            <w:vAlign w:val="center"/>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CR 1620</w:t>
            </w:r>
          </w:p>
        </w:tc>
        <w:tc>
          <w:tcPr>
            <w:tcW w:w="1240" w:type="dxa"/>
            <w:tcBorders>
              <w:top w:val="nil"/>
              <w:left w:val="nil"/>
              <w:bottom w:val="single" w:sz="4" w:space="0" w:color="auto"/>
              <w:right w:val="single" w:sz="4" w:space="0" w:color="auto"/>
            </w:tcBorders>
            <w:shd w:val="clear" w:color="auto" w:fill="auto"/>
            <w:vAlign w:val="center"/>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0,02</w:t>
            </w:r>
          </w:p>
        </w:tc>
        <w:tc>
          <w:tcPr>
            <w:tcW w:w="1240" w:type="dxa"/>
            <w:tcBorders>
              <w:top w:val="nil"/>
              <w:left w:val="nil"/>
              <w:bottom w:val="single" w:sz="4" w:space="0" w:color="auto"/>
              <w:right w:val="single" w:sz="4"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70</w:t>
            </w:r>
          </w:p>
        </w:tc>
      </w:tr>
      <w:tr w:rsidR="00494A56" w:rsidRPr="00B6704C" w:rsidTr="00913005">
        <w:trPr>
          <w:trHeight w:val="264"/>
          <w:jc w:val="center"/>
        </w:trPr>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b/>
                <w:bCs/>
                <w:color w:val="000000"/>
                <w:sz w:val="20"/>
                <w:szCs w:val="20"/>
                <w:lang w:eastAsia="en-GB"/>
              </w:rPr>
            </w:pPr>
            <w:r w:rsidRPr="00B6704C">
              <w:rPr>
                <w:rFonts w:ascii="Arial" w:eastAsia="Times New Roman" w:hAnsi="Arial" w:cs="Arial"/>
                <w:b/>
                <w:bCs/>
                <w:color w:val="000000"/>
                <w:sz w:val="20"/>
                <w:szCs w:val="20"/>
                <w:lang w:eastAsia="en-GB"/>
              </w:rPr>
              <w:t> </w:t>
            </w:r>
          </w:p>
        </w:tc>
        <w:tc>
          <w:tcPr>
            <w:tcW w:w="1240" w:type="dxa"/>
            <w:tcBorders>
              <w:top w:val="nil"/>
              <w:left w:val="nil"/>
              <w:bottom w:val="single" w:sz="4" w:space="0" w:color="auto"/>
              <w:right w:val="single" w:sz="4" w:space="0" w:color="auto"/>
            </w:tcBorders>
            <w:shd w:val="clear" w:color="auto" w:fill="auto"/>
            <w:vAlign w:val="center"/>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CR 2016</w:t>
            </w:r>
          </w:p>
        </w:tc>
        <w:tc>
          <w:tcPr>
            <w:tcW w:w="1240" w:type="dxa"/>
            <w:tcBorders>
              <w:top w:val="nil"/>
              <w:left w:val="nil"/>
              <w:bottom w:val="single" w:sz="4" w:space="0" w:color="auto"/>
              <w:right w:val="single" w:sz="4" w:space="0" w:color="auto"/>
            </w:tcBorders>
            <w:shd w:val="clear" w:color="auto" w:fill="auto"/>
            <w:vAlign w:val="center"/>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0,03</w:t>
            </w:r>
          </w:p>
        </w:tc>
        <w:tc>
          <w:tcPr>
            <w:tcW w:w="1240" w:type="dxa"/>
            <w:tcBorders>
              <w:top w:val="nil"/>
              <w:left w:val="nil"/>
              <w:bottom w:val="single" w:sz="4" w:space="0" w:color="auto"/>
              <w:right w:val="single" w:sz="4"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90</w:t>
            </w:r>
          </w:p>
        </w:tc>
      </w:tr>
      <w:tr w:rsidR="00494A56" w:rsidRPr="00B6704C" w:rsidTr="00913005">
        <w:trPr>
          <w:trHeight w:val="264"/>
          <w:jc w:val="center"/>
        </w:trPr>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b/>
                <w:bCs/>
                <w:color w:val="000000"/>
                <w:sz w:val="20"/>
                <w:szCs w:val="20"/>
                <w:lang w:eastAsia="en-GB"/>
              </w:rPr>
            </w:pPr>
            <w:r w:rsidRPr="00B6704C">
              <w:rPr>
                <w:rFonts w:ascii="Arial" w:eastAsia="Times New Roman" w:hAnsi="Arial" w:cs="Arial"/>
                <w:b/>
                <w:bCs/>
                <w:color w:val="000000"/>
                <w:sz w:val="20"/>
                <w:szCs w:val="20"/>
                <w:lang w:eastAsia="en-GB"/>
              </w:rPr>
              <w:t> </w:t>
            </w:r>
          </w:p>
        </w:tc>
        <w:tc>
          <w:tcPr>
            <w:tcW w:w="1240" w:type="dxa"/>
            <w:tcBorders>
              <w:top w:val="nil"/>
              <w:left w:val="nil"/>
              <w:bottom w:val="single" w:sz="4" w:space="0" w:color="auto"/>
              <w:right w:val="single" w:sz="4" w:space="0" w:color="auto"/>
            </w:tcBorders>
            <w:shd w:val="clear" w:color="auto" w:fill="auto"/>
            <w:vAlign w:val="center"/>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CR 2025</w:t>
            </w:r>
          </w:p>
        </w:tc>
        <w:tc>
          <w:tcPr>
            <w:tcW w:w="1240" w:type="dxa"/>
            <w:tcBorders>
              <w:top w:val="nil"/>
              <w:left w:val="nil"/>
              <w:bottom w:val="single" w:sz="4" w:space="0" w:color="auto"/>
              <w:right w:val="single" w:sz="4" w:space="0" w:color="auto"/>
            </w:tcBorders>
            <w:shd w:val="clear" w:color="auto" w:fill="auto"/>
            <w:vAlign w:val="center"/>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0,05</w:t>
            </w:r>
          </w:p>
        </w:tc>
        <w:tc>
          <w:tcPr>
            <w:tcW w:w="1240" w:type="dxa"/>
            <w:tcBorders>
              <w:top w:val="nil"/>
              <w:left w:val="nil"/>
              <w:bottom w:val="single" w:sz="4" w:space="0" w:color="auto"/>
              <w:right w:val="single" w:sz="4"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165</w:t>
            </w:r>
          </w:p>
        </w:tc>
      </w:tr>
      <w:tr w:rsidR="00494A56" w:rsidRPr="00B6704C" w:rsidTr="00913005">
        <w:trPr>
          <w:trHeight w:val="264"/>
          <w:jc w:val="center"/>
        </w:trPr>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b/>
                <w:bCs/>
                <w:color w:val="000000"/>
                <w:sz w:val="20"/>
                <w:szCs w:val="20"/>
                <w:lang w:eastAsia="en-GB"/>
              </w:rPr>
            </w:pPr>
            <w:r w:rsidRPr="00B6704C">
              <w:rPr>
                <w:rFonts w:ascii="Arial" w:eastAsia="Times New Roman" w:hAnsi="Arial" w:cs="Arial"/>
                <w:b/>
                <w:bCs/>
                <w:color w:val="000000"/>
                <w:sz w:val="20"/>
                <w:szCs w:val="20"/>
                <w:lang w:eastAsia="en-GB"/>
              </w:rPr>
              <w:t> </w:t>
            </w:r>
          </w:p>
        </w:tc>
        <w:tc>
          <w:tcPr>
            <w:tcW w:w="1240" w:type="dxa"/>
            <w:tcBorders>
              <w:top w:val="nil"/>
              <w:left w:val="nil"/>
              <w:bottom w:val="single" w:sz="4" w:space="0" w:color="auto"/>
              <w:right w:val="single" w:sz="4" w:space="0" w:color="auto"/>
            </w:tcBorders>
            <w:shd w:val="clear" w:color="auto" w:fill="auto"/>
            <w:vAlign w:val="center"/>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CR 2032</w:t>
            </w:r>
          </w:p>
        </w:tc>
        <w:tc>
          <w:tcPr>
            <w:tcW w:w="1240" w:type="dxa"/>
            <w:tcBorders>
              <w:top w:val="nil"/>
              <w:left w:val="nil"/>
              <w:bottom w:val="single" w:sz="4" w:space="0" w:color="auto"/>
              <w:right w:val="single" w:sz="4" w:space="0" w:color="auto"/>
            </w:tcBorders>
            <w:shd w:val="clear" w:color="auto" w:fill="auto"/>
            <w:vAlign w:val="center"/>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0,07</w:t>
            </w:r>
          </w:p>
        </w:tc>
        <w:tc>
          <w:tcPr>
            <w:tcW w:w="1240" w:type="dxa"/>
            <w:tcBorders>
              <w:top w:val="nil"/>
              <w:left w:val="nil"/>
              <w:bottom w:val="single" w:sz="4" w:space="0" w:color="auto"/>
              <w:right w:val="single" w:sz="4"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230</w:t>
            </w:r>
          </w:p>
        </w:tc>
      </w:tr>
      <w:tr w:rsidR="00494A56" w:rsidRPr="00B6704C" w:rsidTr="00913005">
        <w:trPr>
          <w:trHeight w:val="264"/>
          <w:jc w:val="center"/>
        </w:trPr>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b/>
                <w:bCs/>
                <w:color w:val="000000"/>
                <w:sz w:val="20"/>
                <w:szCs w:val="20"/>
                <w:lang w:eastAsia="en-GB"/>
              </w:rPr>
            </w:pPr>
            <w:r w:rsidRPr="00B6704C">
              <w:rPr>
                <w:rFonts w:ascii="Arial" w:eastAsia="Times New Roman" w:hAnsi="Arial" w:cs="Arial"/>
                <w:b/>
                <w:bCs/>
                <w:color w:val="000000"/>
                <w:sz w:val="20"/>
                <w:szCs w:val="20"/>
                <w:lang w:eastAsia="en-GB"/>
              </w:rPr>
              <w:t> </w:t>
            </w:r>
          </w:p>
        </w:tc>
        <w:tc>
          <w:tcPr>
            <w:tcW w:w="1240" w:type="dxa"/>
            <w:tcBorders>
              <w:top w:val="nil"/>
              <w:left w:val="nil"/>
              <w:bottom w:val="single" w:sz="4" w:space="0" w:color="auto"/>
              <w:right w:val="single" w:sz="4" w:space="0" w:color="auto"/>
            </w:tcBorders>
            <w:shd w:val="clear" w:color="auto" w:fill="auto"/>
            <w:vAlign w:val="center"/>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CR 2430</w:t>
            </w:r>
          </w:p>
        </w:tc>
        <w:tc>
          <w:tcPr>
            <w:tcW w:w="1240" w:type="dxa"/>
            <w:tcBorders>
              <w:top w:val="nil"/>
              <w:left w:val="nil"/>
              <w:bottom w:val="single" w:sz="4" w:space="0" w:color="auto"/>
              <w:right w:val="single" w:sz="4" w:space="0" w:color="auto"/>
            </w:tcBorders>
            <w:shd w:val="clear" w:color="auto" w:fill="auto"/>
            <w:vAlign w:val="center"/>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0,09</w:t>
            </w:r>
          </w:p>
        </w:tc>
        <w:tc>
          <w:tcPr>
            <w:tcW w:w="1240" w:type="dxa"/>
            <w:tcBorders>
              <w:top w:val="nil"/>
              <w:left w:val="nil"/>
              <w:bottom w:val="single" w:sz="4" w:space="0" w:color="auto"/>
              <w:right w:val="single" w:sz="4"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300</w:t>
            </w:r>
          </w:p>
        </w:tc>
      </w:tr>
      <w:tr w:rsidR="00494A56" w:rsidRPr="00B6704C" w:rsidTr="00913005">
        <w:trPr>
          <w:trHeight w:val="264"/>
          <w:jc w:val="center"/>
        </w:trPr>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b/>
                <w:bCs/>
                <w:color w:val="000000"/>
                <w:sz w:val="20"/>
                <w:szCs w:val="20"/>
                <w:lang w:eastAsia="en-GB"/>
              </w:rPr>
            </w:pPr>
            <w:r w:rsidRPr="00B6704C">
              <w:rPr>
                <w:rFonts w:ascii="Arial" w:eastAsia="Times New Roman" w:hAnsi="Arial" w:cs="Arial"/>
                <w:b/>
                <w:bCs/>
                <w:color w:val="000000"/>
                <w:sz w:val="20"/>
                <w:szCs w:val="20"/>
                <w:lang w:eastAsia="en-GB"/>
              </w:rPr>
              <w:t> </w:t>
            </w:r>
          </w:p>
        </w:tc>
        <w:tc>
          <w:tcPr>
            <w:tcW w:w="1240" w:type="dxa"/>
            <w:tcBorders>
              <w:top w:val="nil"/>
              <w:left w:val="nil"/>
              <w:bottom w:val="single" w:sz="4" w:space="0" w:color="auto"/>
              <w:right w:val="single" w:sz="4" w:space="0" w:color="auto"/>
            </w:tcBorders>
            <w:shd w:val="clear" w:color="auto" w:fill="auto"/>
            <w:vAlign w:val="center"/>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CR 2450</w:t>
            </w:r>
          </w:p>
        </w:tc>
        <w:tc>
          <w:tcPr>
            <w:tcW w:w="1240" w:type="dxa"/>
            <w:tcBorders>
              <w:top w:val="nil"/>
              <w:left w:val="nil"/>
              <w:bottom w:val="single" w:sz="4" w:space="0" w:color="auto"/>
              <w:right w:val="single" w:sz="4" w:space="0" w:color="auto"/>
            </w:tcBorders>
            <w:shd w:val="clear" w:color="auto" w:fill="auto"/>
            <w:vAlign w:val="center"/>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0,17</w:t>
            </w:r>
          </w:p>
        </w:tc>
        <w:tc>
          <w:tcPr>
            <w:tcW w:w="1240" w:type="dxa"/>
            <w:tcBorders>
              <w:top w:val="nil"/>
              <w:left w:val="nil"/>
              <w:bottom w:val="single" w:sz="4" w:space="0" w:color="auto"/>
              <w:right w:val="single" w:sz="4"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620</w:t>
            </w:r>
          </w:p>
        </w:tc>
      </w:tr>
      <w:tr w:rsidR="00494A56" w:rsidRPr="00B6704C" w:rsidTr="00913005">
        <w:trPr>
          <w:trHeight w:val="264"/>
          <w:jc w:val="center"/>
        </w:trPr>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b/>
                <w:bCs/>
                <w:color w:val="000000"/>
                <w:sz w:val="20"/>
                <w:szCs w:val="20"/>
                <w:lang w:eastAsia="en-GB"/>
              </w:rPr>
            </w:pPr>
            <w:r w:rsidRPr="00B6704C">
              <w:rPr>
                <w:rFonts w:ascii="Arial" w:eastAsia="Times New Roman" w:hAnsi="Arial" w:cs="Arial"/>
                <w:b/>
                <w:bCs/>
                <w:color w:val="000000"/>
                <w:sz w:val="20"/>
                <w:szCs w:val="20"/>
                <w:lang w:eastAsia="en-GB"/>
              </w:rPr>
              <w:t> </w:t>
            </w:r>
          </w:p>
        </w:tc>
        <w:tc>
          <w:tcPr>
            <w:tcW w:w="1240" w:type="dxa"/>
            <w:tcBorders>
              <w:top w:val="nil"/>
              <w:left w:val="nil"/>
              <w:bottom w:val="single" w:sz="4" w:space="0" w:color="auto"/>
              <w:right w:val="single" w:sz="4" w:space="0" w:color="auto"/>
            </w:tcBorders>
            <w:shd w:val="clear" w:color="auto" w:fill="auto"/>
            <w:vAlign w:val="center"/>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CR 2477</w:t>
            </w:r>
          </w:p>
        </w:tc>
        <w:tc>
          <w:tcPr>
            <w:tcW w:w="1240" w:type="dxa"/>
            <w:tcBorders>
              <w:top w:val="nil"/>
              <w:left w:val="nil"/>
              <w:bottom w:val="single" w:sz="4" w:space="0" w:color="auto"/>
              <w:right w:val="single" w:sz="4" w:space="0" w:color="auto"/>
            </w:tcBorders>
            <w:shd w:val="clear" w:color="auto" w:fill="auto"/>
            <w:vAlign w:val="center"/>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0,29</w:t>
            </w:r>
          </w:p>
        </w:tc>
        <w:tc>
          <w:tcPr>
            <w:tcW w:w="1240" w:type="dxa"/>
            <w:tcBorders>
              <w:top w:val="nil"/>
              <w:left w:val="nil"/>
              <w:bottom w:val="single" w:sz="4" w:space="0" w:color="auto"/>
              <w:right w:val="single" w:sz="4"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1000</w:t>
            </w:r>
          </w:p>
        </w:tc>
      </w:tr>
    </w:tbl>
    <w:p w:rsidR="00494A56" w:rsidRDefault="00494A56" w:rsidP="00494A56">
      <w:pPr>
        <w:rPr>
          <w:b/>
        </w:rPr>
      </w:pPr>
    </w:p>
    <w:tbl>
      <w:tblPr>
        <w:tblW w:w="4960" w:type="dxa"/>
        <w:jc w:val="center"/>
        <w:tblLook w:val="04A0"/>
      </w:tblPr>
      <w:tblGrid>
        <w:gridCol w:w="1240"/>
        <w:gridCol w:w="1240"/>
        <w:gridCol w:w="1240"/>
        <w:gridCol w:w="1240"/>
      </w:tblGrid>
      <w:tr w:rsidR="00494A56" w:rsidRPr="00B6704C" w:rsidTr="00913005">
        <w:trPr>
          <w:trHeight w:val="276"/>
          <w:jc w:val="center"/>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b/>
                <w:bCs/>
                <w:color w:val="000000"/>
                <w:sz w:val="20"/>
                <w:szCs w:val="20"/>
                <w:lang w:eastAsia="en-GB"/>
              </w:rPr>
            </w:pPr>
            <w:r>
              <w:br w:type="page"/>
            </w:r>
            <w:r w:rsidRPr="00B6704C">
              <w:rPr>
                <w:rFonts w:ascii="Arial" w:eastAsia="Times New Roman" w:hAnsi="Arial" w:cs="Arial"/>
                <w:b/>
                <w:bCs/>
                <w:color w:val="000000"/>
                <w:sz w:val="20"/>
                <w:szCs w:val="20"/>
                <w:lang w:eastAsia="en-GB"/>
              </w:rPr>
              <w:t>Types</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b/>
                <w:bCs/>
                <w:color w:val="000000"/>
                <w:sz w:val="20"/>
                <w:szCs w:val="20"/>
                <w:lang w:eastAsia="en-GB"/>
              </w:rPr>
            </w:pPr>
            <w:r w:rsidRPr="00B6704C">
              <w:rPr>
                <w:rFonts w:ascii="Arial" w:eastAsia="Times New Roman" w:hAnsi="Arial" w:cs="Arial"/>
                <w:b/>
                <w:bCs/>
                <w:color w:val="000000"/>
                <w:sz w:val="20"/>
                <w:szCs w:val="20"/>
                <w:lang w:eastAsia="en-GB"/>
              </w:rPr>
              <w:t>Serial N°</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b/>
                <w:bCs/>
                <w:color w:val="000000"/>
                <w:sz w:val="20"/>
                <w:szCs w:val="20"/>
                <w:lang w:eastAsia="en-GB"/>
              </w:rPr>
            </w:pPr>
            <w:r w:rsidRPr="00B6704C">
              <w:rPr>
                <w:rFonts w:ascii="Arial" w:eastAsia="Times New Roman" w:hAnsi="Arial" w:cs="Arial"/>
                <w:b/>
                <w:bCs/>
                <w:color w:val="000000"/>
                <w:sz w:val="20"/>
                <w:szCs w:val="20"/>
                <w:lang w:eastAsia="en-GB"/>
              </w:rPr>
              <w:t>Li [g]</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b/>
                <w:bCs/>
                <w:color w:val="000000"/>
                <w:sz w:val="20"/>
                <w:szCs w:val="20"/>
                <w:lang w:eastAsia="en-GB"/>
              </w:rPr>
            </w:pPr>
            <w:proofErr w:type="spellStart"/>
            <w:r w:rsidRPr="00B6704C">
              <w:rPr>
                <w:rFonts w:ascii="Arial" w:eastAsia="Times New Roman" w:hAnsi="Arial" w:cs="Arial"/>
                <w:b/>
                <w:bCs/>
                <w:color w:val="000000"/>
                <w:sz w:val="20"/>
                <w:szCs w:val="20"/>
                <w:lang w:eastAsia="en-GB"/>
              </w:rPr>
              <w:t>mAh</w:t>
            </w:r>
            <w:proofErr w:type="spellEnd"/>
          </w:p>
        </w:tc>
      </w:tr>
      <w:tr w:rsidR="00494A56" w:rsidRPr="00B6704C" w:rsidTr="00913005">
        <w:trPr>
          <w:trHeight w:val="264"/>
          <w:jc w:val="center"/>
        </w:trPr>
        <w:tc>
          <w:tcPr>
            <w:tcW w:w="1240" w:type="dxa"/>
            <w:tcBorders>
              <w:top w:val="nil"/>
              <w:left w:val="single" w:sz="8" w:space="0" w:color="auto"/>
              <w:bottom w:val="nil"/>
              <w:right w:val="nil"/>
            </w:tcBorders>
            <w:shd w:val="clear" w:color="auto" w:fill="auto"/>
            <w:noWrap/>
            <w:vAlign w:val="bottom"/>
            <w:hideMark/>
          </w:tcPr>
          <w:p w:rsidR="00494A56" w:rsidRPr="00B6704C" w:rsidRDefault="00494A56" w:rsidP="00913005">
            <w:pPr>
              <w:spacing w:after="0" w:line="240" w:lineRule="auto"/>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 </w:t>
            </w:r>
          </w:p>
        </w:tc>
        <w:tc>
          <w:tcPr>
            <w:tcW w:w="1240" w:type="dxa"/>
            <w:tcBorders>
              <w:top w:val="nil"/>
              <w:left w:val="nil"/>
              <w:bottom w:val="nil"/>
              <w:right w:val="nil"/>
            </w:tcBorders>
            <w:shd w:val="clear" w:color="auto" w:fill="auto"/>
            <w:noWrap/>
            <w:vAlign w:val="bottom"/>
            <w:hideMark/>
          </w:tcPr>
          <w:p w:rsidR="00494A56" w:rsidRPr="00B6704C" w:rsidRDefault="00494A56" w:rsidP="00913005">
            <w:pPr>
              <w:spacing w:after="0" w:line="240" w:lineRule="auto"/>
              <w:rPr>
                <w:rFonts w:ascii="Arial" w:eastAsia="Times New Roman" w:hAnsi="Arial" w:cs="Arial"/>
                <w:color w:val="000000"/>
                <w:sz w:val="20"/>
                <w:szCs w:val="20"/>
                <w:lang w:eastAsia="en-GB"/>
              </w:rPr>
            </w:pPr>
          </w:p>
        </w:tc>
        <w:tc>
          <w:tcPr>
            <w:tcW w:w="1240" w:type="dxa"/>
            <w:tcBorders>
              <w:top w:val="nil"/>
              <w:left w:val="nil"/>
              <w:bottom w:val="nil"/>
              <w:right w:val="nil"/>
            </w:tcBorders>
            <w:shd w:val="clear" w:color="auto" w:fill="auto"/>
            <w:noWrap/>
            <w:vAlign w:val="bottom"/>
            <w:hideMark/>
          </w:tcPr>
          <w:p w:rsidR="00494A56" w:rsidRPr="00B6704C" w:rsidRDefault="00494A56" w:rsidP="00913005">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rsidR="00494A56" w:rsidRPr="00B6704C" w:rsidRDefault="00494A56" w:rsidP="00913005">
            <w:pPr>
              <w:spacing w:after="0" w:line="240" w:lineRule="auto"/>
              <w:rPr>
                <w:rFonts w:ascii="Times New Roman" w:eastAsia="Times New Roman" w:hAnsi="Times New Roman" w:cs="Times New Roman"/>
                <w:sz w:val="20"/>
                <w:szCs w:val="20"/>
                <w:lang w:eastAsia="en-GB"/>
              </w:rPr>
            </w:pPr>
          </w:p>
        </w:tc>
      </w:tr>
      <w:tr w:rsidR="00494A56" w:rsidRPr="00B6704C" w:rsidTr="00913005">
        <w:trPr>
          <w:trHeight w:val="264"/>
          <w:jc w:val="center"/>
        </w:trPr>
        <w:tc>
          <w:tcPr>
            <w:tcW w:w="124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b/>
                <w:bCs/>
                <w:color w:val="000000"/>
                <w:sz w:val="20"/>
                <w:szCs w:val="20"/>
                <w:lang w:eastAsia="en-GB"/>
              </w:rPr>
            </w:pPr>
            <w:proofErr w:type="spellStart"/>
            <w:r w:rsidRPr="00B6704C">
              <w:rPr>
                <w:rFonts w:ascii="Arial" w:eastAsia="Times New Roman" w:hAnsi="Arial" w:cs="Arial"/>
                <w:b/>
                <w:bCs/>
                <w:color w:val="000000"/>
                <w:sz w:val="20"/>
                <w:szCs w:val="20"/>
                <w:lang w:eastAsia="en-GB"/>
              </w:rPr>
              <w:t>Cylindrical</w:t>
            </w:r>
            <w:proofErr w:type="spellEnd"/>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 </w:t>
            </w:r>
          </w:p>
        </w:tc>
      </w:tr>
      <w:tr w:rsidR="00494A56" w:rsidRPr="00B6704C" w:rsidTr="00913005">
        <w:trPr>
          <w:trHeight w:val="264"/>
          <w:jc w:val="center"/>
        </w:trPr>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b/>
                <w:bCs/>
                <w:color w:val="000000"/>
                <w:sz w:val="20"/>
                <w:szCs w:val="20"/>
                <w:lang w:eastAsia="en-GB"/>
              </w:rPr>
            </w:pPr>
            <w:r w:rsidRPr="00B6704C">
              <w:rPr>
                <w:rFonts w:ascii="Arial" w:eastAsia="Times New Roman" w:hAnsi="Arial" w:cs="Arial"/>
                <w:b/>
                <w:bCs/>
                <w:color w:val="000000"/>
                <w:sz w:val="20"/>
                <w:szCs w:val="20"/>
                <w:lang w:eastAsia="en-GB"/>
              </w:rPr>
              <w:t> </w:t>
            </w:r>
          </w:p>
        </w:tc>
        <w:tc>
          <w:tcPr>
            <w:tcW w:w="1240" w:type="dxa"/>
            <w:tcBorders>
              <w:top w:val="nil"/>
              <w:left w:val="nil"/>
              <w:bottom w:val="single" w:sz="4" w:space="0" w:color="auto"/>
              <w:right w:val="single" w:sz="4" w:space="0" w:color="auto"/>
            </w:tcBorders>
            <w:shd w:val="clear" w:color="auto" w:fill="auto"/>
            <w:vAlign w:val="center"/>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CR 1/2 AA</w:t>
            </w:r>
          </w:p>
        </w:tc>
        <w:tc>
          <w:tcPr>
            <w:tcW w:w="1240" w:type="dxa"/>
            <w:tcBorders>
              <w:top w:val="nil"/>
              <w:left w:val="nil"/>
              <w:bottom w:val="single" w:sz="4" w:space="0" w:color="auto"/>
              <w:right w:val="single" w:sz="4" w:space="0" w:color="auto"/>
            </w:tcBorders>
            <w:shd w:val="clear" w:color="auto" w:fill="auto"/>
            <w:vAlign w:val="center"/>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0,30</w:t>
            </w:r>
          </w:p>
        </w:tc>
        <w:tc>
          <w:tcPr>
            <w:tcW w:w="1240" w:type="dxa"/>
            <w:tcBorders>
              <w:top w:val="nil"/>
              <w:left w:val="nil"/>
              <w:bottom w:val="single" w:sz="4" w:space="0" w:color="auto"/>
              <w:right w:val="single" w:sz="4"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950</w:t>
            </w:r>
          </w:p>
        </w:tc>
      </w:tr>
      <w:tr w:rsidR="00494A56" w:rsidRPr="00B6704C" w:rsidTr="00913005">
        <w:trPr>
          <w:trHeight w:val="264"/>
          <w:jc w:val="center"/>
        </w:trPr>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b/>
                <w:bCs/>
                <w:color w:val="000000"/>
                <w:sz w:val="20"/>
                <w:szCs w:val="20"/>
                <w:lang w:eastAsia="en-GB"/>
              </w:rPr>
            </w:pPr>
            <w:r w:rsidRPr="00B6704C">
              <w:rPr>
                <w:rFonts w:ascii="Arial" w:eastAsia="Times New Roman" w:hAnsi="Arial" w:cs="Arial"/>
                <w:b/>
                <w:bCs/>
                <w:color w:val="000000"/>
                <w:sz w:val="20"/>
                <w:szCs w:val="20"/>
                <w:lang w:eastAsia="en-GB"/>
              </w:rPr>
              <w:t> </w:t>
            </w:r>
          </w:p>
        </w:tc>
        <w:tc>
          <w:tcPr>
            <w:tcW w:w="1240" w:type="dxa"/>
            <w:tcBorders>
              <w:top w:val="nil"/>
              <w:left w:val="nil"/>
              <w:bottom w:val="single" w:sz="4" w:space="0" w:color="auto"/>
              <w:right w:val="single" w:sz="4" w:space="0" w:color="auto"/>
            </w:tcBorders>
            <w:shd w:val="clear" w:color="auto" w:fill="auto"/>
            <w:vAlign w:val="center"/>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CR AA</w:t>
            </w:r>
          </w:p>
        </w:tc>
        <w:tc>
          <w:tcPr>
            <w:tcW w:w="1240" w:type="dxa"/>
            <w:tcBorders>
              <w:top w:val="nil"/>
              <w:left w:val="nil"/>
              <w:bottom w:val="single" w:sz="4" w:space="0" w:color="auto"/>
              <w:right w:val="single" w:sz="4" w:space="0" w:color="auto"/>
            </w:tcBorders>
            <w:shd w:val="clear" w:color="auto" w:fill="auto"/>
            <w:vAlign w:val="center"/>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0,58</w:t>
            </w:r>
          </w:p>
        </w:tc>
        <w:tc>
          <w:tcPr>
            <w:tcW w:w="1240" w:type="dxa"/>
            <w:tcBorders>
              <w:top w:val="nil"/>
              <w:left w:val="nil"/>
              <w:bottom w:val="single" w:sz="4" w:space="0" w:color="auto"/>
              <w:right w:val="single" w:sz="4"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2000</w:t>
            </w:r>
          </w:p>
        </w:tc>
      </w:tr>
      <w:tr w:rsidR="00494A56" w:rsidRPr="00B6704C" w:rsidTr="00913005">
        <w:trPr>
          <w:trHeight w:val="264"/>
          <w:jc w:val="center"/>
        </w:trPr>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b/>
                <w:bCs/>
                <w:color w:val="000000"/>
                <w:sz w:val="20"/>
                <w:szCs w:val="20"/>
                <w:lang w:eastAsia="en-GB"/>
              </w:rPr>
            </w:pPr>
            <w:r w:rsidRPr="00B6704C">
              <w:rPr>
                <w:rFonts w:ascii="Arial" w:eastAsia="Times New Roman" w:hAnsi="Arial" w:cs="Arial"/>
                <w:b/>
                <w:bCs/>
                <w:color w:val="000000"/>
                <w:sz w:val="20"/>
                <w:szCs w:val="20"/>
                <w:lang w:eastAsia="en-GB"/>
              </w:rPr>
              <w:t> </w:t>
            </w:r>
          </w:p>
        </w:tc>
        <w:tc>
          <w:tcPr>
            <w:tcW w:w="1240" w:type="dxa"/>
            <w:tcBorders>
              <w:top w:val="nil"/>
              <w:left w:val="nil"/>
              <w:bottom w:val="single" w:sz="4" w:space="0" w:color="auto"/>
              <w:right w:val="single" w:sz="4" w:space="0" w:color="auto"/>
            </w:tcBorders>
            <w:shd w:val="clear" w:color="auto" w:fill="auto"/>
            <w:vAlign w:val="center"/>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CR 123A</w:t>
            </w:r>
          </w:p>
        </w:tc>
        <w:tc>
          <w:tcPr>
            <w:tcW w:w="1240" w:type="dxa"/>
            <w:tcBorders>
              <w:top w:val="nil"/>
              <w:left w:val="nil"/>
              <w:bottom w:val="single" w:sz="4" w:space="0" w:color="auto"/>
              <w:right w:val="single" w:sz="4" w:space="0" w:color="auto"/>
            </w:tcBorders>
            <w:shd w:val="clear" w:color="auto" w:fill="auto"/>
            <w:vAlign w:val="center"/>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0,58</w:t>
            </w:r>
          </w:p>
        </w:tc>
        <w:tc>
          <w:tcPr>
            <w:tcW w:w="1240" w:type="dxa"/>
            <w:tcBorders>
              <w:top w:val="nil"/>
              <w:left w:val="nil"/>
              <w:bottom w:val="single" w:sz="4" w:space="0" w:color="auto"/>
              <w:right w:val="single" w:sz="4"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1550</w:t>
            </w:r>
          </w:p>
        </w:tc>
      </w:tr>
    </w:tbl>
    <w:p w:rsidR="00494A56" w:rsidRDefault="00494A56" w:rsidP="00494A56">
      <w:pPr>
        <w:rPr>
          <w:b/>
        </w:rPr>
      </w:pPr>
    </w:p>
    <w:p w:rsidR="00494A56" w:rsidRDefault="00494A56" w:rsidP="00004EB7">
      <w:pPr>
        <w:spacing w:after="0"/>
        <w:ind w:left="1440" w:hanging="1440"/>
        <w:jc w:val="center"/>
        <w:rPr>
          <w:b/>
        </w:rPr>
      </w:pPr>
      <w:r w:rsidRPr="00B6704C">
        <w:rPr>
          <w:b/>
        </w:rPr>
        <w:t xml:space="preserve">TABLE </w:t>
      </w:r>
      <w:r w:rsidR="00473EEF">
        <w:rPr>
          <w:b/>
        </w:rPr>
        <w:t>3</w:t>
      </w:r>
      <w:r w:rsidRPr="00B6704C">
        <w:rPr>
          <w:b/>
        </w:rPr>
        <w:t>.</w:t>
      </w:r>
    </w:p>
    <w:p w:rsidR="00494A56" w:rsidRPr="00494A56" w:rsidRDefault="00494A56" w:rsidP="00004EB7">
      <w:pPr>
        <w:spacing w:after="0"/>
        <w:ind w:left="1440" w:hanging="1440"/>
        <w:jc w:val="center"/>
        <w:rPr>
          <w:b/>
          <w:lang w:val="en-GB"/>
        </w:rPr>
      </w:pPr>
      <w:r w:rsidRPr="00494A56">
        <w:rPr>
          <w:b/>
          <w:lang w:val="en-GB"/>
        </w:rPr>
        <w:t xml:space="preserve">List of most currently used cylindrical cells (LiSOCl2) in relation to their Lithium Metal content </w:t>
      </w:r>
    </w:p>
    <w:p w:rsidR="00494A56" w:rsidRPr="00494A56" w:rsidRDefault="00494A56" w:rsidP="00004EB7">
      <w:pPr>
        <w:spacing w:after="0"/>
        <w:ind w:left="1440" w:hanging="1440"/>
        <w:jc w:val="center"/>
        <w:rPr>
          <w:b/>
          <w:lang w:val="en-GB"/>
        </w:rPr>
      </w:pPr>
      <w:proofErr w:type="gramStart"/>
      <w:r w:rsidRPr="00494A56">
        <w:rPr>
          <w:b/>
          <w:lang w:val="en-GB"/>
        </w:rPr>
        <w:t>and</w:t>
      </w:r>
      <w:proofErr w:type="gramEnd"/>
      <w:r w:rsidRPr="00494A56">
        <w:rPr>
          <w:b/>
          <w:lang w:val="en-GB"/>
        </w:rPr>
        <w:t xml:space="preserve"> Capacity (Courtesy from VARTA).</w:t>
      </w:r>
    </w:p>
    <w:p w:rsidR="00494A56" w:rsidRPr="00494A56" w:rsidRDefault="00494A56" w:rsidP="00494A56">
      <w:pPr>
        <w:ind w:left="1440" w:hanging="1440"/>
        <w:jc w:val="center"/>
        <w:rPr>
          <w:b/>
          <w:lang w:val="en-GB"/>
        </w:rPr>
      </w:pPr>
    </w:p>
    <w:p w:rsidR="00494A56" w:rsidRPr="00B6704C" w:rsidRDefault="00494A56" w:rsidP="00494A56">
      <w:pPr>
        <w:ind w:left="1440" w:hanging="1440"/>
        <w:jc w:val="center"/>
        <w:rPr>
          <w:b/>
        </w:rPr>
      </w:pPr>
      <w:r w:rsidRPr="00494A56">
        <w:rPr>
          <w:b/>
          <w:lang w:val="en-GB"/>
        </w:rPr>
        <w:t xml:space="preserve"> </w:t>
      </w:r>
      <w:proofErr w:type="spellStart"/>
      <w:r>
        <w:rPr>
          <w:b/>
        </w:rPr>
        <w:t>Cylindrical</w:t>
      </w:r>
      <w:proofErr w:type="spellEnd"/>
      <w:r>
        <w:rPr>
          <w:b/>
        </w:rPr>
        <w:t xml:space="preserve"> </w:t>
      </w:r>
    </w:p>
    <w:tbl>
      <w:tblPr>
        <w:tblW w:w="4960" w:type="dxa"/>
        <w:jc w:val="center"/>
        <w:tblLook w:val="04A0"/>
      </w:tblPr>
      <w:tblGrid>
        <w:gridCol w:w="1240"/>
        <w:gridCol w:w="1240"/>
        <w:gridCol w:w="1240"/>
        <w:gridCol w:w="1240"/>
      </w:tblGrid>
      <w:tr w:rsidR="00494A56" w:rsidRPr="00B6704C" w:rsidTr="00913005">
        <w:trPr>
          <w:trHeight w:val="276"/>
          <w:jc w:val="center"/>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b/>
                <w:bCs/>
                <w:color w:val="000000"/>
                <w:sz w:val="20"/>
                <w:szCs w:val="20"/>
                <w:lang w:eastAsia="en-GB"/>
              </w:rPr>
            </w:pPr>
            <w:r>
              <w:br w:type="page"/>
            </w:r>
            <w:r w:rsidRPr="00B6704C">
              <w:rPr>
                <w:rFonts w:ascii="Arial" w:eastAsia="Times New Roman" w:hAnsi="Arial" w:cs="Arial"/>
                <w:b/>
                <w:bCs/>
                <w:color w:val="000000"/>
                <w:sz w:val="20"/>
                <w:szCs w:val="20"/>
                <w:lang w:eastAsia="en-GB"/>
              </w:rPr>
              <w:t>Types</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b/>
                <w:bCs/>
                <w:color w:val="000000"/>
                <w:sz w:val="20"/>
                <w:szCs w:val="20"/>
                <w:lang w:eastAsia="en-GB"/>
              </w:rPr>
            </w:pPr>
            <w:r w:rsidRPr="00B6704C">
              <w:rPr>
                <w:rFonts w:ascii="Arial" w:eastAsia="Times New Roman" w:hAnsi="Arial" w:cs="Arial"/>
                <w:b/>
                <w:bCs/>
                <w:color w:val="000000"/>
                <w:sz w:val="20"/>
                <w:szCs w:val="20"/>
                <w:lang w:eastAsia="en-GB"/>
              </w:rPr>
              <w:t>Serial N°</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b/>
                <w:bCs/>
                <w:color w:val="000000"/>
                <w:sz w:val="20"/>
                <w:szCs w:val="20"/>
                <w:lang w:eastAsia="en-GB"/>
              </w:rPr>
            </w:pPr>
            <w:r w:rsidRPr="00B6704C">
              <w:rPr>
                <w:rFonts w:ascii="Arial" w:eastAsia="Times New Roman" w:hAnsi="Arial" w:cs="Arial"/>
                <w:b/>
                <w:bCs/>
                <w:color w:val="000000"/>
                <w:sz w:val="20"/>
                <w:szCs w:val="20"/>
                <w:lang w:eastAsia="en-GB"/>
              </w:rPr>
              <w:t>Li [g]</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b/>
                <w:bCs/>
                <w:color w:val="000000"/>
                <w:sz w:val="20"/>
                <w:szCs w:val="20"/>
                <w:lang w:eastAsia="en-GB"/>
              </w:rPr>
            </w:pPr>
            <w:proofErr w:type="spellStart"/>
            <w:r w:rsidRPr="00B6704C">
              <w:rPr>
                <w:rFonts w:ascii="Arial" w:eastAsia="Times New Roman" w:hAnsi="Arial" w:cs="Arial"/>
                <w:b/>
                <w:bCs/>
                <w:color w:val="000000"/>
                <w:sz w:val="20"/>
                <w:szCs w:val="20"/>
                <w:lang w:eastAsia="en-GB"/>
              </w:rPr>
              <w:t>mAh</w:t>
            </w:r>
            <w:proofErr w:type="spellEnd"/>
          </w:p>
        </w:tc>
      </w:tr>
      <w:tr w:rsidR="00494A56" w:rsidRPr="00B6704C" w:rsidTr="00913005">
        <w:trPr>
          <w:trHeight w:val="264"/>
          <w:jc w:val="center"/>
        </w:trPr>
        <w:tc>
          <w:tcPr>
            <w:tcW w:w="1240" w:type="dxa"/>
            <w:tcBorders>
              <w:top w:val="nil"/>
              <w:left w:val="single" w:sz="8" w:space="0" w:color="auto"/>
              <w:bottom w:val="nil"/>
              <w:right w:val="nil"/>
            </w:tcBorders>
            <w:shd w:val="clear" w:color="auto" w:fill="auto"/>
            <w:noWrap/>
            <w:vAlign w:val="bottom"/>
            <w:hideMark/>
          </w:tcPr>
          <w:p w:rsidR="00494A56" w:rsidRPr="00B6704C" w:rsidRDefault="00494A56" w:rsidP="00913005">
            <w:pPr>
              <w:spacing w:after="0" w:line="240" w:lineRule="auto"/>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 </w:t>
            </w:r>
          </w:p>
        </w:tc>
        <w:tc>
          <w:tcPr>
            <w:tcW w:w="1240" w:type="dxa"/>
            <w:tcBorders>
              <w:top w:val="nil"/>
              <w:left w:val="nil"/>
              <w:bottom w:val="nil"/>
              <w:right w:val="nil"/>
            </w:tcBorders>
            <w:shd w:val="clear" w:color="auto" w:fill="auto"/>
            <w:noWrap/>
            <w:vAlign w:val="bottom"/>
            <w:hideMark/>
          </w:tcPr>
          <w:p w:rsidR="00494A56" w:rsidRPr="00B6704C" w:rsidRDefault="00494A56" w:rsidP="00913005">
            <w:pPr>
              <w:spacing w:after="0" w:line="240" w:lineRule="auto"/>
              <w:rPr>
                <w:rFonts w:ascii="Arial" w:eastAsia="Times New Roman" w:hAnsi="Arial" w:cs="Arial"/>
                <w:color w:val="000000"/>
                <w:sz w:val="20"/>
                <w:szCs w:val="20"/>
                <w:lang w:eastAsia="en-GB"/>
              </w:rPr>
            </w:pPr>
          </w:p>
        </w:tc>
        <w:tc>
          <w:tcPr>
            <w:tcW w:w="1240" w:type="dxa"/>
            <w:tcBorders>
              <w:top w:val="nil"/>
              <w:left w:val="nil"/>
              <w:bottom w:val="nil"/>
              <w:right w:val="nil"/>
            </w:tcBorders>
            <w:shd w:val="clear" w:color="auto" w:fill="auto"/>
            <w:noWrap/>
            <w:vAlign w:val="bottom"/>
            <w:hideMark/>
          </w:tcPr>
          <w:p w:rsidR="00494A56" w:rsidRPr="00B6704C" w:rsidRDefault="00494A56" w:rsidP="00913005">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rsidR="00494A56" w:rsidRPr="00B6704C" w:rsidRDefault="00494A56" w:rsidP="00913005">
            <w:pPr>
              <w:spacing w:after="0" w:line="240" w:lineRule="auto"/>
              <w:rPr>
                <w:rFonts w:ascii="Times New Roman" w:eastAsia="Times New Roman" w:hAnsi="Times New Roman" w:cs="Times New Roman"/>
                <w:sz w:val="20"/>
                <w:szCs w:val="20"/>
                <w:lang w:eastAsia="en-GB"/>
              </w:rPr>
            </w:pPr>
          </w:p>
        </w:tc>
      </w:tr>
      <w:tr w:rsidR="00494A56" w:rsidRPr="00B6704C" w:rsidTr="00913005">
        <w:trPr>
          <w:trHeight w:val="264"/>
          <w:jc w:val="center"/>
        </w:trPr>
        <w:tc>
          <w:tcPr>
            <w:tcW w:w="124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b/>
                <w:bCs/>
                <w:color w:val="000000"/>
                <w:sz w:val="20"/>
                <w:szCs w:val="20"/>
                <w:lang w:eastAsia="en-GB"/>
              </w:rPr>
            </w:pPr>
            <w:proofErr w:type="spellStart"/>
            <w:r w:rsidRPr="00B6704C">
              <w:rPr>
                <w:rFonts w:ascii="Arial" w:eastAsia="Times New Roman" w:hAnsi="Arial" w:cs="Arial"/>
                <w:b/>
                <w:bCs/>
                <w:color w:val="000000"/>
                <w:sz w:val="20"/>
                <w:szCs w:val="20"/>
                <w:lang w:eastAsia="en-GB"/>
              </w:rPr>
              <w:t>Cylindrical</w:t>
            </w:r>
            <w:proofErr w:type="spellEnd"/>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 </w:t>
            </w:r>
          </w:p>
        </w:tc>
      </w:tr>
      <w:tr w:rsidR="00494A56" w:rsidRPr="00B6704C" w:rsidTr="00913005">
        <w:trPr>
          <w:trHeight w:val="264"/>
          <w:jc w:val="center"/>
        </w:trPr>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b/>
                <w:bCs/>
                <w:color w:val="000000"/>
                <w:sz w:val="20"/>
                <w:szCs w:val="20"/>
                <w:lang w:eastAsia="en-GB"/>
              </w:rPr>
            </w:pPr>
            <w:r w:rsidRPr="00B6704C">
              <w:rPr>
                <w:rFonts w:ascii="Arial" w:eastAsia="Times New Roman" w:hAnsi="Arial" w:cs="Arial"/>
                <w:b/>
                <w:bCs/>
                <w:color w:val="000000"/>
                <w:sz w:val="20"/>
                <w:szCs w:val="20"/>
                <w:lang w:eastAsia="en-GB"/>
              </w:rPr>
              <w:t> </w:t>
            </w:r>
          </w:p>
        </w:tc>
        <w:tc>
          <w:tcPr>
            <w:tcW w:w="1240" w:type="dxa"/>
            <w:tcBorders>
              <w:top w:val="nil"/>
              <w:left w:val="nil"/>
              <w:bottom w:val="single" w:sz="4" w:space="0" w:color="auto"/>
              <w:right w:val="single" w:sz="4" w:space="0" w:color="auto"/>
            </w:tcBorders>
            <w:shd w:val="clear" w:color="auto" w:fill="auto"/>
            <w:vAlign w:val="center"/>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ER 1/2 AA</w:t>
            </w:r>
          </w:p>
        </w:tc>
        <w:tc>
          <w:tcPr>
            <w:tcW w:w="1240" w:type="dxa"/>
            <w:tcBorders>
              <w:top w:val="nil"/>
              <w:left w:val="nil"/>
              <w:bottom w:val="single" w:sz="4" w:space="0" w:color="auto"/>
              <w:right w:val="single" w:sz="4"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0,30</w:t>
            </w:r>
          </w:p>
        </w:tc>
        <w:tc>
          <w:tcPr>
            <w:tcW w:w="1240" w:type="dxa"/>
            <w:tcBorders>
              <w:top w:val="nil"/>
              <w:left w:val="nil"/>
              <w:bottom w:val="single" w:sz="4" w:space="0" w:color="auto"/>
              <w:right w:val="single" w:sz="4"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1200</w:t>
            </w:r>
          </w:p>
        </w:tc>
      </w:tr>
      <w:tr w:rsidR="00494A56" w:rsidRPr="00B6704C" w:rsidTr="00913005">
        <w:trPr>
          <w:trHeight w:val="264"/>
          <w:jc w:val="center"/>
        </w:trPr>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b/>
                <w:bCs/>
                <w:color w:val="000000"/>
                <w:sz w:val="20"/>
                <w:szCs w:val="20"/>
                <w:lang w:eastAsia="en-GB"/>
              </w:rPr>
            </w:pPr>
            <w:r w:rsidRPr="00B6704C">
              <w:rPr>
                <w:rFonts w:ascii="Arial" w:eastAsia="Times New Roman" w:hAnsi="Arial" w:cs="Arial"/>
                <w:b/>
                <w:bCs/>
                <w:color w:val="000000"/>
                <w:sz w:val="20"/>
                <w:szCs w:val="20"/>
                <w:lang w:eastAsia="en-GB"/>
              </w:rPr>
              <w:t> </w:t>
            </w:r>
          </w:p>
        </w:tc>
        <w:tc>
          <w:tcPr>
            <w:tcW w:w="1240" w:type="dxa"/>
            <w:tcBorders>
              <w:top w:val="nil"/>
              <w:left w:val="nil"/>
              <w:bottom w:val="single" w:sz="4" w:space="0" w:color="auto"/>
              <w:right w:val="single" w:sz="4" w:space="0" w:color="auto"/>
            </w:tcBorders>
            <w:shd w:val="clear" w:color="auto" w:fill="auto"/>
            <w:vAlign w:val="center"/>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ER AA</w:t>
            </w:r>
          </w:p>
        </w:tc>
        <w:tc>
          <w:tcPr>
            <w:tcW w:w="1240" w:type="dxa"/>
            <w:tcBorders>
              <w:top w:val="nil"/>
              <w:left w:val="nil"/>
              <w:bottom w:val="single" w:sz="4" w:space="0" w:color="auto"/>
              <w:right w:val="single" w:sz="4"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0,62</w:t>
            </w:r>
          </w:p>
        </w:tc>
        <w:tc>
          <w:tcPr>
            <w:tcW w:w="1240" w:type="dxa"/>
            <w:tcBorders>
              <w:top w:val="nil"/>
              <w:left w:val="nil"/>
              <w:bottom w:val="single" w:sz="4" w:space="0" w:color="auto"/>
              <w:right w:val="single" w:sz="4"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2500</w:t>
            </w:r>
          </w:p>
        </w:tc>
      </w:tr>
      <w:tr w:rsidR="00494A56" w:rsidRPr="00B6704C" w:rsidTr="00913005">
        <w:trPr>
          <w:trHeight w:val="264"/>
          <w:jc w:val="center"/>
        </w:trPr>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b/>
                <w:bCs/>
                <w:color w:val="000000"/>
                <w:sz w:val="20"/>
                <w:szCs w:val="20"/>
                <w:lang w:eastAsia="en-GB"/>
              </w:rPr>
            </w:pPr>
            <w:r w:rsidRPr="00B6704C">
              <w:rPr>
                <w:rFonts w:ascii="Arial" w:eastAsia="Times New Roman" w:hAnsi="Arial" w:cs="Arial"/>
                <w:b/>
                <w:bCs/>
                <w:color w:val="000000"/>
                <w:sz w:val="20"/>
                <w:szCs w:val="20"/>
                <w:lang w:eastAsia="en-GB"/>
              </w:rPr>
              <w:t> </w:t>
            </w:r>
          </w:p>
        </w:tc>
        <w:tc>
          <w:tcPr>
            <w:tcW w:w="1240" w:type="dxa"/>
            <w:tcBorders>
              <w:top w:val="nil"/>
              <w:left w:val="nil"/>
              <w:bottom w:val="single" w:sz="4" w:space="0" w:color="auto"/>
              <w:right w:val="single" w:sz="4" w:space="0" w:color="auto"/>
            </w:tcBorders>
            <w:shd w:val="clear" w:color="auto" w:fill="auto"/>
            <w:vAlign w:val="center"/>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ER C</w:t>
            </w:r>
          </w:p>
        </w:tc>
        <w:tc>
          <w:tcPr>
            <w:tcW w:w="1240" w:type="dxa"/>
            <w:tcBorders>
              <w:top w:val="nil"/>
              <w:left w:val="nil"/>
              <w:bottom w:val="single" w:sz="4" w:space="0" w:color="auto"/>
              <w:right w:val="single" w:sz="4"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2,20</w:t>
            </w:r>
          </w:p>
        </w:tc>
        <w:tc>
          <w:tcPr>
            <w:tcW w:w="1240" w:type="dxa"/>
            <w:tcBorders>
              <w:top w:val="nil"/>
              <w:left w:val="nil"/>
              <w:bottom w:val="single" w:sz="4" w:space="0" w:color="auto"/>
              <w:right w:val="single" w:sz="4"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8500</w:t>
            </w:r>
          </w:p>
        </w:tc>
      </w:tr>
      <w:tr w:rsidR="00494A56" w:rsidRPr="00B6704C" w:rsidTr="00913005">
        <w:trPr>
          <w:trHeight w:val="276"/>
          <w:jc w:val="center"/>
        </w:trPr>
        <w:tc>
          <w:tcPr>
            <w:tcW w:w="1240" w:type="dxa"/>
            <w:tcBorders>
              <w:top w:val="nil"/>
              <w:left w:val="single" w:sz="8" w:space="0" w:color="auto"/>
              <w:bottom w:val="single" w:sz="8" w:space="0" w:color="auto"/>
              <w:right w:val="single" w:sz="8"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b/>
                <w:bCs/>
                <w:color w:val="000000"/>
                <w:sz w:val="20"/>
                <w:szCs w:val="20"/>
                <w:lang w:eastAsia="en-GB"/>
              </w:rPr>
            </w:pPr>
            <w:r w:rsidRPr="00B6704C">
              <w:rPr>
                <w:rFonts w:ascii="Arial" w:eastAsia="Times New Roman" w:hAnsi="Arial" w:cs="Arial"/>
                <w:b/>
                <w:bCs/>
                <w:color w:val="000000"/>
                <w:sz w:val="20"/>
                <w:szCs w:val="20"/>
                <w:lang w:eastAsia="en-GB"/>
              </w:rPr>
              <w:t> </w:t>
            </w:r>
          </w:p>
        </w:tc>
        <w:tc>
          <w:tcPr>
            <w:tcW w:w="1240" w:type="dxa"/>
            <w:tcBorders>
              <w:top w:val="nil"/>
              <w:left w:val="nil"/>
              <w:bottom w:val="single" w:sz="8" w:space="0" w:color="auto"/>
              <w:right w:val="single" w:sz="4" w:space="0" w:color="auto"/>
            </w:tcBorders>
            <w:shd w:val="clear" w:color="auto" w:fill="auto"/>
            <w:vAlign w:val="center"/>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ER D</w:t>
            </w:r>
          </w:p>
        </w:tc>
        <w:tc>
          <w:tcPr>
            <w:tcW w:w="1240" w:type="dxa"/>
            <w:tcBorders>
              <w:top w:val="nil"/>
              <w:left w:val="nil"/>
              <w:bottom w:val="single" w:sz="8" w:space="0" w:color="auto"/>
              <w:right w:val="single" w:sz="4"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4,90</w:t>
            </w:r>
          </w:p>
        </w:tc>
        <w:tc>
          <w:tcPr>
            <w:tcW w:w="1240" w:type="dxa"/>
            <w:tcBorders>
              <w:top w:val="nil"/>
              <w:left w:val="nil"/>
              <w:bottom w:val="single" w:sz="8" w:space="0" w:color="auto"/>
              <w:right w:val="single" w:sz="4" w:space="0" w:color="auto"/>
            </w:tcBorders>
            <w:shd w:val="clear" w:color="auto" w:fill="auto"/>
            <w:noWrap/>
            <w:vAlign w:val="bottom"/>
            <w:hideMark/>
          </w:tcPr>
          <w:p w:rsidR="00494A56" w:rsidRPr="00B6704C" w:rsidRDefault="00494A56" w:rsidP="00913005">
            <w:pPr>
              <w:spacing w:after="0" w:line="240" w:lineRule="auto"/>
              <w:jc w:val="center"/>
              <w:rPr>
                <w:rFonts w:ascii="Arial" w:eastAsia="Times New Roman" w:hAnsi="Arial" w:cs="Arial"/>
                <w:color w:val="000000"/>
                <w:sz w:val="20"/>
                <w:szCs w:val="20"/>
                <w:lang w:eastAsia="en-GB"/>
              </w:rPr>
            </w:pPr>
            <w:r w:rsidRPr="00B6704C">
              <w:rPr>
                <w:rFonts w:ascii="Arial" w:eastAsia="Times New Roman" w:hAnsi="Arial" w:cs="Arial"/>
                <w:color w:val="000000"/>
                <w:sz w:val="20"/>
                <w:szCs w:val="20"/>
                <w:lang w:eastAsia="en-GB"/>
              </w:rPr>
              <w:t>19000</w:t>
            </w:r>
          </w:p>
        </w:tc>
      </w:tr>
    </w:tbl>
    <w:p w:rsidR="00494A56" w:rsidRDefault="00494A56" w:rsidP="00494A56"/>
    <w:p w:rsidR="00494A56" w:rsidRDefault="00494A56" w:rsidP="00494A56"/>
    <w:p w:rsidR="00494A56" w:rsidRDefault="00494A56" w:rsidP="00494A56"/>
    <w:p w:rsidR="00494A56" w:rsidRDefault="00494A56" w:rsidP="00494A56"/>
    <w:p w:rsidR="00494A56" w:rsidRDefault="00473EEF" w:rsidP="00494A56">
      <w:pPr>
        <w:jc w:val="center"/>
        <w:rPr>
          <w:b/>
        </w:rPr>
      </w:pPr>
      <w:r>
        <w:rPr>
          <w:b/>
        </w:rPr>
        <w:t>TABLE 4</w:t>
      </w:r>
      <w:r w:rsidR="00494A56">
        <w:rPr>
          <w:b/>
        </w:rPr>
        <w:t>.</w:t>
      </w:r>
    </w:p>
    <w:p w:rsidR="00494A56" w:rsidRPr="00494A56" w:rsidRDefault="00494A56" w:rsidP="00494A56">
      <w:pPr>
        <w:jc w:val="center"/>
        <w:rPr>
          <w:b/>
          <w:lang w:val="en-GB"/>
        </w:rPr>
      </w:pPr>
      <w:r w:rsidRPr="00494A56">
        <w:rPr>
          <w:b/>
          <w:lang w:val="en-GB"/>
        </w:rPr>
        <w:t xml:space="preserve">List of </w:t>
      </w:r>
      <w:proofErr w:type="gramStart"/>
      <w:r w:rsidRPr="00494A56">
        <w:rPr>
          <w:b/>
          <w:lang w:val="en-GB"/>
        </w:rPr>
        <w:t>Applications :</w:t>
      </w:r>
      <w:proofErr w:type="gramEnd"/>
      <w:r w:rsidRPr="00494A56">
        <w:rPr>
          <w:b/>
          <w:lang w:val="en-GB"/>
        </w:rPr>
        <w:t xml:space="preserve"> </w:t>
      </w:r>
      <w:r w:rsidR="00004EB7">
        <w:rPr>
          <w:b/>
          <w:lang w:val="en-GB"/>
        </w:rPr>
        <w:t xml:space="preserve">INDICATIVE </w:t>
      </w:r>
      <w:r w:rsidR="00771462">
        <w:rPr>
          <w:b/>
          <w:lang w:val="en-GB"/>
        </w:rPr>
        <w:t xml:space="preserve">(ESTIMATED) </w:t>
      </w:r>
      <w:r w:rsidR="00004EB7">
        <w:rPr>
          <w:b/>
          <w:lang w:val="en-GB"/>
        </w:rPr>
        <w:t xml:space="preserve">VALUES </w:t>
      </w:r>
      <w:r w:rsidRPr="00494A56">
        <w:rPr>
          <w:b/>
          <w:lang w:val="en-GB"/>
        </w:rPr>
        <w:t xml:space="preserve">WEIGHT Battery </w:t>
      </w:r>
      <w:proofErr w:type="spellStart"/>
      <w:r w:rsidRPr="00494A56">
        <w:rPr>
          <w:b/>
          <w:lang w:val="en-GB"/>
        </w:rPr>
        <w:t>vs</w:t>
      </w:r>
      <w:proofErr w:type="spellEnd"/>
      <w:r w:rsidRPr="00494A56">
        <w:rPr>
          <w:b/>
          <w:lang w:val="en-GB"/>
        </w:rPr>
        <w:t xml:space="preserve"> WEIGHT Application</w:t>
      </w:r>
    </w:p>
    <w:p w:rsidR="00494A56" w:rsidRDefault="00494A56" w:rsidP="00494A56">
      <w:pPr>
        <w:jc w:val="center"/>
        <w:rPr>
          <w:b/>
          <w:lang w:val="en-GB"/>
        </w:rPr>
      </w:pPr>
      <w:r w:rsidRPr="00B47603">
        <w:rPr>
          <w:b/>
          <w:lang w:val="en-GB"/>
        </w:rPr>
        <w:t>LITHIUM-METAL PRIMARY BATTERIES</w:t>
      </w:r>
      <w:r w:rsidR="00771462">
        <w:rPr>
          <w:b/>
          <w:lang w:val="en-GB"/>
        </w:rPr>
        <w:t xml:space="preserve"> (Back-up applications)</w:t>
      </w:r>
      <w:r w:rsidR="0043365B">
        <w:rPr>
          <w:b/>
          <w:lang w:val="en-GB"/>
        </w:rPr>
        <w:t>.</w:t>
      </w:r>
    </w:p>
    <w:p w:rsidR="0043365B" w:rsidRDefault="0043365B" w:rsidP="00494A56">
      <w:pPr>
        <w:jc w:val="center"/>
        <w:rPr>
          <w:b/>
          <w:lang w:val="en-GB"/>
        </w:rPr>
      </w:pPr>
    </w:p>
    <w:p w:rsidR="00585C45" w:rsidRDefault="00297DFF">
      <w:pPr>
        <w:rPr>
          <w:rFonts w:ascii="Myriad Set Text" w:hAnsi="Myriad Set Text" w:cs="Myriad Set Text"/>
          <w:lang w:val="en-GB"/>
        </w:rPr>
      </w:pPr>
      <w:r w:rsidRPr="00297DFF">
        <w:rPr>
          <w:noProof/>
          <w:lang w:val="fr-FR" w:eastAsia="fr-FR"/>
        </w:rPr>
        <w:drawing>
          <wp:inline distT="0" distB="0" distL="0" distR="0">
            <wp:extent cx="5760720" cy="5824302"/>
            <wp:effectExtent l="0" t="0" r="0" b="508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5824302"/>
                    </a:xfrm>
                    <a:prstGeom prst="rect">
                      <a:avLst/>
                    </a:prstGeom>
                    <a:noFill/>
                    <a:ln>
                      <a:noFill/>
                    </a:ln>
                  </pic:spPr>
                </pic:pic>
              </a:graphicData>
            </a:graphic>
          </wp:inline>
        </w:drawing>
      </w:r>
    </w:p>
    <w:p w:rsidR="00297DFF" w:rsidRDefault="00297DFF">
      <w:pPr>
        <w:rPr>
          <w:rFonts w:ascii="Myriad Set Text" w:hAnsi="Myriad Set Text" w:cs="Myriad Set Text"/>
          <w:lang w:val="en-GB"/>
        </w:rPr>
      </w:pPr>
      <w:r>
        <w:rPr>
          <w:rFonts w:ascii="Myriad Set Text" w:hAnsi="Myriad Set Text" w:cs="Myriad Set Text"/>
          <w:lang w:val="en-GB"/>
        </w:rPr>
        <w:br w:type="page"/>
      </w:r>
    </w:p>
    <w:p w:rsidR="007C7AD1" w:rsidRPr="00B47603" w:rsidRDefault="007C7AD1" w:rsidP="007C7AD1">
      <w:pPr>
        <w:widowControl w:val="0"/>
        <w:autoSpaceDE w:val="0"/>
        <w:autoSpaceDN w:val="0"/>
        <w:adjustRightInd w:val="0"/>
        <w:jc w:val="both"/>
        <w:rPr>
          <w:rFonts w:ascii="Myriad Set Text" w:hAnsi="Myriad Set Text" w:cs="Myriad Set Text"/>
          <w:lang w:val="en-GB"/>
        </w:rPr>
      </w:pPr>
    </w:p>
    <w:p w:rsidR="00473EEF" w:rsidRPr="00494A56" w:rsidRDefault="00473EEF" w:rsidP="00473EEF">
      <w:pPr>
        <w:spacing w:after="0" w:line="240" w:lineRule="auto"/>
        <w:jc w:val="center"/>
        <w:rPr>
          <w:b/>
          <w:lang w:val="en-GB"/>
        </w:rPr>
      </w:pPr>
      <w:proofErr w:type="gramStart"/>
      <w:r w:rsidRPr="00494A56">
        <w:rPr>
          <w:b/>
          <w:lang w:val="en-GB"/>
        </w:rPr>
        <w:t xml:space="preserve">TABLE </w:t>
      </w:r>
      <w:r>
        <w:rPr>
          <w:b/>
          <w:lang w:val="en-GB"/>
        </w:rPr>
        <w:t>5</w:t>
      </w:r>
      <w:r w:rsidRPr="00494A56">
        <w:rPr>
          <w:b/>
          <w:lang w:val="en-GB"/>
        </w:rPr>
        <w:t>.</w:t>
      </w:r>
      <w:proofErr w:type="gramEnd"/>
    </w:p>
    <w:p w:rsidR="00473EEF" w:rsidRDefault="00473EEF" w:rsidP="00473EEF">
      <w:pPr>
        <w:spacing w:after="0" w:line="240" w:lineRule="auto"/>
        <w:jc w:val="center"/>
        <w:rPr>
          <w:b/>
          <w:lang w:val="en-GB"/>
        </w:rPr>
      </w:pPr>
      <w:r w:rsidRPr="00494A56">
        <w:rPr>
          <w:b/>
          <w:lang w:val="en-GB"/>
        </w:rPr>
        <w:t xml:space="preserve">List of Applications </w:t>
      </w:r>
      <w:r>
        <w:rPr>
          <w:b/>
          <w:lang w:val="en-GB"/>
        </w:rPr>
        <w:t>for Lithium-Ion Batteries</w:t>
      </w:r>
    </w:p>
    <w:p w:rsidR="00473EEF" w:rsidRPr="00494A56" w:rsidRDefault="00004EB7" w:rsidP="00473EEF">
      <w:pPr>
        <w:spacing w:after="0" w:line="240" w:lineRule="auto"/>
        <w:jc w:val="center"/>
        <w:rPr>
          <w:b/>
          <w:lang w:val="en-GB"/>
        </w:rPr>
      </w:pPr>
      <w:r>
        <w:rPr>
          <w:b/>
          <w:lang w:val="en-GB"/>
        </w:rPr>
        <w:t xml:space="preserve">INDICATIVE VALUES </w:t>
      </w:r>
      <w:r w:rsidR="00473EEF" w:rsidRPr="00494A56">
        <w:rPr>
          <w:b/>
          <w:lang w:val="en-GB"/>
        </w:rPr>
        <w:t xml:space="preserve">WEIGHT Battery </w:t>
      </w:r>
      <w:proofErr w:type="spellStart"/>
      <w:r w:rsidR="00473EEF" w:rsidRPr="00494A56">
        <w:rPr>
          <w:b/>
          <w:lang w:val="en-GB"/>
        </w:rPr>
        <w:t>vs</w:t>
      </w:r>
      <w:proofErr w:type="spellEnd"/>
      <w:r w:rsidR="00473EEF" w:rsidRPr="00494A56">
        <w:rPr>
          <w:b/>
          <w:lang w:val="en-GB"/>
        </w:rPr>
        <w:t xml:space="preserve"> WEIGHT Application</w:t>
      </w:r>
    </w:p>
    <w:p w:rsidR="00473EEF" w:rsidRPr="00473EEF" w:rsidRDefault="00473EEF" w:rsidP="00473EEF">
      <w:pPr>
        <w:spacing w:after="0" w:line="240" w:lineRule="auto"/>
        <w:jc w:val="center"/>
        <w:rPr>
          <w:b/>
          <w:lang w:val="en-GB"/>
        </w:rPr>
      </w:pPr>
      <w:r w:rsidRPr="00473EEF">
        <w:rPr>
          <w:b/>
          <w:lang w:val="en-GB"/>
        </w:rPr>
        <w:t>RECHARGEABLE LITHIUM-ION BATTERIES</w:t>
      </w:r>
    </w:p>
    <w:p w:rsidR="00473EEF" w:rsidRPr="00473EEF" w:rsidRDefault="00473EEF" w:rsidP="00473EEF">
      <w:pPr>
        <w:rPr>
          <w:lang w:val="en-GB"/>
        </w:rPr>
      </w:pPr>
    </w:p>
    <w:p w:rsidR="00473EEF" w:rsidRDefault="00473EEF" w:rsidP="00473EEF">
      <w:r w:rsidRPr="00097304">
        <w:rPr>
          <w:noProof/>
          <w:lang w:val="fr-FR" w:eastAsia="fr-FR"/>
        </w:rPr>
        <w:drawing>
          <wp:inline distT="0" distB="0" distL="0" distR="0">
            <wp:extent cx="5760720" cy="5415518"/>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5415518"/>
                    </a:xfrm>
                    <a:prstGeom prst="rect">
                      <a:avLst/>
                    </a:prstGeom>
                    <a:noFill/>
                    <a:ln>
                      <a:noFill/>
                    </a:ln>
                  </pic:spPr>
                </pic:pic>
              </a:graphicData>
            </a:graphic>
          </wp:inline>
        </w:drawing>
      </w:r>
    </w:p>
    <w:p w:rsidR="00473EEF" w:rsidRDefault="00473EEF" w:rsidP="007C7AD1">
      <w:pPr>
        <w:widowControl w:val="0"/>
        <w:autoSpaceDE w:val="0"/>
        <w:autoSpaceDN w:val="0"/>
        <w:adjustRightInd w:val="0"/>
        <w:jc w:val="both"/>
        <w:rPr>
          <w:rFonts w:ascii="Myriad Set Text" w:hAnsi="Myriad Set Text" w:cs="Myriad Set Text"/>
        </w:rPr>
      </w:pPr>
    </w:p>
    <w:sectPr w:rsidR="00473EEF" w:rsidSect="00763802">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CD2" w:rsidRDefault="00876CD2" w:rsidP="00B31370">
      <w:pPr>
        <w:spacing w:after="0" w:line="240" w:lineRule="auto"/>
      </w:pPr>
      <w:r>
        <w:separator/>
      </w:r>
    </w:p>
  </w:endnote>
  <w:endnote w:type="continuationSeparator" w:id="0">
    <w:p w:rsidR="00876CD2" w:rsidRDefault="00876CD2" w:rsidP="00B31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Set Text">
    <w:altName w:val="Segoe UI Semilight"/>
    <w:charset w:val="00"/>
    <w:family w:val="auto"/>
    <w:pitch w:val="variable"/>
    <w:sig w:usb0="00000001" w:usb1="00000040"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382815"/>
      <w:docPartObj>
        <w:docPartGallery w:val="Page Numbers (Bottom of Page)"/>
        <w:docPartUnique/>
      </w:docPartObj>
    </w:sdtPr>
    <w:sdtContent>
      <w:p w:rsidR="00A53F28" w:rsidRDefault="00DA6433">
        <w:pPr>
          <w:pStyle w:val="Pieddepage"/>
          <w:jc w:val="center"/>
        </w:pPr>
        <w:r>
          <w:fldChar w:fldCharType="begin"/>
        </w:r>
        <w:r w:rsidR="00A53F28">
          <w:instrText>PAGE   \* MERGEFORMAT</w:instrText>
        </w:r>
        <w:r>
          <w:fldChar w:fldCharType="separate"/>
        </w:r>
        <w:r w:rsidR="00F97F89" w:rsidRPr="00F97F89">
          <w:rPr>
            <w:noProof/>
            <w:lang w:val="fr-FR"/>
          </w:rPr>
          <w:t>1</w:t>
        </w:r>
        <w:r>
          <w:fldChar w:fldCharType="end"/>
        </w:r>
      </w:p>
    </w:sdtContent>
  </w:sdt>
  <w:p w:rsidR="00B31370" w:rsidRDefault="00B3137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CD2" w:rsidRDefault="00876CD2" w:rsidP="00B31370">
      <w:pPr>
        <w:spacing w:after="0" w:line="240" w:lineRule="auto"/>
      </w:pPr>
      <w:r>
        <w:separator/>
      </w:r>
    </w:p>
  </w:footnote>
  <w:footnote w:type="continuationSeparator" w:id="0">
    <w:p w:rsidR="00876CD2" w:rsidRDefault="00876CD2" w:rsidP="00B31370">
      <w:pPr>
        <w:spacing w:after="0" w:line="240" w:lineRule="auto"/>
      </w:pPr>
      <w:r>
        <w:continuationSeparator/>
      </w:r>
    </w:p>
  </w:footnote>
  <w:footnote w:id="1">
    <w:p w:rsidR="00494A56" w:rsidRPr="001871DF" w:rsidRDefault="00494A56" w:rsidP="00494A56">
      <w:pPr>
        <w:pStyle w:val="Notedebasdepage"/>
      </w:pPr>
      <w:r>
        <w:rPr>
          <w:rStyle w:val="Appelnotedebasdep"/>
        </w:rPr>
        <w:footnoteRef/>
      </w:r>
      <w:r>
        <w:t xml:space="preserve"> </w:t>
      </w:r>
      <w:proofErr w:type="gramStart"/>
      <w:r w:rsidRPr="001871DF">
        <w:t>AVICENNE.</w:t>
      </w:r>
      <w:proofErr w:type="gramEnd"/>
      <w:r w:rsidRPr="001871DF">
        <w:t xml:space="preserve"> </w:t>
      </w:r>
      <w:proofErr w:type="gramStart"/>
      <w:r w:rsidRPr="001871DF">
        <w:t>Market Survey of Lithium Rechargeable Batteries 2013.</w:t>
      </w:r>
      <w:proofErr w:type="gramEnd"/>
    </w:p>
    <w:p w:rsidR="00494A56" w:rsidRPr="001871DF" w:rsidRDefault="00494A56" w:rsidP="00494A56">
      <w:pPr>
        <w:pStyle w:val="Notedebasdepage"/>
      </w:pPr>
    </w:p>
  </w:footnote>
  <w:footnote w:id="2">
    <w:p w:rsidR="00494A56" w:rsidRPr="001871DF" w:rsidRDefault="00494A56" w:rsidP="00494A56">
      <w:pPr>
        <w:pStyle w:val="Notedebasdepage"/>
      </w:pPr>
      <w:r>
        <w:rPr>
          <w:rStyle w:val="Appelnotedebasdep"/>
        </w:rPr>
        <w:footnoteRef/>
      </w:r>
      <w:r>
        <w:t xml:space="preserve"> </w:t>
      </w:r>
      <w:proofErr w:type="gramStart"/>
      <w:r w:rsidRPr="001871DF">
        <w:t>FROST &amp; SULLIVAN.</w:t>
      </w:r>
      <w:proofErr w:type="gramEnd"/>
      <w:r w:rsidRPr="001871DF">
        <w:t xml:space="preserve"> </w:t>
      </w:r>
      <w:proofErr w:type="gramStart"/>
      <w:r w:rsidRPr="001871DF">
        <w:t>Market Survey of Primary lithium Batteries</w:t>
      </w:r>
      <w:r w:rsidR="00FA5DED">
        <w:t xml:space="preserve"> 2012.</w:t>
      </w:r>
      <w:proofErr w:type="gramEnd"/>
    </w:p>
  </w:footnote>
  <w:footnote w:id="3">
    <w:p w:rsidR="00494A56" w:rsidRPr="00FB43FE" w:rsidRDefault="00494A56" w:rsidP="00494A56">
      <w:pPr>
        <w:pStyle w:val="Notedebasdepage"/>
      </w:pPr>
      <w:r>
        <w:rPr>
          <w:rStyle w:val="Appelnotedebasdep"/>
        </w:rPr>
        <w:footnoteRef/>
      </w:r>
      <w:r>
        <w:t xml:space="preserve"> </w:t>
      </w:r>
      <w:r w:rsidRPr="00FB43FE">
        <w:t>VARTA HANDBOOK OF BATTERIES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370" w:rsidRDefault="00DA6433" w:rsidP="00B31370">
    <w:pPr>
      <w:pStyle w:val="En-tte"/>
      <w:jc w:val="center"/>
    </w:pPr>
    <w:sdt>
      <w:sdtPr>
        <w:id w:val="634090641"/>
        <w:docPartObj>
          <w:docPartGallery w:val="Watermarks"/>
          <w:docPartUnique/>
        </w:docPartObj>
      </w:sdtPr>
      <w:sdtContent>
        <w:r w:rsidRPr="00DA6433">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670908" o:spid="_x0000_s2049" type="#_x0000_t136" style="position:absolute;left:0;text-align:left;margin-left:0;margin-top:0;width:399.7pt;height:239.8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31370">
      <w:rPr>
        <w:rFonts w:ascii="Arial" w:hAnsi="Arial" w:cs="Arial"/>
        <w:noProof/>
        <w:lang w:val="fr-FR" w:eastAsia="fr-FR"/>
      </w:rPr>
      <w:drawing>
        <wp:inline distT="0" distB="0" distL="0" distR="0">
          <wp:extent cx="1173480" cy="459188"/>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83065" cy="462939"/>
                  </a:xfrm>
                  <a:prstGeom prst="rect">
                    <a:avLst/>
                  </a:prstGeom>
                  <a:noFill/>
                  <a:ln w="9525">
                    <a:noFill/>
                    <a:miter lim="800000"/>
                    <a:headEnd/>
                    <a:tailEnd/>
                  </a:ln>
                </pic:spPr>
              </pic:pic>
            </a:graphicData>
          </a:graphic>
        </wp:inline>
      </w:drawing>
    </w:r>
  </w:p>
  <w:p w:rsidR="00C3010A" w:rsidRPr="00C3010A" w:rsidRDefault="00C3010A" w:rsidP="00BD1E5F">
    <w:pPr>
      <w:pStyle w:val="En-tte"/>
      <w:pBdr>
        <w:bottom w:val="single" w:sz="4" w:space="1" w:color="auto"/>
      </w:pBdr>
      <w:jc w:val="right"/>
      <w:rPr>
        <w:rFonts w:ascii="Times New Roman" w:hAnsi="Times New Roman" w:cs="Times New Roman"/>
        <w:b/>
        <w:sz w:val="28"/>
        <w:szCs w:val="28"/>
      </w:rPr>
    </w:pPr>
    <w:r w:rsidRPr="00C3010A">
      <w:rPr>
        <w:rFonts w:ascii="Times New Roman" w:hAnsi="Times New Roman" w:cs="Times New Roman"/>
        <w:b/>
        <w:sz w:val="28"/>
        <w:szCs w:val="28"/>
      </w:rPr>
      <w:t>INF.14/</w:t>
    </w:r>
    <w:proofErr w:type="spellStart"/>
    <w:r w:rsidRPr="00C3010A">
      <w:rPr>
        <w:rFonts w:ascii="Times New Roman" w:hAnsi="Times New Roman" w:cs="Times New Roman"/>
        <w:b/>
        <w:sz w:val="28"/>
        <w:szCs w:val="28"/>
      </w:rPr>
      <w:t>Add</w:t>
    </w:r>
    <w:proofErr w:type="spellEnd"/>
    <w:r w:rsidRPr="00C3010A">
      <w:rPr>
        <w:rFonts w:ascii="Times New Roman" w:hAnsi="Times New Roman" w:cs="Times New Roman"/>
        <w:b/>
        <w:sz w:val="28"/>
        <w:szCs w:val="28"/>
      </w:rPr>
      <w:t>.1</w:t>
    </w:r>
  </w:p>
  <w:p w:rsidR="00C3010A" w:rsidRPr="00B31370" w:rsidRDefault="00C3010A" w:rsidP="00C3010A">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1ADA"/>
    <w:multiLevelType w:val="multilevel"/>
    <w:tmpl w:val="D22A452C"/>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608" w:hanging="1800"/>
      </w:pPr>
      <w:rPr>
        <w:rFonts w:hint="default"/>
      </w:rPr>
    </w:lvl>
  </w:abstractNum>
  <w:abstractNum w:abstractNumId="1">
    <w:nsid w:val="128E09D6"/>
    <w:multiLevelType w:val="multilevel"/>
    <w:tmpl w:val="D22675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65C04EB"/>
    <w:multiLevelType w:val="multilevel"/>
    <w:tmpl w:val="D22A452C"/>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608" w:hanging="1800"/>
      </w:pPr>
      <w:rPr>
        <w:rFonts w:hint="default"/>
      </w:rPr>
    </w:lvl>
  </w:abstractNum>
  <w:abstractNum w:abstractNumId="3">
    <w:nsid w:val="26E2714F"/>
    <w:multiLevelType w:val="multilevel"/>
    <w:tmpl w:val="5E4C158C"/>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2A635B14"/>
    <w:multiLevelType w:val="hybridMultilevel"/>
    <w:tmpl w:val="C1CEAA7E"/>
    <w:lvl w:ilvl="0" w:tplc="1C8EF2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417FCB"/>
    <w:multiLevelType w:val="multilevel"/>
    <w:tmpl w:val="BEA0AB1A"/>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nsid w:val="4DC660C5"/>
    <w:multiLevelType w:val="hybridMultilevel"/>
    <w:tmpl w:val="0FCA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A92E9B"/>
    <w:multiLevelType w:val="hybridMultilevel"/>
    <w:tmpl w:val="5AAA80F6"/>
    <w:lvl w:ilvl="0" w:tplc="100C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E8000F"/>
    <w:multiLevelType w:val="multilevel"/>
    <w:tmpl w:val="4188836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7205687C"/>
    <w:multiLevelType w:val="hybridMultilevel"/>
    <w:tmpl w:val="488A543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7E9D299E"/>
    <w:multiLevelType w:val="hybridMultilevel"/>
    <w:tmpl w:val="AE323EA8"/>
    <w:lvl w:ilvl="0" w:tplc="DE200C5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6"/>
  </w:num>
  <w:num w:numId="3">
    <w:abstractNumId w:val="8"/>
  </w:num>
  <w:num w:numId="4">
    <w:abstractNumId w:val="1"/>
  </w:num>
  <w:num w:numId="5">
    <w:abstractNumId w:val="4"/>
  </w:num>
  <w:num w:numId="6">
    <w:abstractNumId w:val="0"/>
  </w:num>
  <w:num w:numId="7">
    <w:abstractNumId w:val="10"/>
  </w:num>
  <w:num w:numId="8">
    <w:abstractNumId w:val="7"/>
  </w:num>
  <w:num w:numId="9">
    <w:abstractNumId w:val="3"/>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F604BC"/>
    <w:rsid w:val="00004EB7"/>
    <w:rsid w:val="00030568"/>
    <w:rsid w:val="00083071"/>
    <w:rsid w:val="000B1AEA"/>
    <w:rsid w:val="000D19D4"/>
    <w:rsid w:val="000D505C"/>
    <w:rsid w:val="001161CC"/>
    <w:rsid w:val="001510ED"/>
    <w:rsid w:val="001B521A"/>
    <w:rsid w:val="0020480F"/>
    <w:rsid w:val="002070B0"/>
    <w:rsid w:val="00222538"/>
    <w:rsid w:val="0025446F"/>
    <w:rsid w:val="0027162D"/>
    <w:rsid w:val="00281EC8"/>
    <w:rsid w:val="00297DFF"/>
    <w:rsid w:val="002B19A8"/>
    <w:rsid w:val="002B4D23"/>
    <w:rsid w:val="002D39E6"/>
    <w:rsid w:val="00315946"/>
    <w:rsid w:val="00334CF3"/>
    <w:rsid w:val="00355407"/>
    <w:rsid w:val="00357EBC"/>
    <w:rsid w:val="00381C31"/>
    <w:rsid w:val="004009C3"/>
    <w:rsid w:val="0043365B"/>
    <w:rsid w:val="00460DC9"/>
    <w:rsid w:val="00472D8F"/>
    <w:rsid w:val="00473EEF"/>
    <w:rsid w:val="00494A56"/>
    <w:rsid w:val="005029B5"/>
    <w:rsid w:val="00585C45"/>
    <w:rsid w:val="005F4434"/>
    <w:rsid w:val="006217EF"/>
    <w:rsid w:val="00632219"/>
    <w:rsid w:val="00672682"/>
    <w:rsid w:val="00683817"/>
    <w:rsid w:val="0069247E"/>
    <w:rsid w:val="00731624"/>
    <w:rsid w:val="0074152F"/>
    <w:rsid w:val="00763802"/>
    <w:rsid w:val="00771462"/>
    <w:rsid w:val="007B4C36"/>
    <w:rsid w:val="007B6556"/>
    <w:rsid w:val="007C7AD1"/>
    <w:rsid w:val="007F00D8"/>
    <w:rsid w:val="00861364"/>
    <w:rsid w:val="00876CD2"/>
    <w:rsid w:val="008A6467"/>
    <w:rsid w:val="009218E3"/>
    <w:rsid w:val="009769DB"/>
    <w:rsid w:val="00977AA6"/>
    <w:rsid w:val="009D325A"/>
    <w:rsid w:val="009D581E"/>
    <w:rsid w:val="009E3A03"/>
    <w:rsid w:val="00A406E6"/>
    <w:rsid w:val="00A4185C"/>
    <w:rsid w:val="00A4281A"/>
    <w:rsid w:val="00A53F28"/>
    <w:rsid w:val="00A84AEF"/>
    <w:rsid w:val="00AA7D1C"/>
    <w:rsid w:val="00AB7ABB"/>
    <w:rsid w:val="00AC2310"/>
    <w:rsid w:val="00B03DBB"/>
    <w:rsid w:val="00B13881"/>
    <w:rsid w:val="00B27C4A"/>
    <w:rsid w:val="00B31370"/>
    <w:rsid w:val="00B47603"/>
    <w:rsid w:val="00B953FD"/>
    <w:rsid w:val="00BB22FF"/>
    <w:rsid w:val="00BC28BE"/>
    <w:rsid w:val="00BD1E5F"/>
    <w:rsid w:val="00BD5728"/>
    <w:rsid w:val="00BF0F33"/>
    <w:rsid w:val="00C07192"/>
    <w:rsid w:val="00C20960"/>
    <w:rsid w:val="00C23348"/>
    <w:rsid w:val="00C3010A"/>
    <w:rsid w:val="00CA5E79"/>
    <w:rsid w:val="00CB37FB"/>
    <w:rsid w:val="00CB7726"/>
    <w:rsid w:val="00CC7A1A"/>
    <w:rsid w:val="00CC7B20"/>
    <w:rsid w:val="00D06591"/>
    <w:rsid w:val="00DA6433"/>
    <w:rsid w:val="00DC19D0"/>
    <w:rsid w:val="00DC4D93"/>
    <w:rsid w:val="00DC6D72"/>
    <w:rsid w:val="00E1001A"/>
    <w:rsid w:val="00E565DC"/>
    <w:rsid w:val="00E678A7"/>
    <w:rsid w:val="00E84210"/>
    <w:rsid w:val="00E95E89"/>
    <w:rsid w:val="00E96A3E"/>
    <w:rsid w:val="00EA311C"/>
    <w:rsid w:val="00F05C25"/>
    <w:rsid w:val="00F57D3A"/>
    <w:rsid w:val="00F604BC"/>
    <w:rsid w:val="00F67260"/>
    <w:rsid w:val="00F97F89"/>
    <w:rsid w:val="00FA4D22"/>
    <w:rsid w:val="00FA537E"/>
    <w:rsid w:val="00FA5DED"/>
    <w:rsid w:val="00FE4D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80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7192"/>
    <w:pPr>
      <w:ind w:left="720"/>
      <w:contextualSpacing/>
    </w:pPr>
  </w:style>
  <w:style w:type="paragraph" w:styleId="En-tte">
    <w:name w:val="header"/>
    <w:aliases w:val="6_G"/>
    <w:basedOn w:val="Normal"/>
    <w:link w:val="En-tteCar"/>
    <w:unhideWhenUsed/>
    <w:rsid w:val="00B31370"/>
    <w:pPr>
      <w:tabs>
        <w:tab w:val="center" w:pos="4536"/>
        <w:tab w:val="right" w:pos="9072"/>
      </w:tabs>
      <w:spacing w:after="0" w:line="240" w:lineRule="auto"/>
    </w:pPr>
  </w:style>
  <w:style w:type="character" w:customStyle="1" w:styleId="En-tteCar">
    <w:name w:val="En-tête Car"/>
    <w:aliases w:val="6_G Car"/>
    <w:basedOn w:val="Policepardfaut"/>
    <w:link w:val="En-tte"/>
    <w:rsid w:val="00B31370"/>
  </w:style>
  <w:style w:type="paragraph" w:styleId="Pieddepage">
    <w:name w:val="footer"/>
    <w:basedOn w:val="Normal"/>
    <w:link w:val="PieddepageCar"/>
    <w:uiPriority w:val="99"/>
    <w:unhideWhenUsed/>
    <w:rsid w:val="00B313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1370"/>
  </w:style>
  <w:style w:type="table" w:styleId="Grilledutableau">
    <w:name w:val="Table Grid"/>
    <w:basedOn w:val="TableauNormal"/>
    <w:uiPriority w:val="59"/>
    <w:rsid w:val="00C20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494A56"/>
    <w:pPr>
      <w:spacing w:after="0" w:line="240" w:lineRule="auto"/>
    </w:pPr>
    <w:rPr>
      <w:sz w:val="20"/>
      <w:szCs w:val="20"/>
      <w:lang w:val="en-GB"/>
    </w:rPr>
  </w:style>
  <w:style w:type="character" w:customStyle="1" w:styleId="NotedebasdepageCar">
    <w:name w:val="Note de bas de page Car"/>
    <w:basedOn w:val="Policepardfaut"/>
    <w:link w:val="Notedebasdepage"/>
    <w:uiPriority w:val="99"/>
    <w:semiHidden/>
    <w:rsid w:val="00494A56"/>
    <w:rPr>
      <w:sz w:val="20"/>
      <w:szCs w:val="20"/>
      <w:lang w:val="en-GB"/>
    </w:rPr>
  </w:style>
  <w:style w:type="character" w:styleId="Appelnotedebasdep">
    <w:name w:val="footnote reference"/>
    <w:basedOn w:val="Policepardfaut"/>
    <w:uiPriority w:val="99"/>
    <w:semiHidden/>
    <w:unhideWhenUsed/>
    <w:rsid w:val="00494A56"/>
    <w:rPr>
      <w:vertAlign w:val="superscript"/>
    </w:rPr>
  </w:style>
  <w:style w:type="paragraph" w:styleId="Textedebulles">
    <w:name w:val="Balloon Text"/>
    <w:basedOn w:val="Normal"/>
    <w:link w:val="TextedebullesCar"/>
    <w:uiPriority w:val="99"/>
    <w:semiHidden/>
    <w:unhideWhenUsed/>
    <w:rsid w:val="009769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69DB"/>
    <w:rPr>
      <w:rFonts w:ascii="Tahoma" w:hAnsi="Tahoma" w:cs="Tahoma"/>
      <w:sz w:val="16"/>
      <w:szCs w:val="16"/>
    </w:rPr>
  </w:style>
  <w:style w:type="paragraph" w:styleId="Notedefin">
    <w:name w:val="endnote text"/>
    <w:basedOn w:val="Normal"/>
    <w:link w:val="NotedefinCar"/>
    <w:rsid w:val="00A84AEF"/>
    <w:pPr>
      <w:spacing w:after="0" w:line="240" w:lineRule="auto"/>
      <w:ind w:firstLine="360"/>
    </w:pPr>
    <w:rPr>
      <w:rFonts w:ascii="Calibri" w:eastAsia="Times New Roman" w:hAnsi="Calibri" w:cs="Times New Roman"/>
      <w:sz w:val="20"/>
      <w:szCs w:val="20"/>
      <w:lang w:val="de-DE" w:eastAsia="de-DE"/>
    </w:rPr>
  </w:style>
  <w:style w:type="character" w:customStyle="1" w:styleId="NotedefinCar">
    <w:name w:val="Note de fin Car"/>
    <w:basedOn w:val="Policepardfaut"/>
    <w:link w:val="Notedefin"/>
    <w:rsid w:val="00A84AEF"/>
    <w:rPr>
      <w:rFonts w:ascii="Calibri" w:eastAsia="Times New Roman" w:hAnsi="Calibri" w:cs="Times New Roman"/>
      <w:sz w:val="20"/>
      <w:szCs w:val="20"/>
      <w:lang w:val="de-DE" w:eastAsia="de-DE"/>
    </w:rPr>
  </w:style>
  <w:style w:type="character" w:styleId="Appeldenotedefin">
    <w:name w:val="endnote reference"/>
    <w:rsid w:val="00A84AEF"/>
    <w:rPr>
      <w:vertAlign w:val="superscript"/>
    </w:rPr>
  </w:style>
  <w:style w:type="character" w:styleId="Lienhypertexte">
    <w:name w:val="Hyperlink"/>
    <w:basedOn w:val="Policepardfaut"/>
    <w:uiPriority w:val="99"/>
    <w:unhideWhenUsed/>
    <w:rsid w:val="000B1AE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9852604">
      <w:bodyDiv w:val="1"/>
      <w:marLeft w:val="0"/>
      <w:marRight w:val="0"/>
      <w:marTop w:val="0"/>
      <w:marBottom w:val="0"/>
      <w:divBdr>
        <w:top w:val="none" w:sz="0" w:space="0" w:color="auto"/>
        <w:left w:val="none" w:sz="0" w:space="0" w:color="auto"/>
        <w:bottom w:val="none" w:sz="0" w:space="0" w:color="auto"/>
        <w:right w:val="none" w:sz="0" w:space="0" w:color="auto"/>
      </w:divBdr>
    </w:div>
    <w:div w:id="171646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jpwiaux@rechargebatteries.org"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mailto:wtomboy@rechargebatetries.org" TargetMode="Externa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mailto:cchanson@rechargebatetries.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Feuille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Lithium-Ion</a:t>
            </a:r>
            <a:r>
              <a:rPr lang="en-GB" baseline="0"/>
              <a:t> Battery Market (2013-2014) - EUROPE</a:t>
            </a:r>
          </a:p>
          <a:p>
            <a:pPr>
              <a:defRPr sz="1400" b="0" i="0" u="none" strike="noStrike" kern="1200" spc="0" baseline="0">
                <a:solidFill>
                  <a:schemeClr val="tx1">
                    <a:lumMod val="65000"/>
                    <a:lumOff val="35000"/>
                  </a:schemeClr>
                </a:solidFill>
                <a:latin typeface="+mn-lt"/>
                <a:ea typeface="+mn-ea"/>
                <a:cs typeface="+mn-cs"/>
              </a:defRPr>
            </a:pPr>
            <a:r>
              <a:rPr lang="en-GB" baseline="0"/>
              <a:t>Data in Tonnes / year</a:t>
            </a:r>
            <a:endParaRPr lang="en-GB"/>
          </a:p>
        </c:rich>
      </c:tx>
      <c:spPr>
        <a:noFill/>
        <a:ln>
          <a:noFill/>
        </a:ln>
        <a:effectLst/>
      </c:spPr>
    </c:title>
    <c:plotArea>
      <c:layout>
        <c:manualLayout>
          <c:layoutTarget val="inner"/>
          <c:xMode val="edge"/>
          <c:yMode val="edge"/>
          <c:x val="8.5269734428357669E-2"/>
          <c:y val="0.12241131148928971"/>
          <c:w val="0.89524241443667663"/>
          <c:h val="0.5637609317053992"/>
        </c:manualLayout>
      </c:layout>
      <c:barChart>
        <c:barDir val="col"/>
        <c:grouping val="clustered"/>
        <c:ser>
          <c:idx val="0"/>
          <c:order val="0"/>
          <c:spPr>
            <a:solidFill>
              <a:schemeClr val="accent1"/>
            </a:solidFill>
            <a:ln>
              <a:noFill/>
            </a:ln>
            <a:effectLst/>
          </c:spPr>
          <c:cat>
            <c:strRef>
              <c:f>Feuil1!$B$38:$B$54</c:f>
              <c:strCache>
                <c:ptCount val="17"/>
                <c:pt idx="0">
                  <c:v>Cordless Phones</c:v>
                </c:pt>
                <c:pt idx="1">
                  <c:v>Notebooks</c:v>
                </c:pt>
                <c:pt idx="2">
                  <c:v>Tablets</c:v>
                </c:pt>
                <c:pt idx="3">
                  <c:v>Cordless Power Tools</c:v>
                </c:pt>
                <c:pt idx="5">
                  <c:v>Household</c:v>
                </c:pt>
                <c:pt idx="6">
                  <c:v>Toys</c:v>
                </c:pt>
                <c:pt idx="7">
                  <c:v>Power Bank</c:v>
                </c:pt>
                <c:pt idx="8">
                  <c:v>Camcorders</c:v>
                </c:pt>
                <c:pt idx="9">
                  <c:v>Digital Cameras</c:v>
                </c:pt>
                <c:pt idx="10">
                  <c:v>Video Games</c:v>
                </c:pt>
                <c:pt idx="11">
                  <c:v>MP3</c:v>
                </c:pt>
                <c:pt idx="13">
                  <c:v>E-Bikes</c:v>
                </c:pt>
                <c:pt idx="14">
                  <c:v>Auto</c:v>
                </c:pt>
                <c:pt idx="16">
                  <c:v>Others</c:v>
                </c:pt>
              </c:strCache>
            </c:strRef>
          </c:cat>
          <c:val>
            <c:numRef>
              <c:f>Feuil1!$C$38:$C$54</c:f>
              <c:numCache>
                <c:formatCode>0</c:formatCode>
                <c:ptCount val="17"/>
                <c:pt idx="0">
                  <c:v>7560</c:v>
                </c:pt>
                <c:pt idx="1">
                  <c:v>15531.75</c:v>
                </c:pt>
                <c:pt idx="2">
                  <c:v>7290</c:v>
                </c:pt>
                <c:pt idx="3">
                  <c:v>7161</c:v>
                </c:pt>
                <c:pt idx="4">
                  <c:v>0</c:v>
                </c:pt>
                <c:pt idx="5">
                  <c:v>500</c:v>
                </c:pt>
                <c:pt idx="6">
                  <c:v>500</c:v>
                </c:pt>
                <c:pt idx="7">
                  <c:v>50</c:v>
                </c:pt>
                <c:pt idx="8">
                  <c:v>735</c:v>
                </c:pt>
                <c:pt idx="9">
                  <c:v>1470</c:v>
                </c:pt>
                <c:pt idx="10">
                  <c:v>1470</c:v>
                </c:pt>
                <c:pt idx="11">
                  <c:v>740</c:v>
                </c:pt>
                <c:pt idx="12">
                  <c:v>0</c:v>
                </c:pt>
                <c:pt idx="13">
                  <c:v>4000</c:v>
                </c:pt>
                <c:pt idx="14">
                  <c:v>13675</c:v>
                </c:pt>
                <c:pt idx="15">
                  <c:v>0</c:v>
                </c:pt>
                <c:pt idx="16">
                  <c:v>5000</c:v>
                </c:pt>
              </c:numCache>
            </c:numRef>
          </c:val>
        </c:ser>
        <c:gapWidth val="219"/>
        <c:overlap val="-27"/>
        <c:axId val="123875328"/>
        <c:axId val="123876864"/>
      </c:barChart>
      <c:catAx>
        <c:axId val="1238753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23876864"/>
        <c:crosses val="autoZero"/>
        <c:auto val="1"/>
        <c:lblAlgn val="ctr"/>
        <c:lblOffset val="100"/>
      </c:catAx>
      <c:valAx>
        <c:axId val="123876864"/>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2387532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Lithium-Ion Battery Market (2013-2014 Estimates) EUROPE</a:t>
            </a:r>
          </a:p>
          <a:p>
            <a:pPr>
              <a:defRPr sz="1400" b="0" i="0" u="none" strike="noStrike" kern="1200" spc="0" baseline="0">
                <a:solidFill>
                  <a:schemeClr val="tx1">
                    <a:lumMod val="65000"/>
                    <a:lumOff val="35000"/>
                  </a:schemeClr>
                </a:solidFill>
                <a:latin typeface="+mn-lt"/>
                <a:ea typeface="+mn-ea"/>
                <a:cs typeface="+mn-cs"/>
              </a:defRPr>
            </a:pPr>
            <a:r>
              <a:rPr lang="en-US"/>
              <a:t>Data in Units per year (Million)</a:t>
            </a:r>
          </a:p>
        </c:rich>
      </c:tx>
      <c:spPr>
        <a:noFill/>
        <a:ln>
          <a:noFill/>
        </a:ln>
        <a:effectLst/>
      </c:spPr>
    </c:title>
    <c:plotArea>
      <c:layout/>
      <c:barChart>
        <c:barDir val="col"/>
        <c:grouping val="clustered"/>
        <c:ser>
          <c:idx val="0"/>
          <c:order val="0"/>
          <c:tx>
            <c:strRef>
              <c:f>Feuil1!$C$71</c:f>
              <c:strCache>
                <c:ptCount val="1"/>
                <c:pt idx="0">
                  <c:v>UNITS / Y. (Million)</c:v>
                </c:pt>
              </c:strCache>
            </c:strRef>
          </c:tx>
          <c:spPr>
            <a:solidFill>
              <a:schemeClr val="accent1"/>
            </a:solidFill>
            <a:ln>
              <a:noFill/>
            </a:ln>
            <a:effectLst/>
          </c:spPr>
          <c:cat>
            <c:strRef>
              <c:f>Feuil1!$B$72:$B$91</c:f>
              <c:strCache>
                <c:ptCount val="19"/>
                <c:pt idx="1">
                  <c:v>Cordless Phones</c:v>
                </c:pt>
                <c:pt idx="2">
                  <c:v>Notebooks</c:v>
                </c:pt>
                <c:pt idx="3">
                  <c:v>Tablets</c:v>
                </c:pt>
                <c:pt idx="4">
                  <c:v>Cordless Power Tools</c:v>
                </c:pt>
                <c:pt idx="6">
                  <c:v>Household</c:v>
                </c:pt>
                <c:pt idx="7">
                  <c:v>Toys</c:v>
                </c:pt>
                <c:pt idx="9">
                  <c:v>Digital Cameras</c:v>
                </c:pt>
                <c:pt idx="10">
                  <c:v>Video Games</c:v>
                </c:pt>
                <c:pt idx="11">
                  <c:v>MP3</c:v>
                </c:pt>
                <c:pt idx="12">
                  <c:v>Camcorder</c:v>
                </c:pt>
                <c:pt idx="14">
                  <c:v>E-Bikes </c:v>
                </c:pt>
                <c:pt idx="15">
                  <c:v>Auto</c:v>
                </c:pt>
                <c:pt idx="18">
                  <c:v>Others</c:v>
                </c:pt>
              </c:strCache>
            </c:strRef>
          </c:cat>
          <c:val>
            <c:numRef>
              <c:f>Feuil1!$C$72:$C$91</c:f>
              <c:numCache>
                <c:formatCode>0.00</c:formatCode>
                <c:ptCount val="20"/>
                <c:pt idx="1">
                  <c:v>216</c:v>
                </c:pt>
                <c:pt idx="2">
                  <c:v>52.65</c:v>
                </c:pt>
                <c:pt idx="3">
                  <c:v>60.75</c:v>
                </c:pt>
                <c:pt idx="4">
                  <c:v>20.459999999999987</c:v>
                </c:pt>
                <c:pt idx="6">
                  <c:v>10</c:v>
                </c:pt>
                <c:pt idx="7">
                  <c:v>10</c:v>
                </c:pt>
                <c:pt idx="9" formatCode="General">
                  <c:v>2.5</c:v>
                </c:pt>
                <c:pt idx="10" formatCode="General">
                  <c:v>2.5</c:v>
                </c:pt>
                <c:pt idx="11" formatCode="General">
                  <c:v>2.5</c:v>
                </c:pt>
                <c:pt idx="12" formatCode="General">
                  <c:v>2.5</c:v>
                </c:pt>
                <c:pt idx="14">
                  <c:v>0.8</c:v>
                </c:pt>
                <c:pt idx="15">
                  <c:v>7.4999999999999803E-2</c:v>
                </c:pt>
                <c:pt idx="18">
                  <c:v>20</c:v>
                </c:pt>
                <c:pt idx="19">
                  <c:v>0</c:v>
                </c:pt>
              </c:numCache>
            </c:numRef>
          </c:val>
        </c:ser>
        <c:gapWidth val="219"/>
        <c:overlap val="-27"/>
        <c:axId val="122200832"/>
        <c:axId val="122202368"/>
      </c:barChart>
      <c:catAx>
        <c:axId val="1222008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22202368"/>
        <c:crosses val="autoZero"/>
        <c:auto val="1"/>
        <c:lblAlgn val="ctr"/>
        <c:lblOffset val="100"/>
      </c:catAx>
      <c:valAx>
        <c:axId val="12220236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2220083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Primary lithium Batteries (2013 estimates)</a:t>
            </a:r>
          </a:p>
          <a:p>
            <a:pPr>
              <a:defRPr sz="1400" b="0" i="0" u="none" strike="noStrike" kern="1200" spc="0" baseline="0">
                <a:solidFill>
                  <a:schemeClr val="tx1">
                    <a:lumMod val="65000"/>
                    <a:lumOff val="35000"/>
                  </a:schemeClr>
                </a:solidFill>
                <a:latin typeface="+mn-lt"/>
                <a:ea typeface="+mn-ea"/>
                <a:cs typeface="+mn-cs"/>
              </a:defRPr>
            </a:pPr>
            <a:r>
              <a:rPr lang="en-GB"/>
              <a:t>Europe in Tonnes / y. </a:t>
            </a:r>
          </a:p>
        </c:rich>
      </c:tx>
      <c:spPr>
        <a:noFill/>
        <a:ln>
          <a:noFill/>
        </a:ln>
        <a:effectLst/>
      </c:spPr>
    </c:title>
    <c:plotArea>
      <c:layout/>
      <c:barChart>
        <c:barDir val="col"/>
        <c:grouping val="clustered"/>
        <c:ser>
          <c:idx val="0"/>
          <c:order val="0"/>
          <c:spPr>
            <a:solidFill>
              <a:schemeClr val="accent1"/>
            </a:solidFill>
            <a:ln>
              <a:noFill/>
            </a:ln>
            <a:effectLst/>
          </c:spPr>
          <c:cat>
            <c:strRef>
              <c:f>Feuil1!$B$39:$B$43</c:f>
              <c:strCache>
                <c:ptCount val="5"/>
                <c:pt idx="0">
                  <c:v>Li-SO2</c:v>
                </c:pt>
                <c:pt idx="1">
                  <c:v>Li-SOCL2</c:v>
                </c:pt>
                <c:pt idx="2">
                  <c:v>Li-MnO2</c:v>
                </c:pt>
                <c:pt idx="3">
                  <c:v>LiCFx</c:v>
                </c:pt>
                <c:pt idx="4">
                  <c:v>Others</c:v>
                </c:pt>
              </c:strCache>
            </c:strRef>
          </c:cat>
          <c:val>
            <c:numRef>
              <c:f>Feuil1!$C$39:$C$43</c:f>
              <c:numCache>
                <c:formatCode>0.0</c:formatCode>
                <c:ptCount val="5"/>
                <c:pt idx="0">
                  <c:v>195.59650000000002</c:v>
                </c:pt>
                <c:pt idx="1">
                  <c:v>752</c:v>
                </c:pt>
                <c:pt idx="2">
                  <c:v>1343.595</c:v>
                </c:pt>
                <c:pt idx="3">
                  <c:v>83.212800000000001</c:v>
                </c:pt>
                <c:pt idx="4">
                  <c:v>125.03590000000001</c:v>
                </c:pt>
              </c:numCache>
            </c:numRef>
          </c:val>
        </c:ser>
        <c:gapWidth val="219"/>
        <c:overlap val="-27"/>
        <c:axId val="122209792"/>
        <c:axId val="122211328"/>
      </c:barChart>
      <c:catAx>
        <c:axId val="1222097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22211328"/>
        <c:crosses val="autoZero"/>
        <c:auto val="1"/>
        <c:lblAlgn val="ctr"/>
        <c:lblOffset val="100"/>
      </c:catAx>
      <c:valAx>
        <c:axId val="122211328"/>
        <c:scaling>
          <c:orientation val="minMax"/>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2220979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Primary Lithium Batteries  (2013 estimates) -</a:t>
            </a:r>
          </a:p>
          <a:p>
            <a:pPr>
              <a:defRPr sz="1400" b="0" i="0" u="none" strike="noStrike" kern="1200" spc="0" baseline="0">
                <a:solidFill>
                  <a:schemeClr val="tx1">
                    <a:lumMod val="65000"/>
                    <a:lumOff val="35000"/>
                  </a:schemeClr>
                </a:solidFill>
                <a:latin typeface="+mn-lt"/>
                <a:ea typeface="+mn-ea"/>
                <a:cs typeface="+mn-cs"/>
              </a:defRPr>
            </a:pPr>
            <a:r>
              <a:rPr lang="en-GB"/>
              <a:t>Europe</a:t>
            </a:r>
            <a:r>
              <a:rPr lang="en-GB" baseline="0"/>
              <a:t> (Number of units/ y. in million)</a:t>
            </a:r>
            <a:r>
              <a:rPr lang="en-GB"/>
              <a:t>  </a:t>
            </a:r>
          </a:p>
        </c:rich>
      </c:tx>
      <c:spPr>
        <a:noFill/>
        <a:ln>
          <a:noFill/>
        </a:ln>
        <a:effectLst/>
      </c:spPr>
    </c:title>
    <c:plotArea>
      <c:layout/>
      <c:barChart>
        <c:barDir val="col"/>
        <c:grouping val="clustered"/>
        <c:ser>
          <c:idx val="0"/>
          <c:order val="0"/>
          <c:spPr>
            <a:solidFill>
              <a:schemeClr val="accent1"/>
            </a:solidFill>
            <a:ln>
              <a:noFill/>
            </a:ln>
            <a:effectLst/>
          </c:spPr>
          <c:cat>
            <c:strRef>
              <c:f>Feuil1!$B$62:$B$66</c:f>
              <c:strCache>
                <c:ptCount val="5"/>
                <c:pt idx="0">
                  <c:v>Li-SO2</c:v>
                </c:pt>
                <c:pt idx="1">
                  <c:v>Li-SOCL2</c:v>
                </c:pt>
                <c:pt idx="2">
                  <c:v>Li-MnO2</c:v>
                </c:pt>
                <c:pt idx="3">
                  <c:v>LiCFx</c:v>
                </c:pt>
                <c:pt idx="4">
                  <c:v>Others</c:v>
                </c:pt>
              </c:strCache>
            </c:strRef>
          </c:cat>
          <c:val>
            <c:numRef>
              <c:f>Feuil1!$C$62:$C$66</c:f>
              <c:numCache>
                <c:formatCode>0.0</c:formatCode>
                <c:ptCount val="5"/>
                <c:pt idx="0">
                  <c:v>3.2791000000000001</c:v>
                </c:pt>
                <c:pt idx="1">
                  <c:v>27.824000000000005</c:v>
                </c:pt>
                <c:pt idx="2">
                  <c:v>603.26199999999949</c:v>
                </c:pt>
                <c:pt idx="3">
                  <c:v>11.82</c:v>
                </c:pt>
                <c:pt idx="4">
                  <c:v>14.184000000000001</c:v>
                </c:pt>
              </c:numCache>
            </c:numRef>
          </c:val>
        </c:ser>
        <c:gapWidth val="219"/>
        <c:overlap val="-27"/>
        <c:axId val="123853056"/>
        <c:axId val="123908096"/>
      </c:barChart>
      <c:catAx>
        <c:axId val="1238530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23908096"/>
        <c:crosses val="autoZero"/>
        <c:auto val="1"/>
        <c:lblAlgn val="ctr"/>
        <c:lblOffset val="100"/>
      </c:catAx>
      <c:valAx>
        <c:axId val="123908096"/>
        <c:scaling>
          <c:orientation val="minMax"/>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2385305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27157-5BDD-482D-BE98-2A37C645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2051</Words>
  <Characters>11286</Characters>
  <Application>Microsoft Office Word</Application>
  <DocSecurity>0</DocSecurity>
  <Lines>94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jpwiaux</dc:creator>
  <cp:lastModifiedBy>Maison</cp:lastModifiedBy>
  <cp:revision>2</cp:revision>
  <cp:lastPrinted>2015-08-20T09:49:00Z</cp:lastPrinted>
  <dcterms:created xsi:type="dcterms:W3CDTF">2015-09-01T14:31:00Z</dcterms:created>
  <dcterms:modified xsi:type="dcterms:W3CDTF">2015-09-01T14:31:00Z</dcterms:modified>
</cp:coreProperties>
</file>