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B8D" w:rsidRPr="00FA7113" w:rsidRDefault="00F77B8D" w:rsidP="00F77B8D">
      <w:pPr>
        <w:spacing w:line="60" w:lineRule="exact"/>
        <w:rPr>
          <w:color w:val="010000"/>
          <w:sz w:val="6"/>
        </w:rPr>
        <w:sectPr w:rsidR="00F77B8D" w:rsidRPr="00FA7113" w:rsidSect="00F77B8D">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pgMar w:top="1742" w:right="936" w:bottom="1898" w:left="936" w:header="576" w:footer="1030" w:gutter="0"/>
          <w:pgNumType w:start="1"/>
          <w:cols w:space="720"/>
          <w:noEndnote/>
          <w:titlePg/>
          <w:docGrid w:linePitch="360"/>
        </w:sectPr>
      </w:pPr>
    </w:p>
    <w:p w:rsidR="00FA7113" w:rsidRPr="00FA7113" w:rsidRDefault="00FA7113" w:rsidP="00FA7113">
      <w:pPr>
        <w:pStyle w:val="SingleTxt"/>
        <w:ind w:left="0"/>
        <w:jc w:val="left"/>
        <w:rPr>
          <w:b/>
          <w:sz w:val="28"/>
          <w:szCs w:val="28"/>
          <w:lang w:bidi="ru-RU"/>
        </w:rPr>
      </w:pPr>
      <w:r w:rsidRPr="00FA7113">
        <w:rPr>
          <w:b/>
          <w:sz w:val="28"/>
          <w:szCs w:val="28"/>
          <w:lang w:bidi="ru-RU"/>
        </w:rPr>
        <w:lastRenderedPageBreak/>
        <w:t>Европейская экономическая комиссия</w:t>
      </w:r>
    </w:p>
    <w:p w:rsidR="00FA7113" w:rsidRPr="00FA7113" w:rsidRDefault="00FA7113" w:rsidP="00FA7113">
      <w:pPr>
        <w:pStyle w:val="SingleTxt"/>
        <w:ind w:left="0"/>
        <w:jc w:val="left"/>
        <w:rPr>
          <w:sz w:val="28"/>
          <w:szCs w:val="28"/>
          <w:lang w:bidi="ru-RU"/>
        </w:rPr>
      </w:pPr>
      <w:r w:rsidRPr="00FA7113">
        <w:rPr>
          <w:sz w:val="28"/>
          <w:szCs w:val="28"/>
          <w:lang w:bidi="ru-RU"/>
        </w:rPr>
        <w:t>Комитет по внутреннему транспорту</w:t>
      </w:r>
    </w:p>
    <w:p w:rsidR="00FA7113" w:rsidRPr="00FA7113" w:rsidRDefault="00FA7113" w:rsidP="00FA7113">
      <w:pPr>
        <w:pStyle w:val="SingleTxt"/>
        <w:ind w:left="0"/>
        <w:jc w:val="left"/>
        <w:rPr>
          <w:b/>
          <w:sz w:val="24"/>
          <w:szCs w:val="24"/>
          <w:lang w:bidi="ru-RU"/>
        </w:rPr>
      </w:pPr>
      <w:r w:rsidRPr="00FA7113">
        <w:rPr>
          <w:b/>
          <w:sz w:val="24"/>
          <w:szCs w:val="24"/>
          <w:lang w:bidi="ru-RU"/>
        </w:rPr>
        <w:t>Рабочая группа по перевозкам опасных грузов</w:t>
      </w:r>
    </w:p>
    <w:p w:rsidR="00FA7113" w:rsidRPr="00FA7113" w:rsidRDefault="00FA7113" w:rsidP="00FA7113">
      <w:pPr>
        <w:pStyle w:val="SingleTxt"/>
        <w:ind w:left="0"/>
        <w:jc w:val="left"/>
        <w:rPr>
          <w:b/>
          <w:lang w:bidi="ru-RU"/>
        </w:rPr>
      </w:pPr>
      <w:r w:rsidRPr="00FA7113">
        <w:rPr>
          <w:b/>
          <w:lang w:bidi="ru-RU"/>
        </w:rPr>
        <w:t xml:space="preserve">Совместное совещание Комиссии экспертов МПОГ </w:t>
      </w:r>
      <w:r>
        <w:rPr>
          <w:b/>
          <w:lang w:bidi="ru-RU"/>
        </w:rPr>
        <w:t>и</w:t>
      </w:r>
      <w:r w:rsidRPr="00FA7113">
        <w:rPr>
          <w:b/>
          <w:lang w:bidi="ru-RU"/>
        </w:rPr>
        <w:br/>
        <w:t>Рабочая группа по перевозкам опасных грузов</w:t>
      </w:r>
      <w:r>
        <w:rPr>
          <w:b/>
          <w:lang w:bidi="ru-RU"/>
        </w:rPr>
        <w:br/>
      </w:r>
      <w:r w:rsidRPr="00FA7113">
        <w:rPr>
          <w:lang w:bidi="ru-RU"/>
        </w:rPr>
        <w:t>Женева, 15</w:t>
      </w:r>
      <w:r>
        <w:rPr>
          <w:lang w:bidi="ru-RU"/>
        </w:rPr>
        <w:t>–</w:t>
      </w:r>
      <w:r w:rsidRPr="00FA7113">
        <w:rPr>
          <w:lang w:bidi="ru-RU"/>
        </w:rPr>
        <w:t>25 сентября 2015 года</w:t>
      </w:r>
      <w:r>
        <w:rPr>
          <w:lang w:bidi="ru-RU"/>
        </w:rPr>
        <w:br/>
      </w:r>
      <w:r w:rsidRPr="00FA7113">
        <w:rPr>
          <w:lang w:bidi="ru-RU"/>
        </w:rPr>
        <w:t>Пункт 3 а) предварительной повестки дня</w:t>
      </w:r>
      <w:r>
        <w:rPr>
          <w:lang w:bidi="ru-RU"/>
        </w:rPr>
        <w:br/>
      </w:r>
      <w:r w:rsidRPr="00FA7113">
        <w:rPr>
          <w:b/>
          <w:lang w:bidi="ru-RU"/>
        </w:rPr>
        <w:t xml:space="preserve">Предложения о внесении поправок </w:t>
      </w:r>
      <w:r>
        <w:rPr>
          <w:b/>
          <w:lang w:bidi="ru-RU"/>
        </w:rPr>
        <w:br/>
      </w:r>
      <w:r w:rsidRPr="00FA7113">
        <w:rPr>
          <w:b/>
          <w:lang w:bidi="ru-RU"/>
        </w:rPr>
        <w:t>в МПОГ/ДОПОГ/ВОПОГ:</w:t>
      </w:r>
      <w:r>
        <w:rPr>
          <w:b/>
          <w:lang w:bidi="ru-RU"/>
        </w:rPr>
        <w:br/>
      </w:r>
      <w:r w:rsidRPr="00FA7113">
        <w:rPr>
          <w:b/>
          <w:lang w:bidi="ru-RU"/>
        </w:rPr>
        <w:t>Нерассмотренные вопросы</w:t>
      </w:r>
    </w:p>
    <w:p w:rsidR="00FA7113" w:rsidRPr="00FA7113" w:rsidRDefault="00FA7113" w:rsidP="00FA7113">
      <w:pPr>
        <w:pStyle w:val="SingleTxt"/>
        <w:spacing w:after="0" w:line="120" w:lineRule="exact"/>
        <w:rPr>
          <w:b/>
          <w:sz w:val="10"/>
        </w:rPr>
      </w:pPr>
    </w:p>
    <w:p w:rsidR="00FA7113" w:rsidRPr="00FA7113" w:rsidRDefault="00FA7113" w:rsidP="00FA7113">
      <w:pPr>
        <w:pStyle w:val="SingleTxt"/>
        <w:spacing w:after="0" w:line="120" w:lineRule="exact"/>
        <w:rPr>
          <w:b/>
          <w:sz w:val="10"/>
        </w:rPr>
      </w:pPr>
    </w:p>
    <w:p w:rsidR="00FA7113" w:rsidRPr="00FA7113" w:rsidRDefault="00FA7113" w:rsidP="00FA7113">
      <w:pPr>
        <w:pStyle w:val="SingleTxt"/>
        <w:spacing w:after="0" w:line="120" w:lineRule="exact"/>
        <w:rPr>
          <w:b/>
          <w:sz w:val="10"/>
        </w:rPr>
      </w:pPr>
    </w:p>
    <w:p w:rsidR="00FA7113" w:rsidRPr="00FA7113" w:rsidRDefault="00FA7113" w:rsidP="00FA711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A7113">
        <w:tab/>
      </w:r>
      <w:r w:rsidRPr="00FA7113">
        <w:tab/>
        <w:t>Периодические проверки и испытания некоторых переносных стальных баллонов многоразового использования для СНГ</w:t>
      </w:r>
    </w:p>
    <w:p w:rsidR="00FA7113" w:rsidRPr="00FA7113" w:rsidRDefault="00FA7113" w:rsidP="00FA7113">
      <w:pPr>
        <w:pStyle w:val="SingleTxt"/>
        <w:spacing w:after="0" w:line="120" w:lineRule="exact"/>
        <w:rPr>
          <w:sz w:val="10"/>
          <w:lang w:bidi="ru-RU"/>
        </w:rPr>
      </w:pPr>
    </w:p>
    <w:p w:rsidR="00FA7113" w:rsidRPr="00FA7113" w:rsidRDefault="00FA7113" w:rsidP="00FA7113">
      <w:pPr>
        <w:pStyle w:val="SingleTxt"/>
        <w:spacing w:after="0" w:line="120" w:lineRule="exact"/>
        <w:rPr>
          <w:sz w:val="10"/>
          <w:lang w:bidi="ru-RU"/>
        </w:rPr>
      </w:pPr>
    </w:p>
    <w:p w:rsidR="00F77B8D" w:rsidRDefault="00FA7113" w:rsidP="00FA7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FA7113">
        <w:rPr>
          <w:lang w:bidi="ru-RU"/>
        </w:rPr>
        <w:tab/>
      </w:r>
      <w:r w:rsidRPr="00FA7113">
        <w:rPr>
          <w:lang w:bidi="ru-RU"/>
        </w:rPr>
        <w:tab/>
        <w:t>Передано Европейской ассоциацией по сжиженным нефтяным газам (ЕАСНГ) от имени неофициальной рабочей группы по</w:t>
      </w:r>
      <w:r w:rsidR="00B078FC">
        <w:rPr>
          <w:lang w:bidi="ru-RU"/>
        </w:rPr>
        <w:t> </w:t>
      </w:r>
      <w:r w:rsidRPr="00FA7113">
        <w:rPr>
          <w:lang w:bidi="ru-RU"/>
        </w:rPr>
        <w:t>альтернативным методам проведения периодической проверки</w:t>
      </w:r>
      <w:r w:rsidR="00B078FC" w:rsidRPr="00B078FC">
        <w:rPr>
          <w:rStyle w:val="Appelnotedebasdep"/>
          <w:sz w:val="20"/>
          <w:szCs w:val="20"/>
          <w:lang w:bidi="ru-RU"/>
        </w:rPr>
        <w:footnoteReference w:id="2"/>
      </w:r>
      <w:r w:rsidR="00B078FC" w:rsidRPr="003A04F4">
        <w:rPr>
          <w:color w:val="C0504D" w:themeColor="accent2"/>
          <w:sz w:val="20"/>
          <w:szCs w:val="20"/>
          <w:vertAlign w:val="superscript"/>
          <w:lang w:bidi="ru-RU"/>
        </w:rPr>
        <w:t>,</w:t>
      </w:r>
      <w:r w:rsidR="00B078FC">
        <w:rPr>
          <w:color w:val="C0504D" w:themeColor="accent2"/>
          <w:vertAlign w:val="superscript"/>
          <w:lang w:bidi="ru-RU"/>
        </w:rPr>
        <w:t xml:space="preserve"> </w:t>
      </w:r>
      <w:r w:rsidR="00B078FC" w:rsidRPr="00B078FC">
        <w:rPr>
          <w:rStyle w:val="Appelnotedebasdep"/>
          <w:sz w:val="20"/>
          <w:szCs w:val="20"/>
          <w:lang w:bidi="ru-RU"/>
        </w:rPr>
        <w:footnoteReference w:id="3"/>
      </w:r>
    </w:p>
    <w:p w:rsidR="00FA7113" w:rsidRDefault="00FA7113" w:rsidP="00FA7113">
      <w:pPr>
        <w:pStyle w:val="SingleTxt"/>
        <w:rPr>
          <w:lang w:bidi="ru-RU"/>
        </w:rPr>
      </w:pPr>
    </w:p>
    <w:tbl>
      <w:tblPr>
        <w:tblW w:w="10051" w:type="dxa"/>
        <w:tblBorders>
          <w:left w:val="single" w:sz="2" w:space="0" w:color="auto"/>
          <w:right w:val="single" w:sz="2" w:space="0" w:color="auto"/>
        </w:tblBorders>
        <w:tblLayout w:type="fixed"/>
        <w:tblCellMar>
          <w:left w:w="0" w:type="dxa"/>
          <w:right w:w="0" w:type="dxa"/>
        </w:tblCellMar>
        <w:tblLook w:val="0000"/>
      </w:tblPr>
      <w:tblGrid>
        <w:gridCol w:w="10051"/>
      </w:tblGrid>
      <w:tr w:rsidR="00FA7113" w:rsidTr="00FA7113">
        <w:tc>
          <w:tcPr>
            <w:tcW w:w="10051" w:type="dxa"/>
            <w:tcBorders>
              <w:top w:val="single" w:sz="2" w:space="0" w:color="auto"/>
            </w:tcBorders>
            <w:shd w:val="clear" w:color="auto" w:fill="auto"/>
          </w:tcPr>
          <w:p w:rsidR="00FA7113" w:rsidRPr="00FA7113" w:rsidRDefault="00FA7113" w:rsidP="00FA7113">
            <w:pPr>
              <w:tabs>
                <w:tab w:val="left" w:pos="240"/>
              </w:tabs>
              <w:spacing w:before="240" w:after="120"/>
              <w:rPr>
                <w:i/>
                <w:sz w:val="24"/>
                <w:lang w:bidi="ru-RU"/>
              </w:rPr>
            </w:pPr>
            <w:r>
              <w:rPr>
                <w:i/>
                <w:sz w:val="24"/>
                <w:lang w:bidi="ru-RU"/>
              </w:rPr>
              <w:tab/>
              <w:t>Резюме</w:t>
            </w:r>
          </w:p>
        </w:tc>
      </w:tr>
      <w:tr w:rsidR="00FA7113" w:rsidTr="00FA7113">
        <w:tc>
          <w:tcPr>
            <w:tcW w:w="10051" w:type="dxa"/>
            <w:shd w:val="clear" w:color="auto" w:fill="auto"/>
          </w:tcPr>
          <w:p w:rsidR="00FA7113" w:rsidRPr="00FA7113" w:rsidRDefault="00B078FC" w:rsidP="00FF04B5">
            <w:pPr>
              <w:pStyle w:val="SingleTxt"/>
              <w:tabs>
                <w:tab w:val="clear" w:pos="3658"/>
              </w:tabs>
              <w:ind w:left="3783" w:hanging="2516"/>
              <w:rPr>
                <w:lang w:bidi="ru-RU"/>
              </w:rPr>
            </w:pPr>
            <w:r w:rsidRPr="00FF04B5">
              <w:rPr>
                <w:b/>
                <w:lang w:bidi="ru-RU"/>
              </w:rPr>
              <w:t>Существо предложения:</w:t>
            </w:r>
            <w:r w:rsidRPr="00B078FC">
              <w:rPr>
                <w:lang w:bidi="ru-RU"/>
              </w:rPr>
              <w:tab/>
              <w:t>Настоящий документ является результатом деятельности рабочей группы по альтернативным методам проведения периодической проверки. В нем содержится просьба внести в МПОГ/ДОПОГ:</w:t>
            </w:r>
          </w:p>
        </w:tc>
      </w:tr>
      <w:tr w:rsidR="00B078FC" w:rsidTr="00FA7113">
        <w:tc>
          <w:tcPr>
            <w:tcW w:w="10051" w:type="dxa"/>
            <w:shd w:val="clear" w:color="auto" w:fill="auto"/>
          </w:tcPr>
          <w:p w:rsidR="00B078FC" w:rsidRDefault="00FF04B5" w:rsidP="00E72DEB">
            <w:pPr>
              <w:pStyle w:val="SingleTxt"/>
              <w:tabs>
                <w:tab w:val="clear" w:pos="3658"/>
              </w:tabs>
              <w:ind w:left="4133" w:hanging="350"/>
              <w:rPr>
                <w:lang w:bidi="ru-RU"/>
              </w:rPr>
            </w:pPr>
            <w:r>
              <w:rPr>
                <w:lang w:bidi="ru-RU"/>
              </w:rPr>
              <w:t>–</w:t>
            </w:r>
            <w:r w:rsidR="00B078FC" w:rsidRPr="00B078FC">
              <w:rPr>
                <w:lang w:bidi="ru-RU"/>
              </w:rPr>
              <w:t xml:space="preserve"> </w:t>
            </w:r>
            <w:r>
              <w:rPr>
                <w:lang w:bidi="ru-RU"/>
              </w:rPr>
              <w:tab/>
            </w:r>
            <w:r w:rsidR="00B078FC" w:rsidRPr="00B078FC">
              <w:rPr>
                <w:lang w:bidi="ru-RU"/>
              </w:rPr>
              <w:t>Общее положение с изложением требований, касающихся разработки и предложения альтернативного метода проведения периодической проверки сосудов под давлением.</w:t>
            </w:r>
          </w:p>
        </w:tc>
      </w:tr>
      <w:tr w:rsidR="00FA7113" w:rsidTr="00FA7113">
        <w:tc>
          <w:tcPr>
            <w:tcW w:w="10051" w:type="dxa"/>
            <w:shd w:val="clear" w:color="auto" w:fill="auto"/>
          </w:tcPr>
          <w:p w:rsidR="00FA7113" w:rsidRPr="00FA7113" w:rsidRDefault="00FF04B5" w:rsidP="00E72DEB">
            <w:pPr>
              <w:pStyle w:val="SingleTxt"/>
              <w:pageBreakBefore/>
              <w:tabs>
                <w:tab w:val="clear" w:pos="3658"/>
              </w:tabs>
              <w:ind w:left="4133" w:hanging="346"/>
              <w:rPr>
                <w:lang w:bidi="ru-RU"/>
              </w:rPr>
            </w:pPr>
            <w:r>
              <w:rPr>
                <w:lang w:bidi="ru-RU"/>
              </w:rPr>
              <w:lastRenderedPageBreak/>
              <w:t>–</w:t>
            </w:r>
            <w:r w:rsidRPr="00FF04B5">
              <w:rPr>
                <w:lang w:bidi="ru-RU"/>
              </w:rPr>
              <w:t xml:space="preserve"> </w:t>
            </w:r>
            <w:r>
              <w:rPr>
                <w:lang w:bidi="ru-RU"/>
              </w:rPr>
              <w:tab/>
            </w:r>
            <w:r w:rsidRPr="00FF04B5">
              <w:rPr>
                <w:lang w:bidi="ru-RU"/>
              </w:rPr>
              <w:t>Возможность использования особой процедуры периодической проверки и испытания баллонов с формованным защитным кожухом для сжиженного нефтяного газа (СНГ).</w:t>
            </w:r>
          </w:p>
        </w:tc>
      </w:tr>
      <w:tr w:rsidR="00FA7113" w:rsidTr="00FA7113">
        <w:tc>
          <w:tcPr>
            <w:tcW w:w="10051" w:type="dxa"/>
            <w:tcBorders>
              <w:bottom w:val="nil"/>
            </w:tcBorders>
            <w:shd w:val="clear" w:color="auto" w:fill="auto"/>
          </w:tcPr>
          <w:p w:rsidR="00FA7113" w:rsidRPr="00FA7113" w:rsidRDefault="00FF04B5" w:rsidP="00E72DEB">
            <w:pPr>
              <w:pStyle w:val="SingleTxt"/>
              <w:tabs>
                <w:tab w:val="clear" w:pos="3658"/>
              </w:tabs>
              <w:ind w:left="3783" w:hanging="2516"/>
              <w:rPr>
                <w:lang w:bidi="ru-RU"/>
              </w:rPr>
            </w:pPr>
            <w:r w:rsidRPr="00FF04B5">
              <w:rPr>
                <w:b/>
                <w:lang w:bidi="ru-RU"/>
              </w:rPr>
              <w:t>Предлагаемое решение:</w:t>
            </w:r>
            <w:r w:rsidRPr="00FF04B5">
              <w:rPr>
                <w:lang w:bidi="ru-RU"/>
              </w:rPr>
              <w:tab/>
              <w:t>Включить новый подраздел 6.2.3.5.3.</w:t>
            </w:r>
          </w:p>
        </w:tc>
      </w:tr>
      <w:tr w:rsidR="00B078FC" w:rsidTr="00FA7113">
        <w:tc>
          <w:tcPr>
            <w:tcW w:w="10051" w:type="dxa"/>
            <w:tcBorders>
              <w:bottom w:val="nil"/>
            </w:tcBorders>
            <w:shd w:val="clear" w:color="auto" w:fill="auto"/>
          </w:tcPr>
          <w:p w:rsidR="00B078FC" w:rsidRDefault="00FF04B5" w:rsidP="00E72DEB">
            <w:pPr>
              <w:pStyle w:val="SingleTxt"/>
              <w:tabs>
                <w:tab w:val="clear" w:pos="3658"/>
                <w:tab w:val="left" w:pos="3793"/>
              </w:tabs>
              <w:ind w:left="3793" w:firstLine="7"/>
              <w:rPr>
                <w:lang w:bidi="ru-RU"/>
              </w:rPr>
            </w:pPr>
            <w:r w:rsidRPr="00FF04B5">
              <w:rPr>
                <w:lang w:bidi="ru-RU"/>
              </w:rPr>
              <w:t>Включить определение в раздел 1.2.1, специальное положение в раздел 3.3.1 и подраздел 6.2.3.5.4.</w:t>
            </w:r>
          </w:p>
        </w:tc>
      </w:tr>
      <w:tr w:rsidR="00B078FC" w:rsidTr="00FA7113">
        <w:tc>
          <w:tcPr>
            <w:tcW w:w="10051" w:type="dxa"/>
            <w:tcBorders>
              <w:bottom w:val="nil"/>
            </w:tcBorders>
            <w:shd w:val="clear" w:color="auto" w:fill="auto"/>
          </w:tcPr>
          <w:p w:rsidR="00B078FC" w:rsidRDefault="00FF04B5" w:rsidP="00E72DEB">
            <w:pPr>
              <w:pStyle w:val="SingleTxt"/>
              <w:tabs>
                <w:tab w:val="clear" w:pos="3658"/>
                <w:tab w:val="left" w:pos="3793"/>
              </w:tabs>
              <w:ind w:left="3793" w:firstLine="7"/>
              <w:rPr>
                <w:lang w:bidi="ru-RU"/>
              </w:rPr>
            </w:pPr>
            <w:r w:rsidRPr="00FF04B5">
              <w:rPr>
                <w:lang w:bidi="ru-RU"/>
              </w:rPr>
              <w:t>Включить ссылку на стандарт EN16728 в таблицу в подразделе 6.2.4.2 и удалить исключение приложения</w:t>
            </w:r>
            <w:r>
              <w:rPr>
                <w:lang w:bidi="ru-RU"/>
              </w:rPr>
              <w:t> </w:t>
            </w:r>
            <w:r w:rsidRPr="00FF04B5">
              <w:rPr>
                <w:lang w:bidi="ru-RU"/>
              </w:rPr>
              <w:t>G из ссылки на стандарт EN 1439:2008 в таблице в пункте 11 инструкции по упаковке Р200.</w:t>
            </w:r>
          </w:p>
        </w:tc>
      </w:tr>
      <w:tr w:rsidR="00B078FC" w:rsidTr="00FA7113">
        <w:tc>
          <w:tcPr>
            <w:tcW w:w="10051" w:type="dxa"/>
            <w:tcBorders>
              <w:bottom w:val="nil"/>
            </w:tcBorders>
            <w:shd w:val="clear" w:color="auto" w:fill="auto"/>
          </w:tcPr>
          <w:p w:rsidR="00B078FC" w:rsidRDefault="00FF04B5" w:rsidP="00E72DEB">
            <w:pPr>
              <w:pStyle w:val="SingleTxt"/>
              <w:tabs>
                <w:tab w:val="clear" w:pos="3658"/>
              </w:tabs>
              <w:ind w:left="3783" w:hanging="2516"/>
              <w:rPr>
                <w:lang w:bidi="ru-RU"/>
              </w:rPr>
            </w:pPr>
            <w:r w:rsidRPr="00FF04B5">
              <w:rPr>
                <w:b/>
                <w:lang w:bidi="ru-RU"/>
              </w:rPr>
              <w:t>Справочные документы:</w:t>
            </w:r>
            <w:r w:rsidRPr="00FF04B5">
              <w:rPr>
                <w:lang w:bidi="ru-RU"/>
              </w:rPr>
              <w:tab/>
              <w:t>ECE/TRANS/WP.15/AC.1/138 и неофициальный документ INF.23, представленные на весенней сессии 2015</w:t>
            </w:r>
            <w:r w:rsidR="00E72DEB">
              <w:rPr>
                <w:lang w:bidi="ru-RU"/>
              </w:rPr>
              <w:t> </w:t>
            </w:r>
            <w:r w:rsidRPr="00FF04B5">
              <w:rPr>
                <w:lang w:bidi="ru-RU"/>
              </w:rPr>
              <w:t>года;</w:t>
            </w:r>
          </w:p>
        </w:tc>
      </w:tr>
      <w:tr w:rsidR="00E72DEB" w:rsidTr="00FA7113">
        <w:tc>
          <w:tcPr>
            <w:tcW w:w="10051" w:type="dxa"/>
            <w:tcBorders>
              <w:bottom w:val="nil"/>
            </w:tcBorders>
            <w:shd w:val="clear" w:color="auto" w:fill="auto"/>
          </w:tcPr>
          <w:p w:rsidR="00E72DEB" w:rsidRPr="000C1F33" w:rsidRDefault="00E72DEB" w:rsidP="00E72DEB">
            <w:pPr>
              <w:pStyle w:val="SingleTxt"/>
              <w:tabs>
                <w:tab w:val="clear" w:pos="3658"/>
              </w:tabs>
              <w:ind w:left="6316" w:hanging="2516"/>
              <w:rPr>
                <w:lang w:bidi="ru-RU"/>
              </w:rPr>
            </w:pPr>
            <w:r w:rsidRPr="000C1F33">
              <w:rPr>
                <w:lang w:bidi="ru-RU"/>
              </w:rPr>
              <w:t>ECE/TRANS/WP.15/AC.1/2014/48;</w:t>
            </w:r>
          </w:p>
        </w:tc>
      </w:tr>
      <w:tr w:rsidR="00E72DEB" w:rsidTr="00FA7113">
        <w:tc>
          <w:tcPr>
            <w:tcW w:w="10051" w:type="dxa"/>
            <w:tcBorders>
              <w:bottom w:val="nil"/>
            </w:tcBorders>
            <w:shd w:val="clear" w:color="auto" w:fill="auto"/>
          </w:tcPr>
          <w:p w:rsidR="00E72DEB" w:rsidRPr="00E72DEB" w:rsidRDefault="00E72DEB" w:rsidP="00E72DEB">
            <w:pPr>
              <w:pStyle w:val="SingleTxt"/>
              <w:tabs>
                <w:tab w:val="clear" w:pos="3658"/>
                <w:tab w:val="left" w:pos="3823"/>
              </w:tabs>
              <w:ind w:left="3823" w:hanging="23"/>
              <w:rPr>
                <w:lang w:bidi="ru-RU"/>
              </w:rPr>
            </w:pPr>
            <w:r w:rsidRPr="00E72DEB">
              <w:rPr>
                <w:lang w:bidi="ru-RU"/>
              </w:rPr>
              <w:t xml:space="preserve">неофициальные документы </w:t>
            </w:r>
            <w:r w:rsidRPr="000C1F33">
              <w:rPr>
                <w:lang w:bidi="ru-RU"/>
              </w:rPr>
              <w:t>INF</w:t>
            </w:r>
            <w:r w:rsidRPr="00E72DEB">
              <w:rPr>
                <w:lang w:bidi="ru-RU"/>
              </w:rPr>
              <w:t xml:space="preserve">.5 и </w:t>
            </w:r>
            <w:r w:rsidRPr="000C1F33">
              <w:rPr>
                <w:lang w:bidi="ru-RU"/>
              </w:rPr>
              <w:t>INF</w:t>
            </w:r>
            <w:r w:rsidRPr="00E72DEB">
              <w:rPr>
                <w:lang w:bidi="ru-RU"/>
              </w:rPr>
              <w:t>.52, представленные на осенней сессии 2014 года;</w:t>
            </w:r>
          </w:p>
        </w:tc>
      </w:tr>
      <w:tr w:rsidR="00E72DEB" w:rsidTr="00FA7113">
        <w:tc>
          <w:tcPr>
            <w:tcW w:w="10051" w:type="dxa"/>
            <w:tcBorders>
              <w:bottom w:val="nil"/>
            </w:tcBorders>
            <w:shd w:val="clear" w:color="auto" w:fill="auto"/>
          </w:tcPr>
          <w:p w:rsidR="00E72DEB" w:rsidRPr="00E72DEB" w:rsidRDefault="00E72DEB" w:rsidP="00E72DEB">
            <w:pPr>
              <w:pStyle w:val="SingleTxt"/>
              <w:tabs>
                <w:tab w:val="clear" w:pos="3658"/>
                <w:tab w:val="left" w:pos="3823"/>
              </w:tabs>
              <w:ind w:left="3823" w:hanging="23"/>
              <w:rPr>
                <w:lang w:bidi="ru-RU"/>
              </w:rPr>
            </w:pPr>
            <w:r w:rsidRPr="000C1F33">
              <w:rPr>
                <w:lang w:bidi="ru-RU"/>
              </w:rPr>
              <w:t>ECE</w:t>
            </w:r>
            <w:r w:rsidRPr="00E72DEB">
              <w:rPr>
                <w:lang w:bidi="ru-RU"/>
              </w:rPr>
              <w:t>/</w:t>
            </w:r>
            <w:r w:rsidRPr="000C1F33">
              <w:rPr>
                <w:lang w:bidi="ru-RU"/>
              </w:rPr>
              <w:t>TRANS</w:t>
            </w:r>
            <w:r w:rsidRPr="00E72DEB">
              <w:rPr>
                <w:lang w:bidi="ru-RU"/>
              </w:rPr>
              <w:t>/</w:t>
            </w:r>
            <w:r w:rsidRPr="000C1F33">
              <w:rPr>
                <w:lang w:bidi="ru-RU"/>
              </w:rPr>
              <w:t>WP</w:t>
            </w:r>
            <w:r w:rsidRPr="00E72DEB">
              <w:rPr>
                <w:lang w:bidi="ru-RU"/>
              </w:rPr>
              <w:t>.15/</w:t>
            </w:r>
            <w:r w:rsidRPr="000C1F33">
              <w:rPr>
                <w:lang w:bidi="ru-RU"/>
              </w:rPr>
              <w:t>AC</w:t>
            </w:r>
            <w:r w:rsidRPr="00E72DEB">
              <w:rPr>
                <w:lang w:bidi="ru-RU"/>
              </w:rPr>
              <w:t xml:space="preserve">.1/2014/31 и неофициальный документ </w:t>
            </w:r>
            <w:r w:rsidRPr="000C1F33">
              <w:rPr>
                <w:lang w:bidi="ru-RU"/>
              </w:rPr>
              <w:t>INF</w:t>
            </w:r>
            <w:r w:rsidRPr="00E72DEB">
              <w:rPr>
                <w:lang w:bidi="ru-RU"/>
              </w:rPr>
              <w:t>.4, представленные на весенней сессии 2014 года;</w:t>
            </w:r>
          </w:p>
        </w:tc>
      </w:tr>
      <w:tr w:rsidR="00E72DEB" w:rsidTr="00FA7113">
        <w:tc>
          <w:tcPr>
            <w:tcW w:w="10051" w:type="dxa"/>
            <w:tcBorders>
              <w:bottom w:val="nil"/>
            </w:tcBorders>
            <w:shd w:val="clear" w:color="auto" w:fill="auto"/>
          </w:tcPr>
          <w:p w:rsidR="00E72DEB" w:rsidRPr="00E72DEB" w:rsidRDefault="00E72DEB" w:rsidP="00E72DEB">
            <w:pPr>
              <w:pStyle w:val="SingleTxt"/>
              <w:tabs>
                <w:tab w:val="clear" w:pos="3658"/>
                <w:tab w:val="left" w:pos="3823"/>
              </w:tabs>
              <w:ind w:left="3823" w:hanging="23"/>
              <w:rPr>
                <w:lang w:bidi="ru-RU"/>
              </w:rPr>
            </w:pPr>
            <w:r w:rsidRPr="00E72DEB">
              <w:rPr>
                <w:lang w:bidi="ru-RU"/>
              </w:rPr>
              <w:t>неофициальный документ INF.50, представленный ЕАСНГ, и неофициальный документ INF.45, представленный Германией на осенней сессии 2013 года;</w:t>
            </w:r>
          </w:p>
        </w:tc>
      </w:tr>
      <w:tr w:rsidR="00E72DEB" w:rsidTr="00FA7113">
        <w:tc>
          <w:tcPr>
            <w:tcW w:w="10051" w:type="dxa"/>
            <w:tcBorders>
              <w:bottom w:val="nil"/>
            </w:tcBorders>
            <w:shd w:val="clear" w:color="auto" w:fill="auto"/>
          </w:tcPr>
          <w:p w:rsidR="00E72DEB" w:rsidRPr="00E72DEB" w:rsidRDefault="00E72DEB" w:rsidP="00E72DEB">
            <w:pPr>
              <w:pStyle w:val="SingleTxt"/>
              <w:tabs>
                <w:tab w:val="clear" w:pos="3658"/>
                <w:tab w:val="left" w:pos="3823"/>
              </w:tabs>
              <w:ind w:left="3823" w:hanging="23"/>
              <w:rPr>
                <w:lang w:bidi="ru-RU"/>
              </w:rPr>
            </w:pPr>
            <w:r w:rsidRPr="00E72DEB">
              <w:rPr>
                <w:lang w:bidi="ru-RU"/>
              </w:rPr>
              <w:t>ECE/TRANS/WP.15/AC.1/2013/43 и соответствующий неофициальный документ INF. 6, представленный на осенней сессии 2013 года;</w:t>
            </w:r>
          </w:p>
        </w:tc>
      </w:tr>
      <w:tr w:rsidR="00E72DEB" w:rsidTr="00FA7113">
        <w:tc>
          <w:tcPr>
            <w:tcW w:w="10051" w:type="dxa"/>
            <w:tcBorders>
              <w:bottom w:val="nil"/>
            </w:tcBorders>
            <w:shd w:val="clear" w:color="auto" w:fill="auto"/>
          </w:tcPr>
          <w:p w:rsidR="00E72DEB" w:rsidRPr="00E72DEB" w:rsidRDefault="00E72DEB" w:rsidP="00E72DEB">
            <w:pPr>
              <w:pStyle w:val="SingleTxt"/>
              <w:tabs>
                <w:tab w:val="clear" w:pos="3658"/>
                <w:tab w:val="left" w:pos="3823"/>
              </w:tabs>
              <w:ind w:left="3823" w:hanging="23"/>
              <w:rPr>
                <w:lang w:bidi="ru-RU"/>
              </w:rPr>
            </w:pPr>
            <w:r w:rsidRPr="00E72DEB">
              <w:rPr>
                <w:lang w:bidi="ru-RU"/>
              </w:rPr>
              <w:t xml:space="preserve">неофициальный документ </w:t>
            </w:r>
            <w:r w:rsidRPr="000C1F33">
              <w:rPr>
                <w:lang w:bidi="ru-RU"/>
              </w:rPr>
              <w:t>INF</w:t>
            </w:r>
            <w:r w:rsidRPr="00E72DEB">
              <w:rPr>
                <w:lang w:bidi="ru-RU"/>
              </w:rPr>
              <w:t>.39, представленный на весенней сессии 2013 года;</w:t>
            </w:r>
          </w:p>
        </w:tc>
      </w:tr>
      <w:tr w:rsidR="00E72DEB" w:rsidTr="00FA7113">
        <w:tc>
          <w:tcPr>
            <w:tcW w:w="10051" w:type="dxa"/>
            <w:tcBorders>
              <w:bottom w:val="nil"/>
            </w:tcBorders>
            <w:shd w:val="clear" w:color="auto" w:fill="auto"/>
          </w:tcPr>
          <w:p w:rsidR="00E72DEB" w:rsidRPr="000C1F33" w:rsidRDefault="00E72DEB" w:rsidP="00E72DEB">
            <w:pPr>
              <w:pStyle w:val="SingleTxt"/>
              <w:tabs>
                <w:tab w:val="clear" w:pos="3658"/>
                <w:tab w:val="left" w:pos="3823"/>
              </w:tabs>
              <w:ind w:left="3823" w:hanging="23"/>
              <w:rPr>
                <w:lang w:bidi="ru-RU"/>
              </w:rPr>
            </w:pPr>
            <w:r w:rsidRPr="000C1F33">
              <w:rPr>
                <w:lang w:bidi="ru-RU"/>
              </w:rPr>
              <w:t>ECE/TRANS/WP.15/AC.1/2013/16;</w:t>
            </w:r>
          </w:p>
        </w:tc>
      </w:tr>
      <w:tr w:rsidR="00E72DEB" w:rsidTr="00FA7113">
        <w:tc>
          <w:tcPr>
            <w:tcW w:w="10051" w:type="dxa"/>
            <w:tcBorders>
              <w:bottom w:val="nil"/>
            </w:tcBorders>
            <w:shd w:val="clear" w:color="auto" w:fill="auto"/>
          </w:tcPr>
          <w:p w:rsidR="00E72DEB" w:rsidRPr="000C1F33" w:rsidRDefault="00E72DEB" w:rsidP="00E72DEB">
            <w:pPr>
              <w:pStyle w:val="SingleTxt"/>
              <w:tabs>
                <w:tab w:val="clear" w:pos="3658"/>
                <w:tab w:val="left" w:pos="3823"/>
              </w:tabs>
              <w:ind w:left="3823" w:hanging="23"/>
              <w:rPr>
                <w:lang w:bidi="ru-RU"/>
              </w:rPr>
            </w:pPr>
            <w:r w:rsidRPr="000C1F33">
              <w:rPr>
                <w:lang w:bidi="ru-RU"/>
              </w:rPr>
              <w:t>многостороннее соглашение M247;</w:t>
            </w:r>
          </w:p>
        </w:tc>
      </w:tr>
      <w:tr w:rsidR="00E72DEB" w:rsidTr="00FA7113">
        <w:tc>
          <w:tcPr>
            <w:tcW w:w="10051" w:type="dxa"/>
            <w:tcBorders>
              <w:bottom w:val="nil"/>
            </w:tcBorders>
            <w:shd w:val="clear" w:color="auto" w:fill="auto"/>
          </w:tcPr>
          <w:p w:rsidR="00E72DEB" w:rsidRDefault="00E72DEB" w:rsidP="005D45FA">
            <w:pPr>
              <w:pStyle w:val="SingleTxt"/>
              <w:tabs>
                <w:tab w:val="clear" w:pos="3658"/>
                <w:tab w:val="left" w:pos="3823"/>
              </w:tabs>
              <w:ind w:left="3823" w:hanging="23"/>
              <w:rPr>
                <w:lang w:bidi="ru-RU"/>
              </w:rPr>
            </w:pPr>
            <w:r w:rsidRPr="000C1F33">
              <w:rPr>
                <w:lang w:bidi="ru-RU"/>
              </w:rPr>
              <w:t xml:space="preserve">prEN 16728 </w:t>
            </w:r>
            <w:r w:rsidR="005D45FA">
              <w:rPr>
                <w:lang w:bidi="ru-RU"/>
              </w:rPr>
              <w:t>«</w:t>
            </w:r>
            <w:r w:rsidRPr="000C1F33">
              <w:rPr>
                <w:lang w:bidi="ru-RU"/>
              </w:rPr>
              <w:t>Оборудование и вспомогательные приспособления для СНГ – Переносные баллоны многоразового использования для СНГ, помимо сварных и паяных стальных баллонов: периодическая проверка</w:t>
            </w:r>
            <w:r w:rsidR="005D45FA">
              <w:rPr>
                <w:lang w:bidi="ru-RU"/>
              </w:rPr>
              <w:t>»</w:t>
            </w:r>
            <w:r w:rsidRPr="000C1F33">
              <w:rPr>
                <w:lang w:bidi="ru-RU"/>
              </w:rPr>
              <w:t>;</w:t>
            </w:r>
          </w:p>
        </w:tc>
      </w:tr>
      <w:tr w:rsidR="00E72DEB" w:rsidTr="00FA7113">
        <w:tc>
          <w:tcPr>
            <w:tcW w:w="10051" w:type="dxa"/>
            <w:tcBorders>
              <w:bottom w:val="nil"/>
            </w:tcBorders>
            <w:shd w:val="clear" w:color="auto" w:fill="auto"/>
          </w:tcPr>
          <w:p w:rsidR="00E72DEB" w:rsidRPr="000C1F33" w:rsidRDefault="005D45FA" w:rsidP="005D45FA">
            <w:pPr>
              <w:pStyle w:val="SingleTxt"/>
              <w:tabs>
                <w:tab w:val="clear" w:pos="3658"/>
                <w:tab w:val="left" w:pos="3823"/>
              </w:tabs>
              <w:ind w:left="3823" w:hanging="23"/>
              <w:rPr>
                <w:lang w:bidi="ru-RU"/>
              </w:rPr>
            </w:pPr>
            <w:r>
              <w:rPr>
                <w:lang w:bidi="ru-RU"/>
              </w:rPr>
              <w:t>EN 1440:2008 + A1:2012 «</w:t>
            </w:r>
            <w:r w:rsidRPr="005D45FA">
              <w:rPr>
                <w:lang w:bidi="ru-RU"/>
              </w:rPr>
              <w:t>Оборудование и вспомогательные приспособления для СНГ. Периодическая проверка переносных баллонов многоразового использования для СНГ</w:t>
            </w:r>
            <w:r>
              <w:rPr>
                <w:lang w:bidi="ru-RU"/>
              </w:rPr>
              <w:t>»</w:t>
            </w:r>
            <w:r w:rsidRPr="005D45FA">
              <w:rPr>
                <w:lang w:bidi="ru-RU"/>
              </w:rPr>
              <w:t>.</w:t>
            </w:r>
          </w:p>
        </w:tc>
      </w:tr>
      <w:tr w:rsidR="00FA7113" w:rsidTr="00FA7113">
        <w:tc>
          <w:tcPr>
            <w:tcW w:w="10051" w:type="dxa"/>
            <w:tcBorders>
              <w:bottom w:val="single" w:sz="2" w:space="0" w:color="auto"/>
            </w:tcBorders>
            <w:shd w:val="clear" w:color="auto" w:fill="auto"/>
          </w:tcPr>
          <w:p w:rsidR="00FA7113" w:rsidRPr="00FA7113" w:rsidRDefault="00FA7113" w:rsidP="00FA7113">
            <w:pPr>
              <w:pStyle w:val="SingleTxt"/>
              <w:rPr>
                <w:lang w:bidi="ru-RU"/>
              </w:rPr>
            </w:pPr>
          </w:p>
        </w:tc>
      </w:tr>
    </w:tbl>
    <w:p w:rsidR="00FA7113" w:rsidRPr="005D45FA" w:rsidRDefault="00FA7113" w:rsidP="005D45FA">
      <w:pPr>
        <w:pStyle w:val="SingleTxt"/>
        <w:spacing w:after="0" w:line="120" w:lineRule="exact"/>
        <w:rPr>
          <w:sz w:val="10"/>
          <w:lang w:bidi="ru-RU"/>
        </w:rPr>
      </w:pPr>
    </w:p>
    <w:p w:rsidR="005D45FA" w:rsidRPr="005D45FA" w:rsidRDefault="005D45FA" w:rsidP="005D45FA">
      <w:pPr>
        <w:pStyle w:val="SingleTxt"/>
        <w:spacing w:after="0" w:line="120" w:lineRule="exact"/>
        <w:rPr>
          <w:sz w:val="10"/>
          <w:lang w:bidi="ru-RU"/>
        </w:rPr>
      </w:pPr>
    </w:p>
    <w:p w:rsidR="005D45FA" w:rsidRPr="005D45FA" w:rsidRDefault="005D45FA" w:rsidP="005D45FA">
      <w:pPr>
        <w:pStyle w:val="SingleTxt"/>
        <w:spacing w:after="0" w:line="120" w:lineRule="exact"/>
        <w:rPr>
          <w:sz w:val="10"/>
          <w:lang w:bidi="ru-RU"/>
        </w:rPr>
      </w:pPr>
    </w:p>
    <w:p w:rsidR="005D45FA" w:rsidRPr="005D45FA" w:rsidRDefault="005D45FA" w:rsidP="005D45FA">
      <w:pPr>
        <w:pStyle w:val="HCh"/>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bidi="ru-RU"/>
        </w:rPr>
      </w:pPr>
      <w:r w:rsidRPr="005D45FA">
        <w:rPr>
          <w:lang w:val="en-US" w:bidi="ru-RU"/>
        </w:rPr>
        <w:lastRenderedPageBreak/>
        <w:tab/>
      </w:r>
      <w:r w:rsidRPr="005D45FA">
        <w:rPr>
          <w:lang w:val="en-US" w:bidi="ru-RU"/>
        </w:rPr>
        <w:tab/>
      </w:r>
      <w:r w:rsidRPr="005D45FA">
        <w:rPr>
          <w:lang w:bidi="ru-RU"/>
        </w:rPr>
        <w:t>Общая информация</w:t>
      </w:r>
    </w:p>
    <w:p w:rsidR="005D45FA" w:rsidRPr="005D45FA" w:rsidRDefault="005D45FA" w:rsidP="005D45FA">
      <w:pPr>
        <w:pStyle w:val="SingleTxt"/>
        <w:spacing w:after="0" w:line="120" w:lineRule="exact"/>
        <w:rPr>
          <w:sz w:val="10"/>
          <w:lang w:bidi="ru-RU"/>
        </w:rPr>
      </w:pPr>
    </w:p>
    <w:p w:rsidR="005D45FA" w:rsidRPr="005D45FA" w:rsidRDefault="005D45FA" w:rsidP="005D45FA">
      <w:pPr>
        <w:pStyle w:val="SingleTxt"/>
        <w:spacing w:after="0" w:line="120" w:lineRule="exact"/>
        <w:rPr>
          <w:sz w:val="10"/>
          <w:lang w:bidi="ru-RU"/>
        </w:rPr>
      </w:pPr>
    </w:p>
    <w:p w:rsidR="005D45FA" w:rsidRPr="005D45FA" w:rsidRDefault="005D45FA" w:rsidP="005D45FA">
      <w:pPr>
        <w:pStyle w:val="SingleTxt"/>
        <w:rPr>
          <w:lang w:bidi="ru-RU"/>
        </w:rPr>
      </w:pPr>
      <w:r w:rsidRPr="005D45FA">
        <w:rPr>
          <w:lang w:bidi="ru-RU"/>
        </w:rPr>
        <w:t>1.</w:t>
      </w:r>
      <w:r w:rsidRPr="005D45FA">
        <w:rPr>
          <w:lang w:bidi="ru-RU"/>
        </w:rPr>
        <w:tab/>
        <w:t>Баллоны с формованным защитным кожухом состоят из сварного стального внутреннего сосуда под давлением с покрытием и формованным кожухом из непористого материала, который прочно связан с сосудом под давлением и целостность которого обеспечивает целостность металлического внутреннего сосуда под давлением. Эти баллоны предназначены для перевозки СНГ (№</w:t>
      </w:r>
      <w:r w:rsidRPr="005D45FA">
        <w:rPr>
          <w:lang w:val="en-US" w:bidi="ru-RU"/>
        </w:rPr>
        <w:t> </w:t>
      </w:r>
      <w:r w:rsidRPr="005D45FA">
        <w:rPr>
          <w:lang w:bidi="ru-RU"/>
        </w:rPr>
        <w:t xml:space="preserve">ООН 1011, № ООН 1965, № ООН 1969 и № ООН 1975). Из-за их особой конструкции испытание под давлением и внешняя проверка сосудов под давлением, требуемые в соответствии с подпунктами </w:t>
      </w:r>
      <w:r w:rsidRPr="005D45FA">
        <w:rPr>
          <w:lang w:val="en-US" w:bidi="ru-RU"/>
        </w:rPr>
        <w:t>a</w:t>
      </w:r>
      <w:r w:rsidRPr="005D45FA">
        <w:rPr>
          <w:lang w:bidi="ru-RU"/>
        </w:rPr>
        <w:t xml:space="preserve">) и </w:t>
      </w:r>
      <w:r w:rsidRPr="005D45FA">
        <w:rPr>
          <w:lang w:val="en-US" w:bidi="ru-RU"/>
        </w:rPr>
        <w:t>d</w:t>
      </w:r>
      <w:r w:rsidRPr="005D45FA">
        <w:rPr>
          <w:lang w:bidi="ru-RU"/>
        </w:rPr>
        <w:t>) подраздела 6.2.1.6 МПОГ/ДОПОГ в рамках периодической проверки, не применимы. Был разработан альтернативный способ проверки этих баллонов.</w:t>
      </w:r>
    </w:p>
    <w:p w:rsidR="005D45FA" w:rsidRPr="005D45FA" w:rsidRDefault="005D45FA" w:rsidP="005D45FA">
      <w:pPr>
        <w:pStyle w:val="SingleTxt"/>
        <w:rPr>
          <w:lang w:bidi="ru-RU"/>
        </w:rPr>
      </w:pPr>
      <w:r w:rsidRPr="005D45FA">
        <w:rPr>
          <w:lang w:bidi="ru-RU"/>
        </w:rPr>
        <w:t>2.</w:t>
      </w:r>
      <w:r w:rsidRPr="005D45FA">
        <w:rPr>
          <w:lang w:bidi="ru-RU"/>
        </w:rPr>
        <w:tab/>
        <w:t xml:space="preserve">Данный вопрос уже обсуждался на нескольких предыдущих сессиях Совместного совещания, и информация общего характера уже приводилась в предыдущем рабочем документе </w:t>
      </w:r>
      <w:r w:rsidRPr="005D45FA">
        <w:rPr>
          <w:lang w:val="en-US" w:bidi="ru-RU"/>
        </w:rPr>
        <w:t>ECE</w:t>
      </w:r>
      <w:r w:rsidRPr="005D45FA">
        <w:rPr>
          <w:lang w:bidi="ru-RU"/>
        </w:rPr>
        <w:t>/</w:t>
      </w:r>
      <w:r w:rsidRPr="005D45FA">
        <w:rPr>
          <w:lang w:val="en-US" w:bidi="ru-RU"/>
        </w:rPr>
        <w:t>TRANS</w:t>
      </w:r>
      <w:r w:rsidRPr="005D45FA">
        <w:rPr>
          <w:lang w:bidi="ru-RU"/>
        </w:rPr>
        <w:t>/</w:t>
      </w:r>
      <w:r w:rsidRPr="005D45FA">
        <w:rPr>
          <w:lang w:val="en-US" w:bidi="ru-RU"/>
        </w:rPr>
        <w:t>WP</w:t>
      </w:r>
      <w:r w:rsidRPr="005D45FA">
        <w:rPr>
          <w:lang w:bidi="ru-RU"/>
        </w:rPr>
        <w:t>.15/</w:t>
      </w:r>
      <w:r w:rsidRPr="005D45FA">
        <w:rPr>
          <w:lang w:val="en-US" w:bidi="ru-RU"/>
        </w:rPr>
        <w:t>AC</w:t>
      </w:r>
      <w:r w:rsidRPr="005D45FA">
        <w:rPr>
          <w:lang w:bidi="ru-RU"/>
        </w:rPr>
        <w:t>.1/2014/48. На осенней сессии Совместного совещания 2014 года было принято решение создать рабочую группу по альтернативным методам проведения периодической проверки.</w:t>
      </w:r>
    </w:p>
    <w:p w:rsidR="005D45FA" w:rsidRPr="005D45FA" w:rsidRDefault="005D45FA" w:rsidP="005D45FA">
      <w:pPr>
        <w:pStyle w:val="SingleTxt"/>
        <w:rPr>
          <w:lang w:bidi="ru-RU"/>
        </w:rPr>
      </w:pPr>
      <w:r w:rsidRPr="005D45FA">
        <w:rPr>
          <w:lang w:bidi="ru-RU"/>
        </w:rPr>
        <w:t>3.</w:t>
      </w:r>
      <w:r w:rsidRPr="005D45FA">
        <w:rPr>
          <w:lang w:bidi="ru-RU"/>
        </w:rPr>
        <w:tab/>
        <w:t xml:space="preserve">Этой группе был предоставлен следующий мандат: </w:t>
      </w:r>
      <w:r w:rsidR="00F94BA8">
        <w:rPr>
          <w:lang w:bidi="ru-RU"/>
        </w:rPr>
        <w:t>«</w:t>
      </w:r>
      <w:r w:rsidRPr="005D45FA">
        <w:rPr>
          <w:lang w:bidi="ru-RU"/>
        </w:rPr>
        <w:t>рассмотреть альтернативные методы проведения периодической проверки, которые гарантировали бы эквивалентный уровень безопасности в сравнении с методами, предусмотренными в пункте 6.2.1.6.1 МПОГ/ДОПОГ, на основе результатов испытаний и оценки рисков и изучить возможность выработки метода, объединяющего в себе испытания каждого баллона по отдельности и испытания методом отбора образцов и статистической оценки. Группа в первую очередь рассмотрит вопрос о баллонах для СНГ с формованным защитным кожухом, а далее займется другими вопросами</w:t>
      </w:r>
      <w:r w:rsidR="00F94BA8">
        <w:rPr>
          <w:lang w:bidi="ru-RU"/>
        </w:rPr>
        <w:t>»</w:t>
      </w:r>
      <w:r w:rsidRPr="005D45FA">
        <w:rPr>
          <w:lang w:bidi="ru-RU"/>
        </w:rPr>
        <w:t>.</w:t>
      </w:r>
    </w:p>
    <w:p w:rsidR="005D45FA" w:rsidRPr="005D45FA" w:rsidRDefault="005D45FA" w:rsidP="005D45FA">
      <w:pPr>
        <w:pStyle w:val="SingleTxt"/>
        <w:rPr>
          <w:lang w:bidi="ru-RU"/>
        </w:rPr>
      </w:pPr>
      <w:r w:rsidRPr="005D45FA">
        <w:rPr>
          <w:lang w:bidi="ru-RU"/>
        </w:rPr>
        <w:t>4.</w:t>
      </w:r>
      <w:r w:rsidRPr="005D45FA">
        <w:rPr>
          <w:lang w:bidi="ru-RU"/>
        </w:rPr>
        <w:tab/>
        <w:t>Согласно договоренности первая сессия была проведена в Париже 7 и 8 января 2015 года, где собрались представители Австрии, Германии, Франции, Швейцарии и ЕАСНГ. По селекторной связи в виртуальной форме в ней участвовали представители Бельгии и Испании.</w:t>
      </w:r>
    </w:p>
    <w:p w:rsidR="005D45FA" w:rsidRPr="005D45FA" w:rsidRDefault="005D45FA" w:rsidP="005D45FA">
      <w:pPr>
        <w:pStyle w:val="SingleTxt"/>
        <w:rPr>
          <w:lang w:bidi="ru-RU"/>
        </w:rPr>
      </w:pPr>
      <w:r w:rsidRPr="005D45FA">
        <w:rPr>
          <w:lang w:bidi="ru-RU"/>
        </w:rPr>
        <w:t>5.</w:t>
      </w:r>
      <w:r w:rsidRPr="005D45FA">
        <w:rPr>
          <w:lang w:bidi="ru-RU"/>
        </w:rPr>
        <w:tab/>
        <w:t>В ходе этой сессии ЕАСНГ представила пошаговое исследование и оценку рисков, положенные в основу альтернативного метода для баллонов с формованным защитным кожухом (БФЗК), а рабочая группа готовила первую редакцию предложения о поправке. Все еще оставались некоторые неурегулированные моменты, например, вопросы базы данных, права собственности и использования случайной выборки.</w:t>
      </w:r>
    </w:p>
    <w:p w:rsidR="005D45FA" w:rsidRPr="005D45FA" w:rsidRDefault="005D45FA" w:rsidP="005D45FA">
      <w:pPr>
        <w:pStyle w:val="SingleTxt"/>
        <w:rPr>
          <w:lang w:bidi="ru-RU"/>
        </w:rPr>
      </w:pPr>
      <w:r w:rsidRPr="005D45FA">
        <w:rPr>
          <w:lang w:bidi="ru-RU"/>
        </w:rPr>
        <w:t>6.</w:t>
      </w:r>
      <w:r w:rsidRPr="005D45FA">
        <w:rPr>
          <w:lang w:bidi="ru-RU"/>
        </w:rPr>
        <w:tab/>
        <w:t xml:space="preserve">Параллельно с этим представитель Германии представил обновленный проект предложения в неофициальном документе </w:t>
      </w:r>
      <w:r w:rsidRPr="005D45FA">
        <w:rPr>
          <w:lang w:val="en-US" w:bidi="ru-RU"/>
        </w:rPr>
        <w:t>INF</w:t>
      </w:r>
      <w:r w:rsidRPr="005D45FA">
        <w:rPr>
          <w:lang w:bidi="ru-RU"/>
        </w:rPr>
        <w:t>.11, подготовленном для осенней сессии 2014 года, об общем правиле в отношении требований, касающихся разработки альтернативного метода периодической проверки, однако из-за нехватки времени это предложение обсуждено не было.</w:t>
      </w:r>
    </w:p>
    <w:p w:rsidR="005D45FA" w:rsidRPr="005D45FA" w:rsidRDefault="005D45FA" w:rsidP="005D45FA">
      <w:pPr>
        <w:pStyle w:val="SingleTxt"/>
        <w:rPr>
          <w:lang w:bidi="ru-RU"/>
        </w:rPr>
      </w:pPr>
      <w:r w:rsidRPr="005D45FA">
        <w:rPr>
          <w:lang w:bidi="ru-RU"/>
        </w:rPr>
        <w:t xml:space="preserve">(См. также неофициальный документ </w:t>
      </w:r>
      <w:r w:rsidRPr="005D45FA">
        <w:rPr>
          <w:lang w:val="en-US" w:bidi="ru-RU"/>
        </w:rPr>
        <w:t>INF</w:t>
      </w:r>
      <w:r w:rsidRPr="005D45FA">
        <w:rPr>
          <w:lang w:bidi="ru-RU"/>
        </w:rPr>
        <w:t>.23 весенней сессии 2015 года.)</w:t>
      </w:r>
    </w:p>
    <w:p w:rsidR="005D45FA" w:rsidRPr="005D45FA" w:rsidRDefault="005D45FA" w:rsidP="005D45FA">
      <w:pPr>
        <w:pStyle w:val="SingleTxt"/>
        <w:rPr>
          <w:lang w:bidi="ru-RU"/>
        </w:rPr>
      </w:pPr>
      <w:r w:rsidRPr="005D45FA">
        <w:rPr>
          <w:lang w:bidi="ru-RU"/>
        </w:rPr>
        <w:t>7.</w:t>
      </w:r>
      <w:r w:rsidRPr="005D45FA">
        <w:rPr>
          <w:lang w:bidi="ru-RU"/>
        </w:rPr>
        <w:tab/>
        <w:t>В ходе весенней сессии 2015 года Совместное совещание согласилось с необходимостью продолжить работу в данной области, при этом было предложено готовить предложение о БФЗК и предложение, касающееся общего положения, параллельно.</w:t>
      </w:r>
    </w:p>
    <w:p w:rsidR="005D45FA" w:rsidRPr="005D45FA" w:rsidRDefault="005D45FA" w:rsidP="00A90E47">
      <w:pPr>
        <w:pStyle w:val="SingleTxt"/>
        <w:pageBreakBefore/>
        <w:rPr>
          <w:lang w:bidi="ru-RU"/>
        </w:rPr>
      </w:pPr>
      <w:r w:rsidRPr="005D45FA">
        <w:rPr>
          <w:lang w:bidi="ru-RU"/>
        </w:rPr>
        <w:lastRenderedPageBreak/>
        <w:t>8.</w:t>
      </w:r>
      <w:r w:rsidRPr="005D45FA">
        <w:rPr>
          <w:lang w:bidi="ru-RU"/>
        </w:rPr>
        <w:tab/>
        <w:t>Вторая сессия состоялась 9 и 10 июня в Париже (организована Французским комитетом по бутану и пропану (ФКБП)) при физическом участии представителей Германии (только 10 июня), Польши, Швейцарии, Швеции и ЕАСНГ. Представитель Испании принял участие только в телефонной части сессии (10</w:t>
      </w:r>
      <w:r>
        <w:rPr>
          <w:lang w:bidi="ru-RU"/>
        </w:rPr>
        <w:t> </w:t>
      </w:r>
      <w:r w:rsidRPr="005D45FA">
        <w:rPr>
          <w:lang w:bidi="ru-RU"/>
        </w:rPr>
        <w:t>июня, 9 ч. 30 м.).</w:t>
      </w:r>
    </w:p>
    <w:p w:rsidR="005D45FA" w:rsidRPr="005D45FA" w:rsidRDefault="005D45FA" w:rsidP="005D45FA">
      <w:pPr>
        <w:pStyle w:val="SingleTxt"/>
        <w:rPr>
          <w:lang w:bidi="ru-RU"/>
        </w:rPr>
      </w:pPr>
      <w:r w:rsidRPr="005D45FA">
        <w:rPr>
          <w:lang w:bidi="ru-RU"/>
        </w:rPr>
        <w:t>9.</w:t>
      </w:r>
      <w:r w:rsidRPr="005D45FA">
        <w:rPr>
          <w:lang w:bidi="ru-RU"/>
        </w:rPr>
        <w:tab/>
        <w:t>Данное мероприятие началось с краткого обзора, в ходе которого Председатель напомнил об указаниях Совместного совещания, изложенных на весенней сессии 2015 года, и о целях и графике действий на этапе подготовки осенней сессии Совместного совещания.</w:t>
      </w:r>
    </w:p>
    <w:p w:rsidR="005D45FA" w:rsidRPr="005D45FA" w:rsidRDefault="005D45FA" w:rsidP="005D45FA">
      <w:pPr>
        <w:pStyle w:val="SingleTxt"/>
        <w:rPr>
          <w:lang w:bidi="ru-RU"/>
        </w:rPr>
      </w:pPr>
      <w:r w:rsidRPr="005D45FA">
        <w:rPr>
          <w:lang w:bidi="ru-RU"/>
        </w:rPr>
        <w:t>10.</w:t>
      </w:r>
      <w:r w:rsidRPr="005D45FA">
        <w:rPr>
          <w:lang w:bidi="ru-RU"/>
        </w:rPr>
        <w:tab/>
        <w:t>В ходе совещания, по мере одновременной подготовки двух предложений, были высказаны следующие конкретные замечания:</w:t>
      </w:r>
    </w:p>
    <w:p w:rsidR="005D45FA" w:rsidRPr="005D45FA" w:rsidRDefault="005D45FA" w:rsidP="005D45FA">
      <w:pPr>
        <w:pStyle w:val="SingleTxt"/>
        <w:rPr>
          <w:lang w:bidi="ru-RU"/>
        </w:rPr>
      </w:pPr>
      <w:r>
        <w:rPr>
          <w:b/>
          <w:lang w:bidi="ru-RU"/>
        </w:rPr>
        <w:tab/>
      </w:r>
      <w:r w:rsidRPr="005D45FA">
        <w:rPr>
          <w:b/>
          <w:lang w:val="en-US" w:bidi="ru-RU"/>
        </w:rPr>
        <w:t>a</w:t>
      </w:r>
      <w:r w:rsidRPr="005D45FA">
        <w:rPr>
          <w:b/>
          <w:lang w:bidi="ru-RU"/>
        </w:rPr>
        <w:t>)</w:t>
      </w:r>
      <w:r w:rsidRPr="005D45FA">
        <w:rPr>
          <w:lang w:bidi="ru-RU"/>
        </w:rPr>
        <w:tab/>
      </w:r>
      <w:r w:rsidRPr="005D45FA">
        <w:rPr>
          <w:b/>
          <w:lang w:bidi="ru-RU"/>
        </w:rPr>
        <w:t>Швеция</w:t>
      </w:r>
      <w:r w:rsidRPr="0040700D">
        <w:rPr>
          <w:b/>
          <w:lang w:bidi="ru-RU"/>
        </w:rPr>
        <w:t>:</w:t>
      </w:r>
      <w:r w:rsidRPr="005D45FA">
        <w:rPr>
          <w:lang w:bidi="ru-RU"/>
        </w:rPr>
        <w:t xml:space="preserve"> С точки зрения равенства и с учетом того, что эквивалентный уровень безопасности должен быть продемонстрирован до того, как метод, основанный на выборке и статистическом анализе, может быть принят, Швеция не видит оснований для ограничения сферы применения общего правила баллонами, особенности типа конструкции которых не позволяют успешно проводить испытание, предусмотренное в пункте 6.2.1.6.1. Поэтому Швеция предложила, чтобы неофициальная рабочая группа включила в сферу действия общего правила все типы баллонов. </w:t>
      </w:r>
    </w:p>
    <w:p w:rsidR="005D45FA" w:rsidRPr="005D45FA" w:rsidRDefault="00244ABB" w:rsidP="005D45FA">
      <w:pPr>
        <w:pStyle w:val="SingleTxt"/>
        <w:rPr>
          <w:lang w:bidi="ru-RU"/>
        </w:rPr>
      </w:pPr>
      <w:r w:rsidRPr="0040700D">
        <w:rPr>
          <w:lang w:bidi="ru-RU"/>
        </w:rPr>
        <w:tab/>
      </w:r>
      <w:r w:rsidR="005D45FA" w:rsidRPr="005D45FA">
        <w:rPr>
          <w:lang w:bidi="ru-RU"/>
        </w:rPr>
        <w:t xml:space="preserve">Председатель напомнил, что общее положение направлено не на урегулирование вопросов, связанных с конкретными альтернативными типами баллонов или методами периодического контроля, а на установление минимальных обязательных требований для таких альтернативных типов, подлежащих рассмотрению совместным совещанием в дальнейшем. Судя по опыту, весь этот процесс является поэтапным и требует достаточной информации об опыте эксплуатации (ИОЭ), качества технологических процессов, результатов испытаний, анализа рисков, оценки эквивалентного уровня безопасности и т.д. В любом случае с точки зрения ДОПОГ 2017 года, нынешний плотный график позволит двигаться вперед только в соответствии с действующим мандатом. </w:t>
      </w:r>
    </w:p>
    <w:p w:rsidR="005D45FA" w:rsidRPr="005D45FA" w:rsidRDefault="00F94BA8" w:rsidP="005D45FA">
      <w:pPr>
        <w:pStyle w:val="SingleTxt"/>
        <w:rPr>
          <w:lang w:bidi="ru-RU"/>
        </w:rPr>
      </w:pPr>
      <w:r>
        <w:rPr>
          <w:lang w:bidi="ru-RU"/>
        </w:rPr>
        <w:tab/>
      </w:r>
      <w:r w:rsidR="005D45FA" w:rsidRPr="005D45FA">
        <w:rPr>
          <w:lang w:bidi="ru-RU"/>
        </w:rPr>
        <w:t>После дальнейших обсуждений неофициальная рабочая группа приняла решение, согласно которому после того, как работа над общим положением и положениями в отношении БФЗК будет закончена и они будут утверждены совместным совещанием – в идеальном случае осенью 2015 года, – у Совместного совещания будет испрошен мандат, предусматривающий рассмотрение неофициальной рабочей группой в дальнейшем других конкретных просьб. Вместе с тем Швеция приветствовала бы проведение обсуждения на эту тему уже на осенней сессии 2015 года Совместного совещания.</w:t>
      </w:r>
    </w:p>
    <w:p w:rsidR="005D45FA" w:rsidRPr="005D45FA" w:rsidRDefault="005D45FA" w:rsidP="005D45FA">
      <w:pPr>
        <w:pStyle w:val="SingleTxt"/>
        <w:rPr>
          <w:lang w:bidi="ru-RU"/>
        </w:rPr>
      </w:pPr>
      <w:r>
        <w:rPr>
          <w:b/>
          <w:lang w:bidi="ru-RU"/>
        </w:rPr>
        <w:tab/>
      </w:r>
      <w:r w:rsidRPr="005D45FA">
        <w:rPr>
          <w:b/>
          <w:lang w:val="en-US" w:bidi="ru-RU"/>
        </w:rPr>
        <w:t>b</w:t>
      </w:r>
      <w:r w:rsidRPr="005D45FA">
        <w:rPr>
          <w:b/>
          <w:lang w:bidi="ru-RU"/>
        </w:rPr>
        <w:t>)</w:t>
      </w:r>
      <w:r w:rsidRPr="005D45FA">
        <w:rPr>
          <w:lang w:bidi="ru-RU"/>
        </w:rPr>
        <w:tab/>
      </w:r>
      <w:r w:rsidRPr="005D45FA">
        <w:rPr>
          <w:b/>
          <w:lang w:bidi="ru-RU"/>
        </w:rPr>
        <w:t>Испания:</w:t>
      </w:r>
      <w:r w:rsidRPr="005D45FA">
        <w:rPr>
          <w:lang w:bidi="ru-RU"/>
        </w:rPr>
        <w:t xml:space="preserve"> Представитель Испании напомнил об уже изложенной на предыдущих совещаниях неофициальной рабочей группы позиции Испания, которая в принципе выступает против использования метода выборки и статистического анализа для целей периодического проверки баллонов, если не было доказано, что он обеспечивает такой же уровень безопасности как и индивидуальное испытание. Тогда неофициальная рабочая группа завершила работу над общим положением путем включения дополнительного требования о проведении независимой оценки эквивалентного уровня безопасности, с участием специалистов как по статистике, так и по сосудам под давлением, по любому конкретному запросу Совместного совещания. </w:t>
      </w:r>
    </w:p>
    <w:p w:rsidR="005D45FA" w:rsidRPr="005D45FA" w:rsidRDefault="00F94BA8" w:rsidP="00A90E47">
      <w:pPr>
        <w:pStyle w:val="SingleTxt"/>
        <w:pageBreakBefore/>
        <w:rPr>
          <w:lang w:bidi="ru-RU"/>
        </w:rPr>
      </w:pPr>
      <w:r>
        <w:rPr>
          <w:lang w:bidi="ru-RU"/>
        </w:rPr>
        <w:lastRenderedPageBreak/>
        <w:tab/>
      </w:r>
      <w:r w:rsidR="005D45FA" w:rsidRPr="005D45FA">
        <w:rPr>
          <w:lang w:bidi="ru-RU"/>
        </w:rPr>
        <w:t>Другие замечания представителя Испании касались воздействия изменения данного процесса на деление совокупности баллонов на годовые партии и более четкой связи между субъектом собственности и документацией в случае принятия во внимание смены владельца.</w:t>
      </w:r>
    </w:p>
    <w:p w:rsidR="005D45FA" w:rsidRPr="005D45FA" w:rsidRDefault="00F94BA8" w:rsidP="00A90E47">
      <w:pPr>
        <w:pStyle w:val="SingleTxt"/>
        <w:rPr>
          <w:lang w:bidi="ru-RU"/>
        </w:rPr>
      </w:pPr>
      <w:r>
        <w:rPr>
          <w:lang w:bidi="ru-RU"/>
        </w:rPr>
        <w:tab/>
      </w:r>
      <w:r w:rsidR="005D45FA" w:rsidRPr="005D45FA">
        <w:rPr>
          <w:lang w:bidi="ru-RU"/>
        </w:rPr>
        <w:t xml:space="preserve">Тем не менее после совещания Испания заявила, что до включения в МПОГ/ДОПОГ положений о выборке она хотела бы, чтобы на Совместном совещании прошло общее обсуждение вопроса об эквивалентном уровне безопасности, с участием специалистов как по статистике, так и по сосудам под давлением. </w:t>
      </w:r>
    </w:p>
    <w:p w:rsidR="005D45FA" w:rsidRPr="005D45FA" w:rsidRDefault="00F94BA8" w:rsidP="005D45FA">
      <w:pPr>
        <w:pStyle w:val="SingleTxt"/>
        <w:rPr>
          <w:lang w:bidi="ru-RU"/>
        </w:rPr>
      </w:pPr>
      <w:r>
        <w:rPr>
          <w:lang w:bidi="ru-RU"/>
        </w:rPr>
        <w:tab/>
      </w:r>
      <w:r w:rsidR="005D45FA" w:rsidRPr="005D45FA">
        <w:rPr>
          <w:lang w:bidi="ru-RU"/>
        </w:rPr>
        <w:t>Кроме того, Испания считает, что основополагающее значение имеет согласие компетентного органа страны использования, поскольку использование метода выборки может иметь серьезные последствия для безопасности.</w:t>
      </w:r>
    </w:p>
    <w:p w:rsidR="005D45FA" w:rsidRPr="005D45FA" w:rsidRDefault="005D45FA" w:rsidP="005D45FA">
      <w:pPr>
        <w:pStyle w:val="SingleTxt"/>
        <w:rPr>
          <w:lang w:bidi="ru-RU"/>
        </w:rPr>
      </w:pPr>
      <w:r w:rsidRPr="005D45FA">
        <w:rPr>
          <w:lang w:bidi="ru-RU"/>
        </w:rPr>
        <w:t>11.</w:t>
      </w:r>
      <w:r w:rsidRPr="005D45FA">
        <w:rPr>
          <w:lang w:bidi="ru-RU"/>
        </w:rPr>
        <w:tab/>
        <w:t>Затем конкретные положения по БФЗК были рассмотрены неофициальной рабочей группой на основе документа, подготовленного ею в январе, и с учетом некоторых внесенных в целях улучшения изменений. Участники согласовали содержание в целом и предусмотрели необходимость дальнейшего улучшения данного документа путем проведения перекрестной проверки структуры содержания, с тем чтобы она в наибольшей степени соответствовала структуре общего положения. Испания вновь заявила о необходимости убедиться в эквивалентности уровня безопасности статистического метода.</w:t>
      </w:r>
    </w:p>
    <w:p w:rsidR="005D45FA" w:rsidRPr="005D45FA" w:rsidRDefault="005D45FA" w:rsidP="005D45FA">
      <w:pPr>
        <w:pStyle w:val="SingleTxt"/>
        <w:rPr>
          <w:lang w:bidi="ru-RU"/>
        </w:rPr>
      </w:pPr>
      <w:r w:rsidRPr="005D45FA">
        <w:rPr>
          <w:lang w:bidi="ru-RU"/>
        </w:rPr>
        <w:t>12.</w:t>
      </w:r>
      <w:r w:rsidRPr="005D45FA">
        <w:rPr>
          <w:lang w:bidi="ru-RU"/>
        </w:rPr>
        <w:tab/>
        <w:t>Германия представила различные элементы результатов статистического анализа, подготовленного Федеральным институтом исследований и испытаний материалов (</w:t>
      </w:r>
      <w:r w:rsidRPr="005D45FA">
        <w:rPr>
          <w:lang w:val="en-US" w:bidi="ru-RU"/>
        </w:rPr>
        <w:t>BAM</w:t>
      </w:r>
      <w:r w:rsidRPr="005D45FA">
        <w:rPr>
          <w:lang w:bidi="ru-RU"/>
        </w:rPr>
        <w:t>), которые основаны на результатах разрушающих испытаний, проведенных до настоящего момента (более 15 лет регулярных разрушающих испытаний). Необходимо продолжить работу и анализ в областях максимального стандартного отклонения и выбора распределения, с тем чтобы к консолидировать и завершить возможную оценку эквивалентного уровня безопасности.</w:t>
      </w:r>
    </w:p>
    <w:p w:rsidR="005D45FA" w:rsidRPr="005D45FA" w:rsidRDefault="005D45FA" w:rsidP="005D45FA">
      <w:pPr>
        <w:pStyle w:val="SingleTxt"/>
        <w:rPr>
          <w:lang w:bidi="ru-RU"/>
        </w:rPr>
      </w:pPr>
      <w:r w:rsidRPr="005D45FA">
        <w:rPr>
          <w:lang w:bidi="ru-RU"/>
        </w:rPr>
        <w:t>13.</w:t>
      </w:r>
      <w:r w:rsidRPr="005D45FA">
        <w:rPr>
          <w:lang w:bidi="ru-RU"/>
        </w:rPr>
        <w:tab/>
        <w:t>В конкретное положение, касающееся БФЗК, должны быть включены сроки сбора статистических данных, предусмотренных стандартами ИСО, на которые сделаны ссылки.</w:t>
      </w:r>
    </w:p>
    <w:p w:rsidR="005D45FA" w:rsidRPr="005D45FA" w:rsidRDefault="005D45FA" w:rsidP="005D45FA">
      <w:pPr>
        <w:pStyle w:val="SingleTxt"/>
        <w:spacing w:after="0" w:line="120" w:lineRule="exact"/>
        <w:rPr>
          <w:b/>
          <w:sz w:val="10"/>
          <w:lang w:bidi="ru-RU"/>
        </w:rPr>
      </w:pPr>
    </w:p>
    <w:p w:rsidR="005D45FA" w:rsidRPr="005D45FA" w:rsidRDefault="005D45FA" w:rsidP="005D45FA">
      <w:pPr>
        <w:pStyle w:val="SingleTxt"/>
        <w:spacing w:after="0" w:line="120" w:lineRule="exact"/>
        <w:rPr>
          <w:b/>
          <w:sz w:val="10"/>
          <w:lang w:bidi="ru-RU"/>
        </w:rPr>
      </w:pPr>
    </w:p>
    <w:p w:rsidR="005D45FA" w:rsidRPr="005D45FA" w:rsidRDefault="005D45FA" w:rsidP="005D45F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iCs/>
          <w:lang w:bidi="ru-RU"/>
        </w:rPr>
      </w:pPr>
      <w:r w:rsidRPr="005D45FA">
        <w:rPr>
          <w:lang w:bidi="ru-RU"/>
        </w:rPr>
        <w:tab/>
      </w:r>
      <w:r w:rsidRPr="005D45FA">
        <w:rPr>
          <w:lang w:bidi="ru-RU"/>
        </w:rPr>
        <w:tab/>
        <w:t>Предложение 1 – Общие положения</w:t>
      </w:r>
    </w:p>
    <w:p w:rsidR="005D45FA" w:rsidRPr="005D45FA" w:rsidRDefault="005D45FA" w:rsidP="005D45FA">
      <w:pPr>
        <w:pStyle w:val="SingleTxt"/>
        <w:spacing w:after="0" w:line="120" w:lineRule="exact"/>
        <w:rPr>
          <w:sz w:val="10"/>
          <w:lang w:bidi="ru-RU"/>
        </w:rPr>
      </w:pPr>
    </w:p>
    <w:p w:rsidR="005D45FA" w:rsidRPr="005D45FA" w:rsidRDefault="005D45FA" w:rsidP="005D45FA">
      <w:pPr>
        <w:pStyle w:val="SingleTxt"/>
        <w:spacing w:after="0" w:line="120" w:lineRule="exact"/>
        <w:rPr>
          <w:sz w:val="10"/>
          <w:lang w:bidi="ru-RU"/>
        </w:rPr>
      </w:pPr>
    </w:p>
    <w:p w:rsidR="005D45FA" w:rsidRPr="005D45FA" w:rsidRDefault="005D45FA" w:rsidP="005D45FA">
      <w:pPr>
        <w:pStyle w:val="SingleTxt"/>
        <w:rPr>
          <w:lang w:bidi="ru-RU"/>
        </w:rPr>
      </w:pPr>
      <w:r w:rsidRPr="005D45FA">
        <w:rPr>
          <w:lang w:bidi="ru-RU"/>
        </w:rPr>
        <w:t>14.</w:t>
      </w:r>
      <w:r w:rsidRPr="005D45FA">
        <w:rPr>
          <w:lang w:bidi="ru-RU"/>
        </w:rPr>
        <w:tab/>
        <w:t>Включить новый подраздел 6.2.3.5.3 следующего содержания:</w:t>
      </w:r>
    </w:p>
    <w:p w:rsidR="005D45FA" w:rsidRPr="00F94BA8" w:rsidRDefault="005D45FA" w:rsidP="003A04F4">
      <w:pPr>
        <w:pStyle w:val="SingleTxt"/>
        <w:ind w:left="2218" w:hanging="951"/>
        <w:rPr>
          <w:lang w:bidi="ru-RU"/>
        </w:rPr>
      </w:pPr>
      <w:r>
        <w:rPr>
          <w:lang w:bidi="ru-RU"/>
        </w:rPr>
        <w:t>«</w:t>
      </w:r>
      <w:r w:rsidRPr="003A04F4">
        <w:rPr>
          <w:i/>
          <w:lang w:bidi="ru-RU"/>
        </w:rPr>
        <w:t xml:space="preserve">6.2.3.5.3 </w:t>
      </w:r>
      <w:r w:rsidRPr="003A04F4">
        <w:rPr>
          <w:i/>
          <w:lang w:bidi="ru-RU"/>
        </w:rPr>
        <w:tab/>
        <w:t>Общие правила, касающиеся замены метода проведения периодической проверки, предусмотренного пунктом 6.2.3.5.1</w:t>
      </w:r>
      <w:r w:rsidR="00F94BA8">
        <w:rPr>
          <w:lang w:bidi="ru-RU"/>
        </w:rPr>
        <w:t>»</w:t>
      </w:r>
    </w:p>
    <w:p w:rsidR="005D45FA" w:rsidRPr="005D45FA" w:rsidRDefault="00F94BA8" w:rsidP="005D45FA">
      <w:pPr>
        <w:pStyle w:val="SingleTxt"/>
        <w:rPr>
          <w:lang w:bidi="ru-RU"/>
        </w:rPr>
      </w:pPr>
      <w:r>
        <w:rPr>
          <w:lang w:bidi="ru-RU"/>
        </w:rPr>
        <w:tab/>
      </w:r>
      <w:r w:rsidR="005D45FA" w:rsidRPr="005D45FA">
        <w:rPr>
          <w:lang w:bidi="ru-RU"/>
        </w:rPr>
        <w:t>Настоящий подраздел применяется к сосудам под давлением, которые сконструированы и изготовлены в соответствии со стандартами, упомянутыми в разделе</w:t>
      </w:r>
      <w:r w:rsidR="005D45FA">
        <w:rPr>
          <w:lang w:bidi="ru-RU"/>
        </w:rPr>
        <w:t> </w:t>
      </w:r>
      <w:r w:rsidR="005D45FA" w:rsidRPr="005D45FA">
        <w:rPr>
          <w:lang w:bidi="ru-RU"/>
        </w:rPr>
        <w:t xml:space="preserve">6.2.4.1, или техническими правилами согласно главе 6.2.5 и особенности типа конструкции которых не позволяют успешно провести испытание, предусмотренное в подпунктах </w:t>
      </w:r>
      <w:r w:rsidR="005D45FA" w:rsidRPr="005D45FA">
        <w:rPr>
          <w:lang w:val="en-US" w:bidi="ru-RU"/>
        </w:rPr>
        <w:t>a</w:t>
      </w:r>
      <w:r w:rsidR="005D45FA" w:rsidRPr="005D45FA">
        <w:rPr>
          <w:lang w:bidi="ru-RU"/>
        </w:rPr>
        <w:t>)</w:t>
      </w:r>
      <w:r w:rsidR="005D45FA">
        <w:rPr>
          <w:lang w:bidi="ru-RU"/>
        </w:rPr>
        <w:t>–</w:t>
      </w:r>
      <w:r w:rsidR="005D45FA" w:rsidRPr="005D45FA">
        <w:rPr>
          <w:lang w:val="en-US" w:bidi="ru-RU"/>
        </w:rPr>
        <w:t>e</w:t>
      </w:r>
      <w:r w:rsidR="005D45FA" w:rsidRPr="005D45FA">
        <w:rPr>
          <w:lang w:bidi="ru-RU"/>
        </w:rPr>
        <w:t>) пункта 6.2.1.6.1, или значимым образом толковать результаты испытаний в качестве критериев безопасности.</w:t>
      </w:r>
    </w:p>
    <w:p w:rsidR="005D45FA" w:rsidRPr="005D45FA" w:rsidRDefault="00F94BA8" w:rsidP="005D45FA">
      <w:pPr>
        <w:pStyle w:val="SingleTxt"/>
        <w:rPr>
          <w:lang w:bidi="ru-RU"/>
        </w:rPr>
      </w:pPr>
      <w:r>
        <w:rPr>
          <w:lang w:bidi="ru-RU"/>
        </w:rPr>
        <w:tab/>
      </w:r>
      <w:r w:rsidR="005D45FA" w:rsidRPr="005D45FA">
        <w:rPr>
          <w:lang w:bidi="ru-RU"/>
        </w:rPr>
        <w:t>Для таких сосудов под давлением один  метод проведения индивидуальной периодической проверки или более должен (должны) быть заменен (заменены) альтернативным методом испытания, при условии, что такая процедура указана в соответствующем пункте главы 6.2.3 и подробно изложена в специальном положении или стандарте, на который сделана ссылка. Данный альтернативный метод должен содержать четкое указание на то, какое испытание согласно подпунктам</w:t>
      </w:r>
      <w:r w:rsidR="005D45FA">
        <w:rPr>
          <w:lang w:bidi="ru-RU"/>
        </w:rPr>
        <w:t> </w:t>
      </w:r>
      <w:r w:rsidR="005D45FA" w:rsidRPr="005D45FA">
        <w:rPr>
          <w:lang w:val="en-US" w:bidi="ru-RU"/>
        </w:rPr>
        <w:t>a</w:t>
      </w:r>
      <w:r w:rsidR="005D45FA" w:rsidRPr="005D45FA">
        <w:rPr>
          <w:lang w:bidi="ru-RU"/>
        </w:rPr>
        <w:t>)</w:t>
      </w:r>
      <w:r w:rsidR="005D45FA">
        <w:rPr>
          <w:lang w:bidi="ru-RU"/>
        </w:rPr>
        <w:t>–</w:t>
      </w:r>
      <w:r w:rsidR="005D45FA" w:rsidRPr="005D45FA">
        <w:rPr>
          <w:lang w:val="en-US" w:bidi="ru-RU"/>
        </w:rPr>
        <w:t>e</w:t>
      </w:r>
      <w:r w:rsidR="005D45FA" w:rsidRPr="005D45FA">
        <w:rPr>
          <w:lang w:bidi="ru-RU"/>
        </w:rPr>
        <w:t>) пункта 6.2.1.6.1 подлежит замене.</w:t>
      </w:r>
    </w:p>
    <w:p w:rsidR="005D45FA" w:rsidRPr="005D45FA" w:rsidRDefault="005D45FA" w:rsidP="00A90E47">
      <w:pPr>
        <w:pStyle w:val="SingleTxt"/>
        <w:tabs>
          <w:tab w:val="clear" w:pos="2218"/>
          <w:tab w:val="left" w:pos="2340"/>
        </w:tabs>
        <w:ind w:left="2340" w:hanging="1073"/>
        <w:rPr>
          <w:lang w:bidi="ru-RU"/>
        </w:rPr>
      </w:pPr>
      <w:r w:rsidRPr="005D45FA">
        <w:rPr>
          <w:lang w:bidi="ru-RU"/>
        </w:rPr>
        <w:lastRenderedPageBreak/>
        <w:t xml:space="preserve">6.2.3.5.3.1 </w:t>
      </w:r>
      <w:r w:rsidR="00A90E47">
        <w:rPr>
          <w:lang w:bidi="ru-RU"/>
        </w:rPr>
        <w:tab/>
      </w:r>
      <w:r w:rsidRPr="005D45FA">
        <w:rPr>
          <w:lang w:bidi="ru-RU"/>
        </w:rPr>
        <w:t xml:space="preserve">Использование в качестве альтернативного метода разрушающего испытания и статистической оценки </w:t>
      </w:r>
    </w:p>
    <w:p w:rsidR="005D45FA" w:rsidRPr="005D45FA" w:rsidRDefault="005C1757" w:rsidP="00A90E47">
      <w:pPr>
        <w:pStyle w:val="SingleTxt"/>
        <w:rPr>
          <w:lang w:bidi="ru-RU"/>
        </w:rPr>
      </w:pPr>
      <w:r>
        <w:rPr>
          <w:lang w:bidi="ru-RU"/>
        </w:rPr>
        <w:tab/>
      </w:r>
      <w:r w:rsidR="005D45FA" w:rsidRPr="005D45FA">
        <w:rPr>
          <w:lang w:bidi="ru-RU"/>
        </w:rPr>
        <w:t xml:space="preserve">Если ни один из принятых методов неразрушающего испытания каждого из сосудов под давлением, предусмотренных для замены испытания в соответствии подпунктами </w:t>
      </w:r>
      <w:r w:rsidR="005D45FA" w:rsidRPr="005D45FA">
        <w:rPr>
          <w:lang w:val="en-US" w:bidi="ru-RU"/>
        </w:rPr>
        <w:t>a</w:t>
      </w:r>
      <w:r w:rsidR="005D45FA" w:rsidRPr="005D45FA">
        <w:rPr>
          <w:lang w:bidi="ru-RU"/>
        </w:rPr>
        <w:t>)</w:t>
      </w:r>
      <w:r w:rsidR="005D45FA">
        <w:rPr>
          <w:lang w:bidi="ru-RU"/>
        </w:rPr>
        <w:t>–</w:t>
      </w:r>
      <w:r w:rsidR="005D45FA" w:rsidRPr="005D45FA">
        <w:rPr>
          <w:lang w:val="en-US" w:bidi="ru-RU"/>
        </w:rPr>
        <w:t>e</w:t>
      </w:r>
      <w:r w:rsidR="005D45FA" w:rsidRPr="005D45FA">
        <w:rPr>
          <w:lang w:bidi="ru-RU"/>
        </w:rPr>
        <w:t>) пункта 6.2.1.6.1, не подходит для оценки безопасности отдельных сосудов под давлением, должен быть разработан альтернативный метод с использованием разрушающего испытания и статистической оценки, обеспечивающий эквивалентный уровень безопасности.</w:t>
      </w:r>
    </w:p>
    <w:p w:rsidR="005D45FA" w:rsidRPr="005D45FA" w:rsidRDefault="005C1757" w:rsidP="005D45FA">
      <w:pPr>
        <w:pStyle w:val="SingleTxt"/>
        <w:rPr>
          <w:lang w:bidi="ru-RU"/>
        </w:rPr>
      </w:pPr>
      <w:r>
        <w:rPr>
          <w:lang w:bidi="ru-RU"/>
        </w:rPr>
        <w:tab/>
      </w:r>
      <w:r w:rsidR="005D45FA" w:rsidRPr="005D45FA">
        <w:rPr>
          <w:lang w:bidi="ru-RU"/>
        </w:rPr>
        <w:t>Он должен быть основан на следующих элементах:</w:t>
      </w:r>
    </w:p>
    <w:p w:rsidR="005D45FA" w:rsidRPr="005D45FA" w:rsidRDefault="005D45FA" w:rsidP="00A90E47">
      <w:pPr>
        <w:pStyle w:val="SingleTxt"/>
        <w:ind w:left="2250" w:hanging="450"/>
        <w:rPr>
          <w:lang w:bidi="ru-RU"/>
        </w:rPr>
      </w:pPr>
      <w:r>
        <w:rPr>
          <w:lang w:bidi="ru-RU"/>
        </w:rPr>
        <w:t>–</w:t>
      </w:r>
      <w:r w:rsidRPr="005D45FA">
        <w:rPr>
          <w:lang w:bidi="ru-RU"/>
        </w:rPr>
        <w:t xml:space="preserve"> </w:t>
      </w:r>
      <w:r>
        <w:rPr>
          <w:lang w:bidi="ru-RU"/>
        </w:rPr>
        <w:tab/>
      </w:r>
      <w:r w:rsidRPr="005D45FA">
        <w:rPr>
          <w:lang w:bidi="ru-RU"/>
        </w:rPr>
        <w:t>случайная выборка из количественно определенной совокупности сосудов под давлением;</w:t>
      </w:r>
    </w:p>
    <w:p w:rsidR="005D45FA" w:rsidRPr="005D45FA" w:rsidRDefault="005D45FA" w:rsidP="00A90E47">
      <w:pPr>
        <w:pStyle w:val="SingleTxt"/>
        <w:ind w:left="2250" w:hanging="450"/>
        <w:rPr>
          <w:lang w:bidi="ru-RU"/>
        </w:rPr>
      </w:pPr>
      <w:r>
        <w:rPr>
          <w:lang w:bidi="ru-RU"/>
        </w:rPr>
        <w:t>–</w:t>
      </w:r>
      <w:r w:rsidRPr="005D45FA">
        <w:rPr>
          <w:lang w:bidi="ru-RU"/>
        </w:rPr>
        <w:t xml:space="preserve"> </w:t>
      </w:r>
      <w:r>
        <w:rPr>
          <w:lang w:bidi="ru-RU"/>
        </w:rPr>
        <w:tab/>
      </w:r>
      <w:r w:rsidRPr="005D45FA">
        <w:rPr>
          <w:lang w:bidi="ru-RU"/>
        </w:rPr>
        <w:t>процедура разрушающего испытания;</w:t>
      </w:r>
    </w:p>
    <w:p w:rsidR="005D45FA" w:rsidRPr="005D45FA" w:rsidRDefault="005D45FA" w:rsidP="00A90E47">
      <w:pPr>
        <w:pStyle w:val="SingleTxt"/>
        <w:ind w:left="2250" w:hanging="450"/>
        <w:rPr>
          <w:lang w:bidi="ru-RU"/>
        </w:rPr>
      </w:pPr>
      <w:r>
        <w:rPr>
          <w:lang w:bidi="ru-RU"/>
        </w:rPr>
        <w:t>–</w:t>
      </w:r>
      <w:r w:rsidRPr="005D45FA">
        <w:rPr>
          <w:lang w:bidi="ru-RU"/>
        </w:rPr>
        <w:t xml:space="preserve"> </w:t>
      </w:r>
      <w:r>
        <w:rPr>
          <w:lang w:bidi="ru-RU"/>
        </w:rPr>
        <w:tab/>
      </w:r>
      <w:r w:rsidRPr="005D45FA">
        <w:rPr>
          <w:lang w:bidi="ru-RU"/>
        </w:rPr>
        <w:t>процедура статистической оценки результатов испытаний.</w:t>
      </w:r>
    </w:p>
    <w:p w:rsidR="005D45FA" w:rsidRPr="005D45FA" w:rsidRDefault="005C1757" w:rsidP="005D45FA">
      <w:pPr>
        <w:pStyle w:val="SingleTxt"/>
        <w:rPr>
          <w:lang w:bidi="ru-RU"/>
        </w:rPr>
      </w:pPr>
      <w:r>
        <w:rPr>
          <w:lang w:bidi="ru-RU"/>
        </w:rPr>
        <w:tab/>
      </w:r>
      <w:r w:rsidR="005D45FA" w:rsidRPr="005D45FA">
        <w:rPr>
          <w:lang w:bidi="ru-RU"/>
        </w:rPr>
        <w:t>Должны быть соблюдены требования в отношении спецификации критериев отклонения, определения периодичности повторных испытаний, альтернативного метода испытаний, замещающего(их) метода(ов) инспекции и перечисленных ниже элементов.</w:t>
      </w:r>
    </w:p>
    <w:p w:rsidR="005D45FA" w:rsidRPr="005D45FA" w:rsidRDefault="005D45FA" w:rsidP="00A90E47">
      <w:pPr>
        <w:pStyle w:val="SingleTxt"/>
        <w:ind w:left="2218" w:hanging="951"/>
        <w:rPr>
          <w:lang w:bidi="ru-RU"/>
        </w:rPr>
      </w:pPr>
      <w:r>
        <w:rPr>
          <w:lang w:bidi="ru-RU"/>
        </w:rPr>
        <w:tab/>
      </w:r>
      <w:r w:rsidRPr="005D45FA">
        <w:rPr>
          <w:lang w:bidi="ru-RU"/>
        </w:rPr>
        <w:t xml:space="preserve">а) </w:t>
      </w:r>
      <w:r>
        <w:rPr>
          <w:lang w:bidi="ru-RU"/>
        </w:rPr>
        <w:tab/>
      </w:r>
      <w:r w:rsidRPr="005D45FA">
        <w:rPr>
          <w:lang w:bidi="ru-RU"/>
        </w:rPr>
        <w:t xml:space="preserve">Разделение совокупности на партии по типу конструкции для статистических целей </w:t>
      </w:r>
    </w:p>
    <w:p w:rsidR="005D45FA" w:rsidRPr="005D45FA" w:rsidRDefault="005C1757" w:rsidP="005D45FA">
      <w:pPr>
        <w:pStyle w:val="SingleTxt"/>
        <w:ind w:left="2218"/>
        <w:rPr>
          <w:lang w:bidi="ru-RU"/>
        </w:rPr>
      </w:pPr>
      <w:r>
        <w:rPr>
          <w:lang w:bidi="ru-RU"/>
        </w:rPr>
        <w:tab/>
      </w:r>
      <w:r w:rsidR="005D45FA" w:rsidRPr="005D45FA">
        <w:rPr>
          <w:lang w:bidi="ru-RU"/>
        </w:rPr>
        <w:t>Совокупность сосудов под давлением по типу конструкции, предлагаемую для статистической оценки, следует разделить на четко определенные партии. Каждая такая партия ограничена сосудами определенного года производства одного производителя этого типа конструкции, принадлежащими одной компании/эксплуатируемыми одной компанией. В случае внесения изменений в конструкцию, используемый для изготовления материал или процесс производства необходимо рассмотреть возможность определения новой партии. В</w:t>
      </w:r>
      <w:r w:rsidR="0040700D">
        <w:rPr>
          <w:lang w:val="en-US" w:bidi="ru-RU"/>
        </w:rPr>
        <w:t> </w:t>
      </w:r>
      <w:r w:rsidR="005D45FA" w:rsidRPr="005D45FA">
        <w:rPr>
          <w:lang w:bidi="ru-RU"/>
        </w:rPr>
        <w:t xml:space="preserve">отхождение от этого положения годовая партия может быть сформирована более чем для одного владельца/оператора при соблюдении следующих условий: </w:t>
      </w:r>
    </w:p>
    <w:p w:rsidR="005D45FA" w:rsidRPr="005D45FA" w:rsidRDefault="005C1757" w:rsidP="00CB65AD">
      <w:pPr>
        <w:pStyle w:val="SingleTxt"/>
        <w:ind w:left="2693" w:hanging="475"/>
        <w:rPr>
          <w:lang w:bidi="ru-RU"/>
        </w:rPr>
      </w:pPr>
      <w:r>
        <w:rPr>
          <w:lang w:bidi="ru-RU"/>
        </w:rPr>
        <w:t>–</w:t>
      </w:r>
      <w:r w:rsidR="005D45FA" w:rsidRPr="005D45FA">
        <w:rPr>
          <w:lang w:bidi="ru-RU"/>
        </w:rPr>
        <w:tab/>
        <w:t xml:space="preserve">зона обязанностей и ответственности должна быть определена в контракте; в этом контракте также указываются все заправочные пункты, </w:t>
      </w:r>
    </w:p>
    <w:p w:rsidR="005D45FA" w:rsidRPr="005D45FA" w:rsidRDefault="005C1757" w:rsidP="00CB65AD">
      <w:pPr>
        <w:pStyle w:val="SingleTxt"/>
        <w:ind w:left="2693" w:hanging="475"/>
        <w:rPr>
          <w:lang w:bidi="ru-RU"/>
        </w:rPr>
      </w:pPr>
      <w:r>
        <w:rPr>
          <w:lang w:bidi="ru-RU"/>
        </w:rPr>
        <w:t>–</w:t>
      </w:r>
      <w:r w:rsidR="005D45FA" w:rsidRPr="005D45FA">
        <w:rPr>
          <w:lang w:bidi="ru-RU"/>
        </w:rPr>
        <w:tab/>
        <w:t>заправочные пункты должны работать под контролем по крайней мере одного из владельцев или операторов,</w:t>
      </w:r>
    </w:p>
    <w:p w:rsidR="005D45FA" w:rsidRPr="005D45FA" w:rsidRDefault="005C1757" w:rsidP="00CB65AD">
      <w:pPr>
        <w:pStyle w:val="SingleTxt"/>
        <w:ind w:left="2693" w:hanging="475"/>
        <w:rPr>
          <w:lang w:bidi="ru-RU"/>
        </w:rPr>
      </w:pPr>
      <w:r>
        <w:rPr>
          <w:lang w:bidi="ru-RU"/>
        </w:rPr>
        <w:t>–</w:t>
      </w:r>
      <w:r w:rsidR="005D45FA" w:rsidRPr="005D45FA">
        <w:rPr>
          <w:lang w:bidi="ru-RU"/>
        </w:rPr>
        <w:tab/>
        <w:t xml:space="preserve">в случае перехода права собственности соответствующая совокупность должна быть передана новому владельцу вместе с конструкционной, производственной, эксплуатационной документацией и результатами проверок и ее полной базой данных. </w:t>
      </w:r>
    </w:p>
    <w:p w:rsidR="005D45FA" w:rsidRPr="005D45FA" w:rsidRDefault="00CB65AD" w:rsidP="005D45FA">
      <w:pPr>
        <w:pStyle w:val="SingleTxt"/>
        <w:rPr>
          <w:lang w:bidi="ru-RU"/>
        </w:rPr>
      </w:pPr>
      <w:r>
        <w:rPr>
          <w:lang w:bidi="ru-RU"/>
        </w:rPr>
        <w:tab/>
      </w:r>
      <w:r w:rsidR="005D45FA" w:rsidRPr="005D45FA">
        <w:rPr>
          <w:lang w:val="en-US" w:bidi="ru-RU"/>
        </w:rPr>
        <w:t>b</w:t>
      </w:r>
      <w:r w:rsidR="005D45FA" w:rsidRPr="005D45FA">
        <w:rPr>
          <w:lang w:bidi="ru-RU"/>
        </w:rPr>
        <w:t xml:space="preserve">) </w:t>
      </w:r>
      <w:r>
        <w:rPr>
          <w:lang w:bidi="ru-RU"/>
        </w:rPr>
        <w:tab/>
      </w:r>
      <w:r w:rsidR="005D45FA" w:rsidRPr="005D45FA">
        <w:rPr>
          <w:lang w:bidi="ru-RU"/>
        </w:rPr>
        <w:t>Отнесение к соответствующей партии</w:t>
      </w:r>
    </w:p>
    <w:p w:rsidR="0045271D" w:rsidRPr="0045271D" w:rsidRDefault="005D45FA" w:rsidP="0045271D">
      <w:pPr>
        <w:pStyle w:val="SingleTxt"/>
        <w:ind w:left="2218" w:firstLine="475"/>
        <w:rPr>
          <w:lang w:val="en-US" w:bidi="ru-RU"/>
        </w:rPr>
      </w:pPr>
      <w:r w:rsidRPr="005D45FA">
        <w:rPr>
          <w:lang w:bidi="ru-RU"/>
        </w:rPr>
        <w:t xml:space="preserve">Должны быть приняты меры для обеспечения возможности отнесения каждого сосуда под давлением к его группе совокупности и его партии. Владелец должен свести все соответствующие данные о заполнении, повторном испытании и техническом обслуживании, отнесении к группе совокупности, отбору и другие сведения в одну базу данных. Владелец должен обеспечить регулярное обновление данных. </w:t>
      </w:r>
    </w:p>
    <w:p w:rsidR="005D45FA" w:rsidRPr="005D45FA" w:rsidRDefault="005D45FA" w:rsidP="0045271D">
      <w:pPr>
        <w:pStyle w:val="SingleTxt"/>
        <w:pageBreakBefore/>
        <w:ind w:left="2218" w:firstLine="475"/>
        <w:rPr>
          <w:lang w:bidi="ru-RU"/>
        </w:rPr>
      </w:pPr>
      <w:r w:rsidRPr="005D45FA">
        <w:rPr>
          <w:lang w:bidi="ru-RU"/>
        </w:rPr>
        <w:lastRenderedPageBreak/>
        <w:t>Владелец должен предоставить доступ к этой базе данных. Все заправочные пункты и проверяющие органы должны иметь соответствующий доступ для проверки отдельных сосудов под давлением на предмет их отношения к отклоненным партиям совокупности. Полный набор данных должен быть предложен компетентному органу по запросу. Перед заправкой или периодическим осмотром сосудов под давлением система базы данных должна автоматически перепроверить данные соответствующей группы совокупности на предмет предстоящих действий. В случае отсутствия доступа к базе данных соответствующие сосуды под давлением не должны предлагаться для эксплуатации.</w:t>
      </w:r>
    </w:p>
    <w:p w:rsidR="005D45FA" w:rsidRPr="005D45FA" w:rsidRDefault="00CB65AD" w:rsidP="005D45FA">
      <w:pPr>
        <w:pStyle w:val="SingleTxt"/>
        <w:rPr>
          <w:lang w:bidi="ru-RU"/>
        </w:rPr>
      </w:pPr>
      <w:r>
        <w:rPr>
          <w:lang w:bidi="ru-RU"/>
        </w:rPr>
        <w:tab/>
      </w:r>
      <w:r w:rsidR="005D45FA" w:rsidRPr="005D45FA">
        <w:rPr>
          <w:lang w:bidi="ru-RU"/>
        </w:rPr>
        <w:t xml:space="preserve">с) </w:t>
      </w:r>
      <w:r>
        <w:rPr>
          <w:lang w:bidi="ru-RU"/>
        </w:rPr>
        <w:tab/>
      </w:r>
      <w:r w:rsidR="005D45FA" w:rsidRPr="005D45FA">
        <w:rPr>
          <w:lang w:bidi="ru-RU"/>
        </w:rPr>
        <w:t xml:space="preserve">Отбор для статистической оценки </w:t>
      </w:r>
    </w:p>
    <w:p w:rsidR="005D45FA" w:rsidRPr="005D45FA" w:rsidRDefault="005C1757" w:rsidP="00CB65AD">
      <w:pPr>
        <w:pStyle w:val="SingleTxt"/>
        <w:ind w:left="2218"/>
        <w:rPr>
          <w:lang w:bidi="ru-RU"/>
        </w:rPr>
      </w:pPr>
      <w:r>
        <w:rPr>
          <w:lang w:bidi="ru-RU"/>
        </w:rPr>
        <w:tab/>
      </w:r>
      <w:r w:rsidR="005D45FA" w:rsidRPr="005D45FA">
        <w:rPr>
          <w:lang w:bidi="ru-RU"/>
        </w:rPr>
        <w:t>Из каждой группы совокупности случайным образом отбирается установленное количество отдельных сосудов в партию для разрушающего испытания. Процедура отбора образцов должна обеспечивать, что такая партия является репрезентативной для своей группы совокупности, и должна быть представительной для каждого владельца. Должен быть определен минимальный размер партии.</w:t>
      </w:r>
    </w:p>
    <w:p w:rsidR="005D45FA" w:rsidRPr="005D45FA" w:rsidRDefault="00CB65AD" w:rsidP="005D45FA">
      <w:pPr>
        <w:pStyle w:val="SingleTxt"/>
        <w:rPr>
          <w:lang w:bidi="ru-RU"/>
        </w:rPr>
      </w:pPr>
      <w:r>
        <w:rPr>
          <w:lang w:bidi="ru-RU"/>
        </w:rPr>
        <w:tab/>
      </w:r>
      <w:r w:rsidR="005D45FA" w:rsidRPr="005D45FA">
        <w:rPr>
          <w:lang w:val="en-US" w:bidi="ru-RU"/>
        </w:rPr>
        <w:t>d</w:t>
      </w:r>
      <w:r w:rsidR="005D45FA" w:rsidRPr="005D45FA">
        <w:rPr>
          <w:lang w:bidi="ru-RU"/>
        </w:rPr>
        <w:t xml:space="preserve">) </w:t>
      </w:r>
      <w:r>
        <w:rPr>
          <w:lang w:bidi="ru-RU"/>
        </w:rPr>
        <w:tab/>
      </w:r>
      <w:r w:rsidR="005D45FA" w:rsidRPr="005D45FA">
        <w:rPr>
          <w:lang w:bidi="ru-RU"/>
        </w:rPr>
        <w:t xml:space="preserve">Метод разрушающего испытания </w:t>
      </w:r>
    </w:p>
    <w:p w:rsidR="005D45FA" w:rsidRPr="005D45FA" w:rsidRDefault="005C1757" w:rsidP="00CB65AD">
      <w:pPr>
        <w:pStyle w:val="SingleTxt"/>
        <w:ind w:left="2218"/>
        <w:rPr>
          <w:lang w:bidi="ru-RU"/>
        </w:rPr>
      </w:pPr>
      <w:r>
        <w:rPr>
          <w:lang w:bidi="ru-RU"/>
        </w:rPr>
        <w:tab/>
      </w:r>
      <w:r w:rsidR="005D45FA" w:rsidRPr="005D45FA">
        <w:rPr>
          <w:lang w:bidi="ru-RU"/>
        </w:rPr>
        <w:t>Должна (должны) быть четко определена(ы) процедура(ы) разрушающего испытания, с тем чтобы обеспечить высокую воспроизводимость условий испытания. Все результаты испытания должны быть проверены, собраны независимо от их значений и иметься в наличии в течение всего срока существования партии совокупности.</w:t>
      </w:r>
    </w:p>
    <w:p w:rsidR="005D45FA" w:rsidRPr="005D45FA" w:rsidRDefault="00CB65AD" w:rsidP="005D45FA">
      <w:pPr>
        <w:pStyle w:val="SingleTxt"/>
        <w:rPr>
          <w:lang w:bidi="ru-RU"/>
        </w:rPr>
      </w:pPr>
      <w:r>
        <w:rPr>
          <w:lang w:bidi="ru-RU"/>
        </w:rPr>
        <w:tab/>
      </w:r>
      <w:r w:rsidR="005D45FA" w:rsidRPr="005D45FA">
        <w:rPr>
          <w:lang w:val="en-US" w:bidi="ru-RU"/>
        </w:rPr>
        <w:t>e</w:t>
      </w:r>
      <w:r w:rsidR="005D45FA" w:rsidRPr="005D45FA">
        <w:rPr>
          <w:lang w:bidi="ru-RU"/>
        </w:rPr>
        <w:t>)</w:t>
      </w:r>
      <w:r w:rsidR="005D45FA" w:rsidRPr="005D45FA">
        <w:rPr>
          <w:lang w:bidi="ru-RU"/>
        </w:rPr>
        <w:tab/>
        <w:t xml:space="preserve">Статистическая оценка результатов испытаний </w:t>
      </w:r>
    </w:p>
    <w:p w:rsidR="005D45FA" w:rsidRPr="005D45FA" w:rsidRDefault="005C1757" w:rsidP="00CB65AD">
      <w:pPr>
        <w:pStyle w:val="SingleTxt"/>
        <w:ind w:left="2218"/>
        <w:rPr>
          <w:lang w:bidi="ru-RU"/>
        </w:rPr>
      </w:pPr>
      <w:r>
        <w:rPr>
          <w:lang w:bidi="ru-RU"/>
        </w:rPr>
        <w:tab/>
      </w:r>
      <w:r w:rsidR="005D45FA" w:rsidRPr="005D45FA">
        <w:rPr>
          <w:lang w:bidi="ru-RU"/>
        </w:rPr>
        <w:t xml:space="preserve">Процедура статистической оценки результатов испытаний должна быть изложена в ясной и понятной форме. Она должна предоставлять данные о требуемом уровне надежности, минимальном одностороннем доверительном пределе выборки и значении критериев отклонения для соответствующего испытания. Для определения желаемого уровня надежности должны быть рассмотрены потенциальные последствия эксплуатационного отказа по типу конструкции сосудов под давлением. Для соответствующей партии совокупности проводится оценка всех результатов разрушающих испытаний согласно подпункту е) и в любом случае применительно не менее чем к минимальному количеству сосудов под давлением, определенному в подпункте </w:t>
      </w:r>
      <w:r w:rsidR="005D45FA" w:rsidRPr="005D45FA">
        <w:rPr>
          <w:lang w:val="en-US" w:bidi="ru-RU"/>
        </w:rPr>
        <w:t>d</w:t>
      </w:r>
      <w:r w:rsidR="005D45FA" w:rsidRPr="005D45FA">
        <w:rPr>
          <w:lang w:bidi="ru-RU"/>
        </w:rPr>
        <w:t>) для отбора образцов.</w:t>
      </w:r>
    </w:p>
    <w:p w:rsidR="005D45FA" w:rsidRPr="005D45FA" w:rsidRDefault="00CB65AD" w:rsidP="005D45FA">
      <w:pPr>
        <w:pStyle w:val="SingleTxt"/>
        <w:rPr>
          <w:lang w:bidi="ru-RU"/>
        </w:rPr>
      </w:pPr>
      <w:r>
        <w:rPr>
          <w:lang w:bidi="ru-RU"/>
        </w:rPr>
        <w:tab/>
      </w:r>
      <w:r w:rsidR="005D45FA" w:rsidRPr="005D45FA">
        <w:rPr>
          <w:lang w:val="en-US" w:bidi="ru-RU"/>
        </w:rPr>
        <w:t>f</w:t>
      </w:r>
      <w:r w:rsidR="005D45FA" w:rsidRPr="005D45FA">
        <w:rPr>
          <w:lang w:bidi="ru-RU"/>
        </w:rPr>
        <w:t xml:space="preserve">) </w:t>
      </w:r>
      <w:r>
        <w:rPr>
          <w:lang w:bidi="ru-RU"/>
        </w:rPr>
        <w:tab/>
      </w:r>
      <w:r w:rsidR="005D45FA" w:rsidRPr="005D45FA">
        <w:rPr>
          <w:lang w:bidi="ru-RU"/>
        </w:rPr>
        <w:t>Меры в случае несоответствия требованиям</w:t>
      </w:r>
    </w:p>
    <w:p w:rsidR="005D45FA" w:rsidRPr="005D45FA" w:rsidRDefault="005C1757" w:rsidP="00CB65AD">
      <w:pPr>
        <w:pStyle w:val="SingleTxt"/>
        <w:ind w:left="2218"/>
        <w:rPr>
          <w:lang w:bidi="ru-RU"/>
        </w:rPr>
      </w:pPr>
      <w:r>
        <w:rPr>
          <w:lang w:bidi="ru-RU"/>
        </w:rPr>
        <w:tab/>
      </w:r>
      <w:r w:rsidR="005D45FA" w:rsidRPr="005D45FA">
        <w:rPr>
          <w:lang w:bidi="ru-RU"/>
        </w:rPr>
        <w:t>Если статистическая оценка результатов испытаний по группе совокупности свидетельствует о недостаточности свойств, то соответствующая партия совокупности не должна предъявляться для наполнения или использования и должна быть изъята из эксплуатации.</w:t>
      </w:r>
    </w:p>
    <w:p w:rsidR="005D45FA" w:rsidRPr="005D45FA" w:rsidRDefault="005C1757" w:rsidP="00CB65AD">
      <w:pPr>
        <w:pStyle w:val="SingleTxt"/>
        <w:ind w:left="2218"/>
        <w:rPr>
          <w:lang w:bidi="ru-RU"/>
        </w:rPr>
      </w:pPr>
      <w:r>
        <w:rPr>
          <w:lang w:bidi="ru-RU"/>
        </w:rPr>
        <w:tab/>
      </w:r>
      <w:r w:rsidR="005D45FA" w:rsidRPr="005D45FA">
        <w:rPr>
          <w:lang w:bidi="ru-RU"/>
        </w:rPr>
        <w:t xml:space="preserve">Кроме того, может быть проведен технический анализ причин несоответствия. Если в отношении Х </w:t>
      </w:r>
      <w:r w:rsidR="005D45FA" w:rsidRPr="005D45FA">
        <w:rPr>
          <w:lang w:val="en-US" w:bidi="ru-RU"/>
        </w:rPr>
        <w:t>a</w:t>
      </w:r>
      <w:r w:rsidR="005D45FA" w:rsidRPr="005D45FA">
        <w:rPr>
          <w:lang w:bidi="ru-RU"/>
        </w:rPr>
        <w:t xml:space="preserve">), согласно пункту 6.2.3.6.1, может быть показано, что четко определенные части партии совокупности не подвержены влиянию под воздействием обнаруженной причины применительно к статистическим требованиям, то компетентный орган или его представитель может </w:t>
      </w:r>
      <w:r w:rsidR="005D45FA" w:rsidRPr="005D45FA">
        <w:rPr>
          <w:lang w:bidi="ru-RU"/>
        </w:rPr>
        <w:lastRenderedPageBreak/>
        <w:t xml:space="preserve">разрешить дальнейшее использование незатронутых частей партии совокупности. </w:t>
      </w:r>
    </w:p>
    <w:p w:rsidR="005D45FA" w:rsidRPr="005D45FA" w:rsidRDefault="00CB65AD" w:rsidP="005D45FA">
      <w:pPr>
        <w:pStyle w:val="SingleTxt"/>
        <w:rPr>
          <w:lang w:bidi="ru-RU"/>
        </w:rPr>
      </w:pPr>
      <w:r>
        <w:rPr>
          <w:lang w:bidi="ru-RU"/>
        </w:rPr>
        <w:tab/>
      </w:r>
      <w:r w:rsidR="005D45FA" w:rsidRPr="005D45FA">
        <w:rPr>
          <w:lang w:val="en-US" w:bidi="ru-RU"/>
        </w:rPr>
        <w:t>g</w:t>
      </w:r>
      <w:r w:rsidR="005D45FA" w:rsidRPr="005D45FA">
        <w:rPr>
          <w:lang w:bidi="ru-RU"/>
        </w:rPr>
        <w:t>)</w:t>
      </w:r>
      <w:r w:rsidR="005D45FA" w:rsidRPr="005D45FA">
        <w:rPr>
          <w:lang w:bidi="ru-RU"/>
        </w:rPr>
        <w:tab/>
        <w:t>Заправочный пункт</w:t>
      </w:r>
    </w:p>
    <w:p w:rsidR="005D45FA" w:rsidRPr="005D45FA" w:rsidRDefault="005C1757" w:rsidP="00CB65AD">
      <w:pPr>
        <w:pStyle w:val="SingleTxt"/>
        <w:ind w:left="2218"/>
        <w:rPr>
          <w:lang w:bidi="ru-RU"/>
        </w:rPr>
      </w:pPr>
      <w:r>
        <w:rPr>
          <w:lang w:bidi="ru-RU"/>
        </w:rPr>
        <w:tab/>
      </w:r>
      <w:r w:rsidR="005D45FA" w:rsidRPr="005D45FA">
        <w:rPr>
          <w:lang w:bidi="ru-RU"/>
        </w:rPr>
        <w:t>На заправочных пунктах, на которых производится заполнение сосудов под давлением согласно пункту 6.2.3.5.3, должна применяться документированная система качества с целью гарантировать выполнение и надлежащее применение все положений пункта 7 инструкции по упаковке Р200 и требований и обязанностей, изложенных в описании альтернативного метода повторной проверки, в зависимости от обстоятельств. Система качества, соответствующая стандартам серии</w:t>
      </w:r>
      <w:r>
        <w:rPr>
          <w:lang w:bidi="ru-RU"/>
        </w:rPr>
        <w:t> </w:t>
      </w:r>
      <w:r w:rsidR="005D45FA" w:rsidRPr="005D45FA">
        <w:rPr>
          <w:lang w:val="en-US" w:bidi="ru-RU"/>
        </w:rPr>
        <w:t>ISO</w:t>
      </w:r>
      <w:r>
        <w:rPr>
          <w:lang w:bidi="ru-RU"/>
        </w:rPr>
        <w:t> </w:t>
      </w:r>
      <w:r w:rsidR="005D45FA" w:rsidRPr="005D45FA">
        <w:rPr>
          <w:lang w:bidi="ru-RU"/>
        </w:rPr>
        <w:t>9000 или эквивалентным стандартам, должна быть сертифицирована аккредитованным независимым органом, признанным компетентным органом.</w:t>
      </w:r>
    </w:p>
    <w:p w:rsidR="005D45FA" w:rsidRPr="005D45FA" w:rsidRDefault="00CB65AD" w:rsidP="005D45FA">
      <w:pPr>
        <w:pStyle w:val="SingleTxt"/>
        <w:rPr>
          <w:lang w:bidi="ru-RU"/>
        </w:rPr>
      </w:pPr>
      <w:r>
        <w:rPr>
          <w:lang w:bidi="ru-RU"/>
        </w:rPr>
        <w:tab/>
      </w:r>
      <w:r w:rsidR="005D45FA" w:rsidRPr="005D45FA">
        <w:rPr>
          <w:lang w:val="en-US" w:bidi="ru-RU"/>
        </w:rPr>
        <w:t>h</w:t>
      </w:r>
      <w:r w:rsidR="005D45FA" w:rsidRPr="005D45FA">
        <w:rPr>
          <w:lang w:bidi="ru-RU"/>
        </w:rPr>
        <w:t>)</w:t>
      </w:r>
      <w:r w:rsidR="005D45FA" w:rsidRPr="005D45FA">
        <w:rPr>
          <w:lang w:bidi="ru-RU"/>
        </w:rPr>
        <w:tab/>
        <w:t>Оценка метода</w:t>
      </w:r>
    </w:p>
    <w:p w:rsidR="005D45FA" w:rsidRPr="005D45FA" w:rsidRDefault="005C1757" w:rsidP="00CB65AD">
      <w:pPr>
        <w:pStyle w:val="SingleTxt"/>
        <w:ind w:left="2218"/>
        <w:rPr>
          <w:lang w:bidi="ru-RU"/>
        </w:rPr>
      </w:pPr>
      <w:r>
        <w:rPr>
          <w:lang w:bidi="ru-RU"/>
        </w:rPr>
        <w:tab/>
      </w:r>
      <w:r w:rsidR="005D45FA" w:rsidRPr="005D45FA">
        <w:rPr>
          <w:lang w:bidi="ru-RU"/>
        </w:rPr>
        <w:t>Уровень безопасности этого альтернативного статистического метода должен быть подтвержден независимым учреждением, сотрудники которого имеют опыт в области статистики и сосудов под давлением. Такое экспертное заключение должно содержать оценку функции распределения и принимать во внимание возможные изменения, вызванные ухудшением эксплуатационных характеристик.</w:t>
      </w:r>
    </w:p>
    <w:p w:rsidR="005D45FA" w:rsidRPr="005D45FA" w:rsidRDefault="005C1757" w:rsidP="00CB65AD">
      <w:pPr>
        <w:pStyle w:val="SingleTxt"/>
        <w:ind w:left="2218"/>
        <w:rPr>
          <w:lang w:bidi="ru-RU"/>
        </w:rPr>
      </w:pPr>
      <w:r>
        <w:rPr>
          <w:lang w:bidi="ru-RU"/>
        </w:rPr>
        <w:tab/>
      </w:r>
      <w:r w:rsidR="005D45FA" w:rsidRPr="005D45FA">
        <w:rPr>
          <w:lang w:bidi="ru-RU"/>
        </w:rPr>
        <w:t>Альтернативный статистический метод должен обеспечивать уровень безопасности не ниже того, который достигается при использовании заменяемого метода повторной проверки</w:t>
      </w:r>
      <w:r w:rsidR="00CB65AD">
        <w:rPr>
          <w:lang w:bidi="ru-RU"/>
        </w:rPr>
        <w:t>»</w:t>
      </w:r>
      <w:r w:rsidR="005D45FA" w:rsidRPr="005D45FA">
        <w:rPr>
          <w:lang w:bidi="ru-RU"/>
        </w:rPr>
        <w:t>.</w:t>
      </w:r>
    </w:p>
    <w:p w:rsidR="00CB65AD" w:rsidRPr="00CB65AD" w:rsidRDefault="00CB65AD" w:rsidP="00CB65AD">
      <w:pPr>
        <w:pStyle w:val="SingleTxt"/>
        <w:spacing w:after="0" w:line="120" w:lineRule="exact"/>
        <w:rPr>
          <w:b/>
          <w:sz w:val="10"/>
          <w:lang w:bidi="ru-RU"/>
        </w:rPr>
      </w:pPr>
    </w:p>
    <w:p w:rsidR="00CB65AD" w:rsidRPr="00CB65AD" w:rsidRDefault="00CB65AD" w:rsidP="00CB65AD">
      <w:pPr>
        <w:pStyle w:val="SingleTxt"/>
        <w:spacing w:after="0" w:line="120" w:lineRule="exact"/>
        <w:rPr>
          <w:b/>
          <w:sz w:val="10"/>
          <w:lang w:bidi="ru-RU"/>
        </w:rPr>
      </w:pPr>
    </w:p>
    <w:p w:rsidR="005D45FA" w:rsidRPr="005D45FA" w:rsidRDefault="005D45FA" w:rsidP="00CB65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5D45FA">
        <w:rPr>
          <w:lang w:bidi="ru-RU"/>
        </w:rPr>
        <w:tab/>
      </w:r>
      <w:r w:rsidRPr="005D45FA">
        <w:rPr>
          <w:lang w:bidi="ru-RU"/>
        </w:rPr>
        <w:tab/>
        <w:t>Введение к предложению 2</w:t>
      </w:r>
    </w:p>
    <w:p w:rsidR="00CB65AD" w:rsidRPr="00CB65AD" w:rsidRDefault="00CB65AD" w:rsidP="00CB65AD">
      <w:pPr>
        <w:pStyle w:val="SingleTxt"/>
        <w:spacing w:after="0" w:line="120" w:lineRule="exact"/>
        <w:rPr>
          <w:sz w:val="10"/>
          <w:lang w:bidi="ru-RU"/>
        </w:rPr>
      </w:pPr>
    </w:p>
    <w:p w:rsidR="00CB65AD" w:rsidRPr="00CB65AD" w:rsidRDefault="00CB65AD" w:rsidP="00CB65AD">
      <w:pPr>
        <w:pStyle w:val="SingleTxt"/>
        <w:spacing w:after="0" w:line="120" w:lineRule="exact"/>
        <w:rPr>
          <w:sz w:val="10"/>
          <w:lang w:bidi="ru-RU"/>
        </w:rPr>
      </w:pPr>
    </w:p>
    <w:p w:rsidR="005D45FA" w:rsidRPr="005D45FA" w:rsidRDefault="005D45FA" w:rsidP="005D45FA">
      <w:pPr>
        <w:pStyle w:val="SingleTxt"/>
        <w:rPr>
          <w:lang w:bidi="ru-RU"/>
        </w:rPr>
      </w:pPr>
      <w:r w:rsidRPr="005D45FA">
        <w:rPr>
          <w:lang w:bidi="ru-RU"/>
        </w:rPr>
        <w:t>15.</w:t>
      </w:r>
      <w:r w:rsidRPr="005D45FA">
        <w:rPr>
          <w:lang w:bidi="ru-RU"/>
        </w:rPr>
        <w:tab/>
        <w:t>Предлагаемый метод, который изложен в предложении 2, разрабатывался поэтапно на основе проводившегося в течение 17 лет сбора информации об опыте эксплуатации одного имеющегося в настоящее время на рынке БФЗК.</w:t>
      </w:r>
    </w:p>
    <w:p w:rsidR="005D45FA" w:rsidRPr="005D45FA" w:rsidRDefault="005D45FA" w:rsidP="005D45FA">
      <w:pPr>
        <w:pStyle w:val="SingleTxt"/>
        <w:rPr>
          <w:lang w:bidi="ru-RU"/>
        </w:rPr>
      </w:pPr>
      <w:r w:rsidRPr="005D45FA">
        <w:rPr>
          <w:lang w:bidi="ru-RU"/>
        </w:rPr>
        <w:t>16.</w:t>
      </w:r>
      <w:r w:rsidRPr="005D45FA">
        <w:rPr>
          <w:lang w:bidi="ru-RU"/>
        </w:rPr>
        <w:tab/>
        <w:t xml:space="preserve">В этом примере разрушающие испытания проводились после </w:t>
      </w:r>
      <w:r w:rsidR="0040700D">
        <w:rPr>
          <w:lang w:bidi="ru-RU"/>
        </w:rPr>
        <w:t>трех</w:t>
      </w:r>
      <w:r w:rsidRPr="005D45FA">
        <w:rPr>
          <w:lang w:bidi="ru-RU"/>
        </w:rPr>
        <w:t xml:space="preserve"> лет эксплуатации, а затем каждые </w:t>
      </w:r>
      <w:r w:rsidR="0040700D">
        <w:rPr>
          <w:lang w:bidi="ru-RU"/>
        </w:rPr>
        <w:t>пять</w:t>
      </w:r>
      <w:r w:rsidRPr="005D45FA">
        <w:rPr>
          <w:lang w:bidi="ru-RU"/>
        </w:rPr>
        <w:t xml:space="preserve"> лет. На сегодняшний день такие испытания прошли более 17</w:t>
      </w:r>
      <w:r w:rsidR="0040700D">
        <w:rPr>
          <w:lang w:bidi="ru-RU"/>
        </w:rPr>
        <w:t xml:space="preserve"> </w:t>
      </w:r>
      <w:r w:rsidRPr="005D45FA">
        <w:rPr>
          <w:lang w:bidi="ru-RU"/>
        </w:rPr>
        <w:t>000 БФЗК.</w:t>
      </w:r>
    </w:p>
    <w:p w:rsidR="005D45FA" w:rsidRPr="005D45FA" w:rsidRDefault="00CB65AD" w:rsidP="00CB65AD">
      <w:pPr>
        <w:pStyle w:val="SingleTxt"/>
        <w:ind w:left="2218" w:hanging="476"/>
        <w:rPr>
          <w:lang w:bidi="ru-RU"/>
        </w:rPr>
      </w:pPr>
      <w:r>
        <w:rPr>
          <w:lang w:bidi="ru-RU"/>
        </w:rPr>
        <w:t>–</w:t>
      </w:r>
      <w:r w:rsidR="005D45FA" w:rsidRPr="005D45FA">
        <w:rPr>
          <w:lang w:bidi="ru-RU"/>
        </w:rPr>
        <w:t xml:space="preserve"> </w:t>
      </w:r>
      <w:r>
        <w:rPr>
          <w:lang w:bidi="ru-RU"/>
        </w:rPr>
        <w:tab/>
      </w:r>
      <w:r w:rsidR="005D45FA" w:rsidRPr="005D45FA">
        <w:rPr>
          <w:lang w:bidi="ru-RU"/>
        </w:rPr>
        <w:t xml:space="preserve">Имеющиеся в данный момент результаты разрушающих испытаний на адгезию и отслоение значительно превышают минимальные требования. Это свидетельствует о том, что формованный защитный кожух в течение определенного времени сохраняет свои защитные свойства (по отношению к внешний коррозии, воздействию, каплям). </w:t>
      </w:r>
    </w:p>
    <w:p w:rsidR="005D45FA" w:rsidRPr="005D45FA" w:rsidRDefault="00CB65AD" w:rsidP="00CB65AD">
      <w:pPr>
        <w:pStyle w:val="SingleTxt"/>
        <w:ind w:left="2218" w:hanging="476"/>
        <w:rPr>
          <w:lang w:bidi="ru-RU"/>
        </w:rPr>
      </w:pPr>
      <w:r>
        <w:rPr>
          <w:lang w:bidi="ru-RU"/>
        </w:rPr>
        <w:t>–</w:t>
      </w:r>
      <w:r w:rsidR="005D45FA" w:rsidRPr="005D45FA">
        <w:rPr>
          <w:lang w:bidi="ru-RU"/>
        </w:rPr>
        <w:t xml:space="preserve"> </w:t>
      </w:r>
      <w:r>
        <w:rPr>
          <w:lang w:bidi="ru-RU"/>
        </w:rPr>
        <w:tab/>
      </w:r>
      <w:r w:rsidR="005D45FA" w:rsidRPr="005D45FA">
        <w:rPr>
          <w:lang w:bidi="ru-RU"/>
        </w:rPr>
        <w:t>Имеющиеся в данный момент результаты разрушающих испытаний на разрыв (давление разрыва, объемное расширение) превышают минимальные требования. Это свидетельствует о том, что баллоны с формованным защитным кожухом в течение определенного времени сохраняют свои механические свойства.</w:t>
      </w:r>
    </w:p>
    <w:p w:rsidR="005D45FA" w:rsidRPr="005D45FA" w:rsidRDefault="005D45FA" w:rsidP="005D45FA">
      <w:pPr>
        <w:pStyle w:val="SingleTxt"/>
        <w:rPr>
          <w:lang w:bidi="ru-RU"/>
        </w:rPr>
      </w:pPr>
      <w:r w:rsidRPr="005D45FA">
        <w:rPr>
          <w:lang w:bidi="ru-RU"/>
        </w:rPr>
        <w:t>17.</w:t>
      </w:r>
      <w:r w:rsidRPr="005D45FA">
        <w:rPr>
          <w:lang w:bidi="ru-RU"/>
        </w:rPr>
        <w:tab/>
        <w:t>Данные минимальные требования были определены в несколько этапов:</w:t>
      </w:r>
    </w:p>
    <w:p w:rsidR="005D45FA" w:rsidRPr="005D45FA" w:rsidRDefault="00CB65AD" w:rsidP="00CB65AD">
      <w:pPr>
        <w:pStyle w:val="SingleTxt"/>
        <w:ind w:left="2218" w:hanging="476"/>
        <w:rPr>
          <w:lang w:bidi="ru-RU"/>
        </w:rPr>
      </w:pPr>
      <w:r>
        <w:rPr>
          <w:lang w:bidi="ru-RU"/>
        </w:rPr>
        <w:t>–</w:t>
      </w:r>
      <w:r w:rsidR="005D45FA" w:rsidRPr="005D45FA">
        <w:rPr>
          <w:lang w:bidi="ru-RU"/>
        </w:rPr>
        <w:t xml:space="preserve"> </w:t>
      </w:r>
      <w:r>
        <w:rPr>
          <w:lang w:bidi="ru-RU"/>
        </w:rPr>
        <w:tab/>
      </w:r>
      <w:r w:rsidR="005D45FA" w:rsidRPr="005D45FA">
        <w:rPr>
          <w:lang w:bidi="ru-RU"/>
        </w:rPr>
        <w:t>Сначала были проведены различные предварительные исследования последствий дефектов (коррозия, утечка, сцепление...) с участием специально подобранных независимых экспертов, признанных французским органом.</w:t>
      </w:r>
    </w:p>
    <w:p w:rsidR="005D45FA" w:rsidRPr="005D45FA" w:rsidRDefault="00CB65AD" w:rsidP="0045271D">
      <w:pPr>
        <w:pStyle w:val="SingleTxt"/>
        <w:pageBreakBefore/>
        <w:ind w:left="2217" w:hanging="475"/>
        <w:rPr>
          <w:lang w:bidi="ru-RU"/>
        </w:rPr>
      </w:pPr>
      <w:r>
        <w:rPr>
          <w:lang w:bidi="ru-RU"/>
        </w:rPr>
        <w:lastRenderedPageBreak/>
        <w:t>–</w:t>
      </w:r>
      <w:r w:rsidR="005D45FA" w:rsidRPr="005D45FA">
        <w:rPr>
          <w:lang w:bidi="ru-RU"/>
        </w:rPr>
        <w:t xml:space="preserve"> </w:t>
      </w:r>
      <w:r>
        <w:rPr>
          <w:lang w:bidi="ru-RU"/>
        </w:rPr>
        <w:tab/>
      </w:r>
      <w:r w:rsidR="005D45FA" w:rsidRPr="005D45FA">
        <w:rPr>
          <w:lang w:bidi="ru-RU"/>
        </w:rPr>
        <w:t>В их основу были положены результаты проводившихся на протяжении более чем 40 лет регулярных ежегодных испытаний на разрыв традиционных стальных баллонов (13 кг), выполняемых для статистической оценки механических свойств таких баллонов во времени, в соответствии с проводимой раз в 15 лет периодической проверкой, предусмотренной на тот момент французским органом.</w:t>
      </w:r>
    </w:p>
    <w:p w:rsidR="005D45FA" w:rsidRDefault="005D45FA" w:rsidP="005D45FA">
      <w:pPr>
        <w:pStyle w:val="SingleTxt"/>
        <w:rPr>
          <w:lang w:bidi="ru-RU"/>
        </w:rPr>
      </w:pPr>
      <w:r w:rsidRPr="005D45FA">
        <w:rPr>
          <w:lang w:bidi="ru-RU"/>
        </w:rPr>
        <w:t>18.</w:t>
      </w:r>
      <w:r w:rsidRPr="005D45FA">
        <w:rPr>
          <w:lang w:bidi="ru-RU"/>
        </w:rPr>
        <w:tab/>
        <w:t>Такие минимальные технические требования в настоящее время включаются в соответствующие стандарты на проектирование и изготовление, а также в соответствующие стандарты периодической проверки, которая предусматривается для целей поддержания уровня безопасности этих баллонов с формованным защитным кожухом.</w:t>
      </w:r>
    </w:p>
    <w:p w:rsidR="00CB65AD" w:rsidRPr="00CB65AD" w:rsidRDefault="00CB65AD" w:rsidP="00CB65AD">
      <w:pPr>
        <w:pStyle w:val="SingleTxt"/>
        <w:spacing w:after="0" w:line="120" w:lineRule="exact"/>
        <w:rPr>
          <w:sz w:val="10"/>
          <w:lang w:bidi="ru-RU"/>
        </w:rPr>
      </w:pPr>
    </w:p>
    <w:p w:rsidR="00CB65AD" w:rsidRPr="00CB65AD" w:rsidRDefault="00CB65AD" w:rsidP="00CB65AD">
      <w:pPr>
        <w:pStyle w:val="SingleTxt"/>
        <w:spacing w:after="0" w:line="120" w:lineRule="exact"/>
        <w:rPr>
          <w:sz w:val="10"/>
          <w:lang w:bidi="ru-RU"/>
        </w:rPr>
      </w:pPr>
    </w:p>
    <w:p w:rsidR="005D45FA" w:rsidRPr="005D45FA" w:rsidRDefault="005D45FA" w:rsidP="00CB65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5D45FA">
        <w:rPr>
          <w:lang w:bidi="ru-RU"/>
        </w:rPr>
        <w:tab/>
      </w:r>
      <w:r w:rsidRPr="005D45FA">
        <w:rPr>
          <w:lang w:bidi="ru-RU"/>
        </w:rPr>
        <w:tab/>
        <w:t xml:space="preserve">Предложение 2 </w:t>
      </w:r>
      <w:r w:rsidR="0040700D">
        <w:rPr>
          <w:lang w:bidi="ru-RU"/>
        </w:rPr>
        <w:t>–</w:t>
      </w:r>
      <w:r w:rsidRPr="005D45FA">
        <w:rPr>
          <w:lang w:bidi="ru-RU"/>
        </w:rPr>
        <w:t xml:space="preserve"> Специальные положения, касающиеся БФЗК</w:t>
      </w:r>
    </w:p>
    <w:p w:rsidR="00CB65AD" w:rsidRPr="00CB65AD" w:rsidRDefault="00CB65AD" w:rsidP="00CB65AD">
      <w:pPr>
        <w:pStyle w:val="SingleTxt"/>
        <w:spacing w:after="0" w:line="120" w:lineRule="exact"/>
        <w:rPr>
          <w:sz w:val="10"/>
          <w:lang w:bidi="ru-RU"/>
        </w:rPr>
      </w:pPr>
    </w:p>
    <w:p w:rsidR="00CB65AD" w:rsidRPr="00CB65AD" w:rsidRDefault="00CB65AD" w:rsidP="00CB65AD">
      <w:pPr>
        <w:pStyle w:val="SingleTxt"/>
        <w:spacing w:after="0" w:line="120" w:lineRule="exact"/>
        <w:rPr>
          <w:sz w:val="10"/>
          <w:lang w:bidi="ru-RU"/>
        </w:rPr>
      </w:pPr>
    </w:p>
    <w:p w:rsidR="005D45FA" w:rsidRPr="005D45FA" w:rsidRDefault="005D45FA" w:rsidP="005D45FA">
      <w:pPr>
        <w:pStyle w:val="SingleTxt"/>
        <w:rPr>
          <w:lang w:bidi="ru-RU"/>
        </w:rPr>
      </w:pPr>
      <w:r w:rsidRPr="005D45FA">
        <w:rPr>
          <w:lang w:bidi="ru-RU"/>
        </w:rPr>
        <w:t>19.</w:t>
      </w:r>
      <w:r w:rsidRPr="005D45FA">
        <w:rPr>
          <w:lang w:bidi="ru-RU"/>
        </w:rPr>
        <w:tab/>
        <w:t>Добавить в раздел 1.2.1 следующее определение:</w:t>
      </w:r>
    </w:p>
    <w:p w:rsidR="005D45FA" w:rsidRPr="005D45FA" w:rsidRDefault="00CB65AD" w:rsidP="005D45FA">
      <w:pPr>
        <w:pStyle w:val="SingleTxt"/>
        <w:rPr>
          <w:lang w:bidi="ru-RU"/>
        </w:rPr>
      </w:pPr>
      <w:r>
        <w:rPr>
          <w:lang w:bidi="ru-RU"/>
        </w:rPr>
        <w:t>«</w:t>
      </w:r>
      <w:r w:rsidR="005D45FA" w:rsidRPr="005D45FA">
        <w:rPr>
          <w:i/>
          <w:lang w:bidi="ru-RU"/>
        </w:rPr>
        <w:t>Баллон с формованным кожухом</w:t>
      </w:r>
      <w:r w:rsidR="005D45FA" w:rsidRPr="005D45FA">
        <w:rPr>
          <w:lang w:bidi="ru-RU"/>
        </w:rPr>
        <w:t xml:space="preserve"> означает баллон, предназначенный для перевозки СНГ, вместимостью по воде не более 13 л, состоящий из стального внутреннего баллона с покрытием и формованным защитным кожухом из пористой пластмассы, который невозможно снять и который связан с внешней поверхностью стенки стального баллона</w:t>
      </w:r>
      <w:r>
        <w:rPr>
          <w:lang w:bidi="ru-RU"/>
        </w:rPr>
        <w:t>»</w:t>
      </w:r>
      <w:r w:rsidR="005D45FA" w:rsidRPr="005D45FA">
        <w:rPr>
          <w:lang w:bidi="ru-RU"/>
        </w:rPr>
        <w:t>.</w:t>
      </w:r>
    </w:p>
    <w:p w:rsidR="005D45FA" w:rsidRPr="005D45FA" w:rsidRDefault="005D45FA" w:rsidP="005D45FA">
      <w:pPr>
        <w:pStyle w:val="SingleTxt"/>
        <w:rPr>
          <w:lang w:bidi="ru-RU"/>
        </w:rPr>
      </w:pPr>
      <w:r w:rsidRPr="005D45FA">
        <w:rPr>
          <w:lang w:bidi="ru-RU"/>
        </w:rPr>
        <w:t>20.</w:t>
      </w:r>
      <w:r w:rsidRPr="005D45FA">
        <w:rPr>
          <w:lang w:bidi="ru-RU"/>
        </w:rPr>
        <w:tab/>
        <w:t xml:space="preserve">Включить </w:t>
      </w:r>
      <w:r w:rsidR="005C1757">
        <w:rPr>
          <w:lang w:bidi="ru-RU"/>
        </w:rPr>
        <w:t>«</w:t>
      </w:r>
      <w:r w:rsidRPr="005D45FA">
        <w:rPr>
          <w:lang w:bidi="ru-RU"/>
        </w:rPr>
        <w:t>6</w:t>
      </w:r>
      <w:r w:rsidRPr="005D45FA">
        <w:rPr>
          <w:lang w:val="en-US" w:bidi="ru-RU"/>
        </w:rPr>
        <w:t>XY</w:t>
      </w:r>
      <w:r w:rsidR="005C1757">
        <w:rPr>
          <w:lang w:bidi="ru-RU"/>
        </w:rPr>
        <w:t>»</w:t>
      </w:r>
      <w:r w:rsidRPr="005D45FA">
        <w:rPr>
          <w:lang w:bidi="ru-RU"/>
        </w:rPr>
        <w:t xml:space="preserve"> в колонку 6 Перечня опасных грузов в позиции для №</w:t>
      </w:r>
      <w:r w:rsidRPr="005D45FA">
        <w:rPr>
          <w:lang w:val="en-US" w:bidi="ru-RU"/>
        </w:rPr>
        <w:t> </w:t>
      </w:r>
      <w:r w:rsidRPr="005D45FA">
        <w:rPr>
          <w:lang w:bidi="ru-RU"/>
        </w:rPr>
        <w:t>ООН 1011, 1075, 1965, 1969 и 1978.</w:t>
      </w:r>
    </w:p>
    <w:p w:rsidR="005D45FA" w:rsidRPr="005D45FA" w:rsidRDefault="005D45FA" w:rsidP="005D45FA">
      <w:pPr>
        <w:pStyle w:val="SingleTxt"/>
        <w:rPr>
          <w:lang w:bidi="ru-RU"/>
        </w:rPr>
      </w:pPr>
      <w:r w:rsidRPr="005D45FA">
        <w:rPr>
          <w:lang w:bidi="ru-RU"/>
        </w:rPr>
        <w:t>21.</w:t>
      </w:r>
      <w:r w:rsidRPr="005D45FA">
        <w:rPr>
          <w:lang w:bidi="ru-RU"/>
        </w:rPr>
        <w:tab/>
        <w:t>Добавить следующую спецификацию, касающуюся периодической проверки баллонов с формованным защитным кожухом, в новый подраздел 6.2.3.5.4:</w:t>
      </w:r>
    </w:p>
    <w:p w:rsidR="005D45FA" w:rsidRPr="005D45FA" w:rsidRDefault="00CB65AD" w:rsidP="005D45FA">
      <w:pPr>
        <w:pStyle w:val="SingleTxt"/>
        <w:rPr>
          <w:lang w:bidi="ru-RU"/>
        </w:rPr>
      </w:pPr>
      <w:r>
        <w:rPr>
          <w:lang w:bidi="ru-RU"/>
        </w:rPr>
        <w:t>«</w:t>
      </w:r>
      <w:r w:rsidR="005D45FA" w:rsidRPr="005D45FA">
        <w:rPr>
          <w:lang w:bidi="ru-RU"/>
        </w:rPr>
        <w:t xml:space="preserve">6.2.3.5.4 </w:t>
      </w:r>
      <w:r w:rsidR="00C74A37">
        <w:rPr>
          <w:lang w:bidi="ru-RU"/>
        </w:rPr>
        <w:tab/>
      </w:r>
      <w:r w:rsidR="005D45FA" w:rsidRPr="005D45FA">
        <w:rPr>
          <w:lang w:bidi="ru-RU"/>
        </w:rPr>
        <w:t>Баллоны с формованным защитным кожухом подлежат периодической проверке и испытаниям в соответствии со специальным положением 6</w:t>
      </w:r>
      <w:r w:rsidR="005D45FA" w:rsidRPr="005D45FA">
        <w:rPr>
          <w:lang w:val="en-US" w:bidi="ru-RU"/>
        </w:rPr>
        <w:t>XY</w:t>
      </w:r>
      <w:r w:rsidR="005D45FA" w:rsidRPr="005D45FA">
        <w:rPr>
          <w:lang w:bidi="ru-RU"/>
        </w:rPr>
        <w:t xml:space="preserve"> главы</w:t>
      </w:r>
      <w:r w:rsidR="005C1757">
        <w:rPr>
          <w:lang w:bidi="ru-RU"/>
        </w:rPr>
        <w:t> </w:t>
      </w:r>
      <w:r w:rsidR="005D45FA" w:rsidRPr="005D45FA">
        <w:rPr>
          <w:lang w:bidi="ru-RU"/>
        </w:rPr>
        <w:t>3.3</w:t>
      </w:r>
      <w:r>
        <w:rPr>
          <w:lang w:bidi="ru-RU"/>
        </w:rPr>
        <w:t>»</w:t>
      </w:r>
      <w:r w:rsidR="005D45FA" w:rsidRPr="005D45FA">
        <w:rPr>
          <w:lang w:bidi="ru-RU"/>
        </w:rPr>
        <w:t>.</w:t>
      </w:r>
    </w:p>
    <w:p w:rsidR="005D45FA" w:rsidRPr="005D45FA" w:rsidRDefault="005D45FA" w:rsidP="005D45FA">
      <w:pPr>
        <w:pStyle w:val="SingleTxt"/>
        <w:rPr>
          <w:lang w:bidi="ru-RU"/>
        </w:rPr>
      </w:pPr>
      <w:r w:rsidRPr="005D45FA">
        <w:rPr>
          <w:lang w:bidi="ru-RU"/>
        </w:rPr>
        <w:t>22.</w:t>
      </w:r>
      <w:r w:rsidRPr="005D45FA">
        <w:rPr>
          <w:lang w:bidi="ru-RU"/>
        </w:rPr>
        <w:tab/>
        <w:t>Включить в раздел 3.3.1 следующее специальное положение:</w:t>
      </w:r>
    </w:p>
    <w:p w:rsidR="005D45FA" w:rsidRPr="005D45FA" w:rsidRDefault="00CB65AD" w:rsidP="00C74A37">
      <w:pPr>
        <w:pStyle w:val="SingleTxt"/>
        <w:tabs>
          <w:tab w:val="left" w:pos="1980"/>
        </w:tabs>
        <w:rPr>
          <w:lang w:bidi="ru-RU"/>
        </w:rPr>
      </w:pPr>
      <w:r>
        <w:rPr>
          <w:lang w:bidi="ru-RU"/>
        </w:rPr>
        <w:t>«</w:t>
      </w:r>
      <w:r w:rsidR="005D45FA" w:rsidRPr="005D45FA">
        <w:rPr>
          <w:lang w:bidi="ru-RU"/>
        </w:rPr>
        <w:t>6</w:t>
      </w:r>
      <w:r w:rsidR="005D45FA" w:rsidRPr="005D45FA">
        <w:rPr>
          <w:lang w:val="en-US" w:bidi="ru-RU"/>
        </w:rPr>
        <w:t>XY</w:t>
      </w:r>
      <w:r w:rsidR="005D45FA" w:rsidRPr="005D45FA">
        <w:rPr>
          <w:lang w:bidi="ru-RU"/>
        </w:rPr>
        <w:t xml:space="preserve"> </w:t>
      </w:r>
      <w:r w:rsidR="00C74A37">
        <w:rPr>
          <w:lang w:bidi="ru-RU"/>
        </w:rPr>
        <w:tab/>
      </w:r>
      <w:r w:rsidR="005D45FA" w:rsidRPr="005D45FA">
        <w:rPr>
          <w:lang w:bidi="ru-RU"/>
        </w:rPr>
        <w:t>Данная позиция применяется к периодической проверке баллонов с формованным кожухом в</w:t>
      </w:r>
      <w:r w:rsidR="005D45FA" w:rsidRPr="005D45FA">
        <w:rPr>
          <w:lang w:val="en-US" w:bidi="ru-RU"/>
        </w:rPr>
        <w:t> </w:t>
      </w:r>
      <w:r w:rsidR="005D45FA" w:rsidRPr="005D45FA">
        <w:rPr>
          <w:lang w:bidi="ru-RU"/>
        </w:rPr>
        <w:t>соответствии с определением, приведенным в разделе</w:t>
      </w:r>
      <w:r w:rsidR="005C1757">
        <w:rPr>
          <w:lang w:bidi="ru-RU"/>
        </w:rPr>
        <w:t> </w:t>
      </w:r>
      <w:r w:rsidR="005D45FA" w:rsidRPr="005D45FA">
        <w:rPr>
          <w:lang w:bidi="ru-RU"/>
        </w:rPr>
        <w:t>1.2.1</w:t>
      </w:r>
      <w:r w:rsidR="005C1757">
        <w:rPr>
          <w:lang w:bidi="ru-RU"/>
        </w:rPr>
        <w:t>»</w:t>
      </w:r>
      <w:r w:rsidR="005D45FA" w:rsidRPr="005D45FA">
        <w:rPr>
          <w:lang w:bidi="ru-RU"/>
        </w:rPr>
        <w:t>.</w:t>
      </w:r>
    </w:p>
    <w:p w:rsidR="005D45FA" w:rsidRPr="005D45FA" w:rsidRDefault="005C1757" w:rsidP="00C74A37">
      <w:pPr>
        <w:pStyle w:val="SingleTxt"/>
        <w:rPr>
          <w:lang w:bidi="ru-RU"/>
        </w:rPr>
      </w:pPr>
      <w:r>
        <w:rPr>
          <w:lang w:bidi="ru-RU"/>
        </w:rPr>
        <w:tab/>
      </w:r>
      <w:r w:rsidR="005D45FA" w:rsidRPr="005D45FA">
        <w:rPr>
          <w:lang w:bidi="ru-RU"/>
        </w:rPr>
        <w:t>Баллоны с формованным защитным кожухом подлежат периодической проверке в соответствии с альтернативным способом, описанным ниже, при соблюдении всех требований настоящего специального положения.</w:t>
      </w:r>
    </w:p>
    <w:p w:rsidR="005D45FA" w:rsidRPr="00CB65AD" w:rsidRDefault="005D45FA" w:rsidP="005D45FA">
      <w:pPr>
        <w:pStyle w:val="SingleTxt"/>
        <w:rPr>
          <w:i/>
          <w:lang w:bidi="ru-RU"/>
        </w:rPr>
      </w:pPr>
      <w:r w:rsidRPr="00CB65AD">
        <w:rPr>
          <w:i/>
          <w:lang w:bidi="ru-RU"/>
        </w:rPr>
        <w:t>Альтернативный метод:</w:t>
      </w:r>
    </w:p>
    <w:p w:rsidR="005D45FA" w:rsidRPr="005D45FA" w:rsidRDefault="00CB65AD" w:rsidP="00CB65AD">
      <w:pPr>
        <w:pStyle w:val="SingleTxt"/>
        <w:ind w:left="1742" w:hanging="475"/>
        <w:rPr>
          <w:lang w:bidi="ru-RU"/>
        </w:rPr>
      </w:pPr>
      <w:r>
        <w:rPr>
          <w:lang w:bidi="ru-RU"/>
        </w:rPr>
        <w:t>–</w:t>
      </w:r>
      <w:r w:rsidR="005D45FA" w:rsidRPr="005D45FA">
        <w:rPr>
          <w:lang w:bidi="ru-RU"/>
        </w:rPr>
        <w:tab/>
        <w:t xml:space="preserve">Для каждого баллона с формованным защитным кожухом должны быть соблюдены требования, изложенные в подпунктах </w:t>
      </w:r>
      <w:r w:rsidR="005D45FA" w:rsidRPr="005D45FA">
        <w:rPr>
          <w:lang w:val="en-US" w:bidi="ru-RU"/>
        </w:rPr>
        <w:t>b</w:t>
      </w:r>
      <w:r w:rsidR="005D45FA" w:rsidRPr="005D45FA">
        <w:rPr>
          <w:lang w:bidi="ru-RU"/>
        </w:rPr>
        <w:t xml:space="preserve">), </w:t>
      </w:r>
      <w:r w:rsidR="005D45FA" w:rsidRPr="005D45FA">
        <w:rPr>
          <w:lang w:val="en-US" w:bidi="ru-RU"/>
        </w:rPr>
        <w:t>c</w:t>
      </w:r>
      <w:r w:rsidR="005D45FA" w:rsidRPr="005D45FA">
        <w:rPr>
          <w:lang w:bidi="ru-RU"/>
        </w:rPr>
        <w:t xml:space="preserve">) и </w:t>
      </w:r>
      <w:r w:rsidR="005D45FA" w:rsidRPr="005D45FA">
        <w:rPr>
          <w:lang w:val="en-US" w:bidi="ru-RU"/>
        </w:rPr>
        <w:t>e</w:t>
      </w:r>
      <w:r w:rsidR="005D45FA" w:rsidRPr="005D45FA">
        <w:rPr>
          <w:lang w:bidi="ru-RU"/>
        </w:rPr>
        <w:t>) пункта 6.2.1.6.1.</w:t>
      </w:r>
    </w:p>
    <w:p w:rsidR="005D45FA" w:rsidRPr="005D45FA" w:rsidRDefault="00CB65AD" w:rsidP="00CB65AD">
      <w:pPr>
        <w:pStyle w:val="SingleTxt"/>
        <w:ind w:left="1742" w:hanging="475"/>
        <w:rPr>
          <w:lang w:bidi="ru-RU"/>
        </w:rPr>
      </w:pPr>
      <w:r>
        <w:rPr>
          <w:lang w:bidi="ru-RU"/>
        </w:rPr>
        <w:t>–</w:t>
      </w:r>
      <w:r w:rsidR="005D45FA" w:rsidRPr="005D45FA">
        <w:rPr>
          <w:lang w:bidi="ru-RU"/>
        </w:rPr>
        <w:tab/>
        <w:t xml:space="preserve">Испытания, предусмотренные подпунктами </w:t>
      </w:r>
      <w:r w:rsidR="005D45FA" w:rsidRPr="005D45FA">
        <w:rPr>
          <w:lang w:val="en-US" w:bidi="ru-RU"/>
        </w:rPr>
        <w:t>a</w:t>
      </w:r>
      <w:r w:rsidR="005D45FA" w:rsidRPr="005D45FA">
        <w:rPr>
          <w:lang w:bidi="ru-RU"/>
        </w:rPr>
        <w:t xml:space="preserve">) и </w:t>
      </w:r>
      <w:r w:rsidR="005D45FA" w:rsidRPr="005D45FA">
        <w:rPr>
          <w:lang w:val="en-US" w:bidi="ru-RU"/>
        </w:rPr>
        <w:t>d</w:t>
      </w:r>
      <w:r w:rsidR="005D45FA" w:rsidRPr="005D45FA">
        <w:rPr>
          <w:lang w:bidi="ru-RU"/>
        </w:rPr>
        <w:t>) пункта 6.2.1.6.1, должны быть соответственно заменены разрушающими испытаниями, описанными в подпункте е).</w:t>
      </w:r>
    </w:p>
    <w:p w:rsidR="005D45FA" w:rsidRPr="005D45FA" w:rsidRDefault="00CB65AD" w:rsidP="005D45FA">
      <w:pPr>
        <w:pStyle w:val="SingleTxt"/>
        <w:rPr>
          <w:lang w:bidi="ru-RU"/>
        </w:rPr>
      </w:pPr>
      <w:r>
        <w:rPr>
          <w:lang w:bidi="ru-RU"/>
        </w:rPr>
        <w:tab/>
      </w:r>
      <w:r w:rsidR="005D45FA" w:rsidRPr="005D45FA">
        <w:rPr>
          <w:lang w:bidi="ru-RU"/>
        </w:rPr>
        <w:t xml:space="preserve">а) </w:t>
      </w:r>
      <w:r>
        <w:rPr>
          <w:lang w:bidi="ru-RU"/>
        </w:rPr>
        <w:tab/>
      </w:r>
      <w:r w:rsidR="005D45FA" w:rsidRPr="005D45FA">
        <w:rPr>
          <w:lang w:bidi="ru-RU"/>
        </w:rPr>
        <w:t>Общие положения</w:t>
      </w:r>
    </w:p>
    <w:p w:rsidR="005D45FA" w:rsidRPr="005D45FA" w:rsidRDefault="005C1757" w:rsidP="00CB65AD">
      <w:pPr>
        <w:pStyle w:val="SingleTxt"/>
        <w:ind w:left="2218"/>
        <w:rPr>
          <w:lang w:bidi="ru-RU"/>
        </w:rPr>
      </w:pPr>
      <w:r>
        <w:rPr>
          <w:lang w:bidi="ru-RU"/>
        </w:rPr>
        <w:tab/>
      </w:r>
      <w:r w:rsidR="005D45FA" w:rsidRPr="005D45FA">
        <w:rPr>
          <w:lang w:bidi="ru-RU"/>
        </w:rPr>
        <w:t>Баллоны с формованным кожухом должны производиться серийно на основе стальных баллонов в соответствии с требованиями стандарта</w:t>
      </w:r>
      <w:r w:rsidR="00F94BA8">
        <w:rPr>
          <w:lang w:bidi="ru-RU"/>
        </w:rPr>
        <w:t> </w:t>
      </w:r>
      <w:r w:rsidR="005D45FA" w:rsidRPr="005D45FA">
        <w:rPr>
          <w:lang w:val="en-US" w:bidi="ru-RU"/>
        </w:rPr>
        <w:t>prEN</w:t>
      </w:r>
      <w:r w:rsidR="00EF34BA">
        <w:rPr>
          <w:lang w:bidi="ru-RU"/>
        </w:rPr>
        <w:t xml:space="preserve"> </w:t>
      </w:r>
      <w:r w:rsidR="005D45FA" w:rsidRPr="005D45FA">
        <w:rPr>
          <w:lang w:bidi="ru-RU"/>
        </w:rPr>
        <w:t xml:space="preserve">1442:2014, стандарта </w:t>
      </w:r>
      <w:r w:rsidR="005D45FA" w:rsidRPr="005D45FA">
        <w:rPr>
          <w:lang w:val="en-US" w:bidi="ru-RU"/>
        </w:rPr>
        <w:t>EN</w:t>
      </w:r>
      <w:r w:rsidR="00EF34BA">
        <w:rPr>
          <w:lang w:bidi="ru-RU"/>
        </w:rPr>
        <w:t xml:space="preserve"> </w:t>
      </w:r>
      <w:r w:rsidR="005D45FA" w:rsidRPr="005D45FA">
        <w:rPr>
          <w:lang w:bidi="ru-RU"/>
        </w:rPr>
        <w:t xml:space="preserve">14140:2015 или частей 1−3 </w:t>
      </w:r>
      <w:r w:rsidR="005D45FA" w:rsidRPr="005D45FA">
        <w:rPr>
          <w:lang w:bidi="ru-RU"/>
        </w:rPr>
        <w:lastRenderedPageBreak/>
        <w:t>прило</w:t>
      </w:r>
      <w:r w:rsidR="00C74A37">
        <w:rPr>
          <w:lang w:bidi="ru-RU"/>
        </w:rPr>
        <w:t>-</w:t>
      </w:r>
      <w:r w:rsidR="00C74A37">
        <w:rPr>
          <w:lang w:bidi="ru-RU"/>
        </w:rPr>
        <w:br/>
      </w:r>
      <w:r w:rsidR="00C74A37">
        <w:rPr>
          <w:lang w:bidi="ru-RU"/>
        </w:rPr>
        <w:br w:type="page"/>
      </w:r>
      <w:r w:rsidR="005D45FA" w:rsidRPr="005D45FA">
        <w:rPr>
          <w:lang w:bidi="ru-RU"/>
        </w:rPr>
        <w:lastRenderedPageBreak/>
        <w:t xml:space="preserve">жения </w:t>
      </w:r>
      <w:r w:rsidR="005D45FA" w:rsidRPr="005D45FA">
        <w:rPr>
          <w:lang w:val="en-US" w:bidi="ru-RU"/>
        </w:rPr>
        <w:t>I</w:t>
      </w:r>
      <w:r w:rsidR="005D45FA" w:rsidRPr="005D45FA">
        <w:rPr>
          <w:lang w:bidi="ru-RU"/>
        </w:rPr>
        <w:t xml:space="preserve"> к директиве 84/527/</w:t>
      </w:r>
      <w:r w:rsidR="005D45FA" w:rsidRPr="005D45FA">
        <w:rPr>
          <w:lang w:val="en-US" w:bidi="ru-RU"/>
        </w:rPr>
        <w:t>EEC</w:t>
      </w:r>
      <w:r w:rsidR="005D45FA" w:rsidRPr="005D45FA">
        <w:rPr>
          <w:lang w:bidi="ru-RU"/>
        </w:rPr>
        <w:t xml:space="preserve"> Совета. Конструкция формованного кожуха должна предотвращать попадание воды на внутренний стальной баллон. Преобразование базового стального баллона в баллон с формованным кожухом должно соответствовать соответствующим требованиям стандартов </w:t>
      </w:r>
      <w:r w:rsidR="005D45FA" w:rsidRPr="005D45FA">
        <w:rPr>
          <w:lang w:val="en-US" w:bidi="ru-RU"/>
        </w:rPr>
        <w:t>prEN</w:t>
      </w:r>
      <w:r w:rsidR="00EF34BA">
        <w:rPr>
          <w:lang w:bidi="ru-RU"/>
        </w:rPr>
        <w:t xml:space="preserve"> </w:t>
      </w:r>
      <w:r w:rsidR="005D45FA" w:rsidRPr="005D45FA">
        <w:rPr>
          <w:lang w:bidi="ru-RU"/>
        </w:rPr>
        <w:t xml:space="preserve">1442:2014 и </w:t>
      </w:r>
      <w:r w:rsidR="005D45FA" w:rsidRPr="005D45FA">
        <w:rPr>
          <w:lang w:val="en-US" w:bidi="ru-RU"/>
        </w:rPr>
        <w:t>EN</w:t>
      </w:r>
      <w:r w:rsidR="00EF34BA">
        <w:rPr>
          <w:lang w:bidi="ru-RU"/>
        </w:rPr>
        <w:t xml:space="preserve"> </w:t>
      </w:r>
      <w:r w:rsidR="005D45FA" w:rsidRPr="005D45FA">
        <w:rPr>
          <w:lang w:bidi="ru-RU"/>
        </w:rPr>
        <w:t>14140:2015.</w:t>
      </w:r>
    </w:p>
    <w:p w:rsidR="005D45FA" w:rsidRPr="005D45FA" w:rsidRDefault="005C1757" w:rsidP="00CB65AD">
      <w:pPr>
        <w:pStyle w:val="SingleTxt"/>
        <w:ind w:left="2218"/>
        <w:rPr>
          <w:lang w:bidi="ru-RU"/>
        </w:rPr>
      </w:pPr>
      <w:r>
        <w:rPr>
          <w:lang w:bidi="ru-RU"/>
        </w:rPr>
        <w:tab/>
      </w:r>
      <w:r w:rsidR="005D45FA" w:rsidRPr="005D45FA">
        <w:rPr>
          <w:lang w:bidi="ru-RU"/>
        </w:rPr>
        <w:t>Баллоны с формованным защитным кожухом должны быть оборудованы самозапирающимися клапанами.</w:t>
      </w:r>
    </w:p>
    <w:p w:rsidR="005D45FA" w:rsidRPr="005D45FA" w:rsidRDefault="005C1757" w:rsidP="00CB65AD">
      <w:pPr>
        <w:pStyle w:val="SingleTxt"/>
        <w:ind w:left="2218"/>
        <w:rPr>
          <w:lang w:bidi="ru-RU"/>
        </w:rPr>
      </w:pPr>
      <w:r>
        <w:rPr>
          <w:lang w:bidi="ru-RU"/>
        </w:rPr>
        <w:tab/>
      </w:r>
      <w:r w:rsidR="005D45FA" w:rsidRPr="005D45FA">
        <w:rPr>
          <w:lang w:bidi="ru-RU"/>
        </w:rPr>
        <w:t xml:space="preserve">Перед заполнением каждый баллон с формованным защитным кожухом должен быть представлен для предваряющей заполнение визуальной проверки внешнего состояния компетентным оператором. Если в ходе такой проверки устанавливается, что внешняя поверхность баллона с формованным кожухом содержит выдолбы, засечки или трещины материала, которые могут снизить степень защиты от коррозии внутреннего стального сосуда под давлением в соответствии с предписаниями приложения </w:t>
      </w:r>
      <w:r w:rsidR="005D45FA" w:rsidRPr="005D45FA">
        <w:rPr>
          <w:lang w:val="en-US" w:bidi="ru-RU"/>
        </w:rPr>
        <w:t>G</w:t>
      </w:r>
      <w:r w:rsidR="005D45FA" w:rsidRPr="005D45FA">
        <w:rPr>
          <w:lang w:bidi="ru-RU"/>
        </w:rPr>
        <w:t xml:space="preserve"> к стандарту </w:t>
      </w:r>
      <w:r w:rsidR="005D45FA" w:rsidRPr="005D45FA">
        <w:rPr>
          <w:lang w:val="en-US" w:bidi="ru-RU"/>
        </w:rPr>
        <w:t>EN</w:t>
      </w:r>
      <w:r w:rsidR="00EF34BA">
        <w:rPr>
          <w:lang w:bidi="ru-RU"/>
        </w:rPr>
        <w:t xml:space="preserve"> </w:t>
      </w:r>
      <w:r w:rsidR="005D45FA" w:rsidRPr="005D45FA">
        <w:rPr>
          <w:lang w:bidi="ru-RU"/>
        </w:rPr>
        <w:t>1439:2008, баллон с формованным кожухом не допускается к использованию.</w:t>
      </w:r>
    </w:p>
    <w:p w:rsidR="005D45FA" w:rsidRPr="005D45FA" w:rsidRDefault="00F94BA8" w:rsidP="005D45FA">
      <w:pPr>
        <w:pStyle w:val="SingleTxt"/>
        <w:rPr>
          <w:lang w:bidi="ru-RU"/>
        </w:rPr>
      </w:pPr>
      <w:r>
        <w:rPr>
          <w:lang w:bidi="ru-RU"/>
        </w:rPr>
        <w:tab/>
      </w:r>
      <w:r w:rsidR="005D45FA" w:rsidRPr="005D45FA">
        <w:rPr>
          <w:lang w:val="en-US" w:bidi="ru-RU"/>
        </w:rPr>
        <w:t>b</w:t>
      </w:r>
      <w:r w:rsidR="005D45FA" w:rsidRPr="005D45FA">
        <w:rPr>
          <w:lang w:bidi="ru-RU"/>
        </w:rPr>
        <w:t>)</w:t>
      </w:r>
      <w:r w:rsidR="005D45FA" w:rsidRPr="005D45FA">
        <w:rPr>
          <w:lang w:bidi="ru-RU"/>
        </w:rPr>
        <w:tab/>
        <w:t>Отнесение к соответствующей партии для статистических целей</w:t>
      </w:r>
    </w:p>
    <w:p w:rsidR="005D45FA" w:rsidRPr="005D45FA" w:rsidRDefault="005C1757" w:rsidP="00F94BA8">
      <w:pPr>
        <w:pStyle w:val="SingleTxt"/>
        <w:ind w:left="2218"/>
        <w:rPr>
          <w:lang w:bidi="ru-RU"/>
        </w:rPr>
      </w:pPr>
      <w:r>
        <w:rPr>
          <w:lang w:bidi="ru-RU"/>
        </w:rPr>
        <w:tab/>
      </w:r>
      <w:r w:rsidR="005D45FA" w:rsidRPr="005D45FA">
        <w:rPr>
          <w:lang w:bidi="ru-RU"/>
        </w:rPr>
        <w:t>Под партией баллонов с формованным кожухом понимаются баллоны, изготовленные одной формовочной компанией с использованием внутренних сосудов, изготовленных одним изготовителем в течение одного календарного года. Такие баллоны должны иметь одну и ту же конструкцию, быть изготовлены из одного и того же материала в рамках одного и того же производственного процесса.</w:t>
      </w:r>
    </w:p>
    <w:p w:rsidR="005D45FA" w:rsidRPr="005D45FA" w:rsidRDefault="00F94BA8" w:rsidP="005D45FA">
      <w:pPr>
        <w:pStyle w:val="SingleTxt"/>
        <w:rPr>
          <w:lang w:bidi="ru-RU"/>
        </w:rPr>
      </w:pPr>
      <w:r>
        <w:rPr>
          <w:lang w:bidi="ru-RU"/>
        </w:rPr>
        <w:tab/>
      </w:r>
      <w:r w:rsidR="005D45FA" w:rsidRPr="005D45FA">
        <w:rPr>
          <w:lang w:val="en-US" w:bidi="ru-RU"/>
        </w:rPr>
        <w:t>c</w:t>
      </w:r>
      <w:r w:rsidR="005D45FA" w:rsidRPr="005D45FA">
        <w:rPr>
          <w:lang w:bidi="ru-RU"/>
        </w:rPr>
        <w:t>)</w:t>
      </w:r>
      <w:r w:rsidR="005D45FA" w:rsidRPr="005D45FA">
        <w:rPr>
          <w:lang w:bidi="ru-RU"/>
        </w:rPr>
        <w:tab/>
        <w:t>Отслеживание</w:t>
      </w:r>
    </w:p>
    <w:p w:rsidR="005D45FA" w:rsidRPr="005D45FA" w:rsidRDefault="005C1757" w:rsidP="00F94BA8">
      <w:pPr>
        <w:pStyle w:val="SingleTxt"/>
        <w:ind w:left="2218"/>
        <w:rPr>
          <w:lang w:bidi="ru-RU"/>
        </w:rPr>
      </w:pPr>
      <w:r>
        <w:rPr>
          <w:lang w:bidi="ru-RU"/>
        </w:rPr>
        <w:tab/>
      </w:r>
      <w:r w:rsidR="005D45FA" w:rsidRPr="005D45FA">
        <w:rPr>
          <w:lang w:bidi="ru-RU"/>
        </w:rPr>
        <w:t>Маркировка внутренних стальных баллонов, наносимая согласно пункту 6.2.3.9, должна быть воспроизведена на формованном кожухе. Кроме того, каждый баллон с формованным защитным кожухом должен быть снабжен индивидуальным устойчивым к воздействию электронным устройством идентификации. Точные технические характеристики баллонов с формованным защитным кожухом регистрируются в электронной базе данных. Такая база данных должна давать возможность:</w:t>
      </w:r>
    </w:p>
    <w:p w:rsidR="005D45FA" w:rsidRPr="005D45FA" w:rsidRDefault="00F94BA8" w:rsidP="00F94BA8">
      <w:pPr>
        <w:pStyle w:val="SingleTxt"/>
        <w:ind w:left="2693" w:hanging="475"/>
        <w:rPr>
          <w:lang w:bidi="ru-RU"/>
        </w:rPr>
      </w:pPr>
      <w:r>
        <w:rPr>
          <w:lang w:bidi="ru-RU"/>
        </w:rPr>
        <w:t>–</w:t>
      </w:r>
      <w:r w:rsidR="005D45FA" w:rsidRPr="005D45FA">
        <w:rPr>
          <w:lang w:bidi="ru-RU"/>
        </w:rPr>
        <w:t xml:space="preserve"> </w:t>
      </w:r>
      <w:r>
        <w:rPr>
          <w:lang w:bidi="ru-RU"/>
        </w:rPr>
        <w:tab/>
      </w:r>
      <w:r w:rsidR="005D45FA" w:rsidRPr="005D45FA">
        <w:rPr>
          <w:lang w:bidi="ru-RU"/>
        </w:rPr>
        <w:t>компетентным органам, проверяющим органам и заправочным пунктам получать информацию о конкретных технических характеристиках баллонов (включая четкое указание партии стальных баллонов и партии формованных защитных кожухов, а также дату установления таких кожухов);</w:t>
      </w:r>
    </w:p>
    <w:p w:rsidR="005D45FA" w:rsidRPr="005D45FA" w:rsidRDefault="00F94BA8" w:rsidP="00F94BA8">
      <w:pPr>
        <w:pStyle w:val="SingleTxt"/>
        <w:ind w:left="2693" w:hanging="475"/>
        <w:rPr>
          <w:lang w:bidi="ru-RU"/>
        </w:rPr>
      </w:pPr>
      <w:r>
        <w:rPr>
          <w:lang w:bidi="ru-RU"/>
        </w:rPr>
        <w:t>–</w:t>
      </w:r>
      <w:r w:rsidR="005D45FA" w:rsidRPr="005D45FA">
        <w:rPr>
          <w:lang w:bidi="ru-RU"/>
        </w:rPr>
        <w:t xml:space="preserve"> </w:t>
      </w:r>
      <w:r>
        <w:rPr>
          <w:lang w:bidi="ru-RU"/>
        </w:rPr>
        <w:tab/>
      </w:r>
      <w:r w:rsidR="005D45FA" w:rsidRPr="005D45FA">
        <w:rPr>
          <w:lang w:bidi="ru-RU"/>
        </w:rPr>
        <w:t>идентифицировать баллоны по серийному номеру с использованием электронного устройства в базе данных;</w:t>
      </w:r>
    </w:p>
    <w:p w:rsidR="005D45FA" w:rsidRPr="005D45FA" w:rsidRDefault="00F94BA8" w:rsidP="00F94BA8">
      <w:pPr>
        <w:pStyle w:val="SingleTxt"/>
        <w:ind w:left="2693" w:hanging="475"/>
        <w:rPr>
          <w:lang w:bidi="ru-RU"/>
        </w:rPr>
      </w:pPr>
      <w:r>
        <w:rPr>
          <w:lang w:bidi="ru-RU"/>
        </w:rPr>
        <w:t>–</w:t>
      </w:r>
      <w:r w:rsidR="005D45FA" w:rsidRPr="005D45FA">
        <w:rPr>
          <w:lang w:bidi="ru-RU"/>
        </w:rPr>
        <w:t xml:space="preserve"> </w:t>
      </w:r>
      <w:r>
        <w:rPr>
          <w:lang w:bidi="ru-RU"/>
        </w:rPr>
        <w:tab/>
      </w:r>
      <w:r w:rsidR="005D45FA" w:rsidRPr="005D45FA">
        <w:rPr>
          <w:lang w:bidi="ru-RU"/>
        </w:rPr>
        <w:t>проверять проделанные в прошлом и будущие манипуляции (заполнение, повторное испытание, изъятие, отбор образцов и др.);</w:t>
      </w:r>
    </w:p>
    <w:p w:rsidR="005D45FA" w:rsidRPr="005D45FA" w:rsidRDefault="00F94BA8" w:rsidP="00F94BA8">
      <w:pPr>
        <w:pStyle w:val="SingleTxt"/>
        <w:ind w:left="2693" w:hanging="475"/>
        <w:rPr>
          <w:lang w:bidi="ru-RU"/>
        </w:rPr>
      </w:pPr>
      <w:r>
        <w:rPr>
          <w:lang w:bidi="ru-RU"/>
        </w:rPr>
        <w:t>–</w:t>
      </w:r>
      <w:r w:rsidR="005D45FA" w:rsidRPr="005D45FA">
        <w:rPr>
          <w:lang w:bidi="ru-RU"/>
        </w:rPr>
        <w:t xml:space="preserve"> </w:t>
      </w:r>
      <w:r>
        <w:rPr>
          <w:lang w:bidi="ru-RU"/>
        </w:rPr>
        <w:tab/>
      </w:r>
      <w:r w:rsidR="005D45FA" w:rsidRPr="005D45FA">
        <w:rPr>
          <w:lang w:bidi="ru-RU"/>
        </w:rPr>
        <w:t>регистрировать дату и место проделанных манипуляций.</w:t>
      </w:r>
    </w:p>
    <w:p w:rsidR="005D45FA" w:rsidRPr="005D45FA" w:rsidRDefault="005C1757" w:rsidP="00F94BA8">
      <w:pPr>
        <w:pStyle w:val="SingleTxt"/>
        <w:ind w:left="2218"/>
        <w:rPr>
          <w:lang w:bidi="ru-RU"/>
        </w:rPr>
      </w:pPr>
      <w:r>
        <w:rPr>
          <w:lang w:bidi="ru-RU"/>
        </w:rPr>
        <w:tab/>
      </w:r>
      <w:r w:rsidR="005D45FA" w:rsidRPr="005D45FA">
        <w:rPr>
          <w:lang w:bidi="ru-RU"/>
        </w:rPr>
        <w:t>Результаты испытаний регистрируются и хранятся владельцем баллонов с формованным кожухом в течение всего срока службы данной партии.</w:t>
      </w:r>
    </w:p>
    <w:p w:rsidR="005D45FA" w:rsidRPr="00F94BA8" w:rsidRDefault="00F94BA8" w:rsidP="00A90E47">
      <w:pPr>
        <w:pStyle w:val="SingleTxt"/>
        <w:pageBreakBefore/>
        <w:rPr>
          <w:lang w:bidi="ru-RU"/>
        </w:rPr>
      </w:pPr>
      <w:r>
        <w:rPr>
          <w:lang w:bidi="ru-RU"/>
        </w:rPr>
        <w:lastRenderedPageBreak/>
        <w:tab/>
        <w:t>d)</w:t>
      </w:r>
      <w:r>
        <w:rPr>
          <w:lang w:bidi="ru-RU"/>
        </w:rPr>
        <w:tab/>
      </w:r>
      <w:r w:rsidR="005D45FA" w:rsidRPr="00F94BA8">
        <w:rPr>
          <w:lang w:bidi="ru-RU"/>
        </w:rPr>
        <w:t>Отбор образцов для статистической оценки</w:t>
      </w:r>
    </w:p>
    <w:p w:rsidR="005D45FA" w:rsidRPr="005D45FA" w:rsidRDefault="005C1757" w:rsidP="00F94BA8">
      <w:pPr>
        <w:pStyle w:val="SingleTxt"/>
        <w:ind w:left="2218"/>
        <w:rPr>
          <w:lang w:bidi="ru-RU"/>
        </w:rPr>
      </w:pPr>
      <w:r>
        <w:rPr>
          <w:lang w:bidi="ru-RU"/>
        </w:rPr>
        <w:tab/>
      </w:r>
      <w:r w:rsidR="005D45FA" w:rsidRPr="005D45FA">
        <w:rPr>
          <w:lang w:bidi="ru-RU"/>
        </w:rPr>
        <w:t xml:space="preserve">Отбор образцов производится случайным образом, обеспечивая представленность каждого возможного владельца. Минимальное число отобранных образов каждой партии должно соответствовать таблице в пункте </w:t>
      </w:r>
      <w:r w:rsidR="005D45FA" w:rsidRPr="005D45FA">
        <w:rPr>
          <w:lang w:val="en-US" w:bidi="ru-RU"/>
        </w:rPr>
        <w:t>f</w:t>
      </w:r>
      <w:r w:rsidR="005D45FA" w:rsidRPr="005D45FA">
        <w:rPr>
          <w:lang w:bidi="ru-RU"/>
        </w:rPr>
        <w:t>).</w:t>
      </w:r>
    </w:p>
    <w:p w:rsidR="005D45FA" w:rsidRPr="005D45FA" w:rsidRDefault="00F94BA8" w:rsidP="005D45FA">
      <w:pPr>
        <w:pStyle w:val="SingleTxt"/>
        <w:rPr>
          <w:lang w:bidi="ru-RU"/>
        </w:rPr>
      </w:pPr>
      <w:r>
        <w:rPr>
          <w:lang w:bidi="ru-RU"/>
        </w:rPr>
        <w:tab/>
      </w:r>
      <w:r w:rsidR="005D45FA" w:rsidRPr="005D45FA">
        <w:rPr>
          <w:lang w:val="en-US" w:bidi="ru-RU"/>
        </w:rPr>
        <w:t>e</w:t>
      </w:r>
      <w:r w:rsidR="005D45FA" w:rsidRPr="005D45FA">
        <w:rPr>
          <w:lang w:bidi="ru-RU"/>
        </w:rPr>
        <w:t xml:space="preserve">) </w:t>
      </w:r>
      <w:r>
        <w:rPr>
          <w:lang w:bidi="ru-RU"/>
        </w:rPr>
        <w:tab/>
      </w:r>
      <w:r w:rsidR="005D45FA" w:rsidRPr="005D45FA">
        <w:rPr>
          <w:lang w:bidi="ru-RU"/>
        </w:rPr>
        <w:t>Метод разрушающего испытания</w:t>
      </w:r>
    </w:p>
    <w:p w:rsidR="005D45FA" w:rsidRPr="005D45FA" w:rsidRDefault="005C1757" w:rsidP="00F94BA8">
      <w:pPr>
        <w:pStyle w:val="SingleTxt"/>
        <w:ind w:left="2218"/>
        <w:rPr>
          <w:lang w:bidi="ru-RU"/>
        </w:rPr>
      </w:pPr>
      <w:r>
        <w:rPr>
          <w:lang w:bidi="ru-RU"/>
        </w:rPr>
        <w:tab/>
      </w:r>
      <w:r w:rsidR="005D45FA" w:rsidRPr="005D45FA">
        <w:rPr>
          <w:lang w:bidi="ru-RU"/>
        </w:rPr>
        <w:t>Испытание согласно подпункту а) пункта 6.2.1.6.1 должно быть заменено визуальным внешним осмотром каждого баллона с формованным защитным кожухом и должно быть проведено путем соблюдения следующих процедур:</w:t>
      </w:r>
    </w:p>
    <w:p w:rsidR="005D45FA" w:rsidRPr="005D45FA" w:rsidRDefault="00F94BA8" w:rsidP="00F94BA8">
      <w:pPr>
        <w:pStyle w:val="SingleTxt"/>
        <w:ind w:left="2693" w:hanging="475"/>
        <w:rPr>
          <w:lang w:bidi="ru-RU"/>
        </w:rPr>
      </w:pPr>
      <w:r>
        <w:rPr>
          <w:lang w:bidi="ru-RU"/>
        </w:rPr>
        <w:t>–</w:t>
      </w:r>
      <w:r w:rsidR="005D45FA" w:rsidRPr="005D45FA">
        <w:rPr>
          <w:lang w:bidi="ru-RU"/>
        </w:rPr>
        <w:t xml:space="preserve"> </w:t>
      </w:r>
      <w:r>
        <w:rPr>
          <w:lang w:bidi="ru-RU"/>
        </w:rPr>
        <w:tab/>
      </w:r>
      <w:r w:rsidR="005D45FA" w:rsidRPr="005D45FA">
        <w:rPr>
          <w:lang w:bidi="ru-RU"/>
        </w:rPr>
        <w:t>проводятся разрушающие испытания на адгезию (в соответствии со стандартами EN 1442 и EN14140:2014) и испытания на отслоение (в соответствии со стандартом EN ISO 4628-3:2005), с тем чтобы удостовериться в том, что отсутствует риск внешней коррозии на стенке сосуда и что кожух из пористой пластмассы с течением времени сохраняет свои адгезионные свойства. Каждое из этих испытаний проводят на одном образце из каждой партии.</w:t>
      </w:r>
    </w:p>
    <w:p w:rsidR="005D45FA" w:rsidRPr="005D45FA" w:rsidRDefault="005C1757" w:rsidP="00F94BA8">
      <w:pPr>
        <w:pStyle w:val="SingleTxt"/>
        <w:ind w:left="2218"/>
        <w:rPr>
          <w:lang w:bidi="ru-RU"/>
        </w:rPr>
      </w:pPr>
      <w:r>
        <w:rPr>
          <w:lang w:bidi="ru-RU"/>
        </w:rPr>
        <w:tab/>
      </w:r>
      <w:r w:rsidR="005D45FA" w:rsidRPr="005D45FA">
        <w:rPr>
          <w:lang w:bidi="ru-RU"/>
        </w:rPr>
        <w:t xml:space="preserve">Испытание согласно подпункту </w:t>
      </w:r>
      <w:r w:rsidR="005D45FA" w:rsidRPr="005D45FA">
        <w:rPr>
          <w:lang w:val="en-US" w:bidi="ru-RU"/>
        </w:rPr>
        <w:t>d</w:t>
      </w:r>
      <w:r w:rsidR="005D45FA" w:rsidRPr="005D45FA">
        <w:rPr>
          <w:lang w:bidi="ru-RU"/>
        </w:rPr>
        <w:t>) пункта 6.2.1.6.1 заменяют следующими процедурами:</w:t>
      </w:r>
    </w:p>
    <w:p w:rsidR="005D45FA" w:rsidRPr="005D45FA" w:rsidRDefault="00F94BA8" w:rsidP="00F94BA8">
      <w:pPr>
        <w:pStyle w:val="SingleTxt"/>
        <w:ind w:left="2693" w:hanging="951"/>
        <w:rPr>
          <w:lang w:bidi="ru-RU"/>
        </w:rPr>
      </w:pPr>
      <w:r>
        <w:rPr>
          <w:lang w:bidi="ru-RU"/>
        </w:rPr>
        <w:tab/>
        <w:t>–</w:t>
      </w:r>
      <w:r w:rsidR="005D45FA" w:rsidRPr="005D45FA">
        <w:rPr>
          <w:lang w:bidi="ru-RU"/>
        </w:rPr>
        <w:t xml:space="preserve"> </w:t>
      </w:r>
      <w:r>
        <w:rPr>
          <w:lang w:bidi="ru-RU"/>
        </w:rPr>
        <w:tab/>
      </w:r>
      <w:r w:rsidR="005D45FA" w:rsidRPr="005D45FA">
        <w:rPr>
          <w:lang w:bidi="ru-RU"/>
        </w:rPr>
        <w:t>Гидравлическое испытание под давлением согласно подпункту d) пункта 6.2.1.6.1 заменяют испытанием на разрыв (в соответствии со стандартами EN 1442 и EN 14140:2014) на одном образце для каждой партии.</w:t>
      </w:r>
    </w:p>
    <w:p w:rsidR="005D45FA" w:rsidRPr="005D45FA" w:rsidRDefault="005C1757" w:rsidP="00F94BA8">
      <w:pPr>
        <w:pStyle w:val="SingleTxt"/>
        <w:ind w:left="2218"/>
        <w:rPr>
          <w:lang w:bidi="ru-RU"/>
        </w:rPr>
      </w:pPr>
      <w:r>
        <w:rPr>
          <w:lang w:bidi="ru-RU"/>
        </w:rPr>
        <w:tab/>
      </w:r>
      <w:r w:rsidR="005D45FA" w:rsidRPr="005D45FA">
        <w:rPr>
          <w:lang w:bidi="ru-RU"/>
        </w:rPr>
        <w:t xml:space="preserve">Разрушающие испытания на адгезию, испытания на отслоение и испытания на разрыв, в соответствии с вышеуказанными процедурами, проводятся через </w:t>
      </w:r>
      <w:r w:rsidR="00336DBC">
        <w:rPr>
          <w:lang w:bidi="ru-RU"/>
        </w:rPr>
        <w:t>три</w:t>
      </w:r>
      <w:r w:rsidR="005D45FA" w:rsidRPr="005D45FA">
        <w:rPr>
          <w:lang w:bidi="ru-RU"/>
        </w:rPr>
        <w:t xml:space="preserve"> года эксплуатации, а затем каждые </w:t>
      </w:r>
      <w:r w:rsidR="00336DBC">
        <w:rPr>
          <w:lang w:bidi="ru-RU"/>
        </w:rPr>
        <w:t>пять</w:t>
      </w:r>
      <w:r w:rsidR="005D45FA" w:rsidRPr="005D45FA">
        <w:rPr>
          <w:lang w:bidi="ru-RU"/>
        </w:rPr>
        <w:t xml:space="preserve"> лет. </w:t>
      </w:r>
    </w:p>
    <w:p w:rsidR="005D45FA" w:rsidRPr="005D45FA" w:rsidRDefault="00F94BA8" w:rsidP="005D45FA">
      <w:pPr>
        <w:pStyle w:val="SingleTxt"/>
        <w:rPr>
          <w:lang w:bidi="ru-RU"/>
        </w:rPr>
      </w:pPr>
      <w:r>
        <w:rPr>
          <w:lang w:bidi="ru-RU"/>
        </w:rPr>
        <w:tab/>
      </w:r>
      <w:r w:rsidR="005D45FA" w:rsidRPr="005D45FA">
        <w:rPr>
          <w:lang w:val="en-US" w:bidi="ru-RU"/>
        </w:rPr>
        <w:t>f</w:t>
      </w:r>
      <w:r w:rsidR="005D45FA" w:rsidRPr="005D45FA">
        <w:rPr>
          <w:lang w:bidi="ru-RU"/>
        </w:rPr>
        <w:t>)</w:t>
      </w:r>
      <w:r w:rsidR="005D45FA" w:rsidRPr="005D45FA">
        <w:rPr>
          <w:lang w:bidi="ru-RU"/>
        </w:rPr>
        <w:tab/>
        <w:t>Статистическая оценка результатов испытаний − метод</w:t>
      </w:r>
    </w:p>
    <w:p w:rsidR="005D45FA" w:rsidRDefault="005C1757" w:rsidP="00F94BA8">
      <w:pPr>
        <w:pStyle w:val="SingleTxt"/>
        <w:ind w:left="2218"/>
        <w:rPr>
          <w:lang w:bidi="ru-RU"/>
        </w:rPr>
      </w:pPr>
      <w:r>
        <w:rPr>
          <w:lang w:bidi="ru-RU"/>
        </w:rPr>
        <w:tab/>
      </w:r>
      <w:r w:rsidR="005D45FA" w:rsidRPr="005D45FA">
        <w:rPr>
          <w:lang w:bidi="ru-RU"/>
        </w:rPr>
        <w:t>Процедура статистической оценки описана в следующей таблице и относящихся к ней замечаниях:</w:t>
      </w:r>
    </w:p>
    <w:p w:rsidR="00EA7BEB" w:rsidRPr="00C74A37" w:rsidRDefault="00EA7BEB" w:rsidP="00C74A37">
      <w:pPr>
        <w:pStyle w:val="SingleTxt"/>
        <w:spacing w:after="0" w:line="120" w:lineRule="exact"/>
        <w:rPr>
          <w:sz w:val="10"/>
          <w:lang w:bidi="ru-RU"/>
        </w:rPr>
      </w:pPr>
    </w:p>
    <w:p w:rsidR="00C74A37" w:rsidRPr="00EA7BEB" w:rsidRDefault="00C74A37" w:rsidP="00EA7BEB">
      <w:pPr>
        <w:pStyle w:val="SingleTxt"/>
        <w:spacing w:after="0" w:line="120" w:lineRule="exact"/>
        <w:rPr>
          <w:sz w:val="10"/>
          <w:lang w:bidi="ru-RU"/>
        </w:rPr>
      </w:pPr>
      <w:r>
        <w:rPr>
          <w:sz w:val="10"/>
          <w:lang w:bidi="ru-RU"/>
        </w:rPr>
        <w:br w:type="page"/>
      </w:r>
    </w:p>
    <w:p w:rsidR="00EA7BEB" w:rsidRPr="00EA7BEB" w:rsidRDefault="00EA7BEB" w:rsidP="00EA7BEB">
      <w:pPr>
        <w:pStyle w:val="SingleTxt"/>
        <w:spacing w:after="0" w:line="120" w:lineRule="exact"/>
        <w:rPr>
          <w:sz w:val="10"/>
          <w:lang w:bidi="ru-RU"/>
        </w:rPr>
      </w:pPr>
    </w:p>
    <w:tbl>
      <w:tblPr>
        <w:tblW w:w="9975" w:type="dxa"/>
        <w:tblInd w:w="30" w:type="dxa"/>
        <w:tblLayout w:type="fixed"/>
        <w:tblCellMar>
          <w:left w:w="0" w:type="dxa"/>
          <w:right w:w="0" w:type="dxa"/>
        </w:tblCellMar>
        <w:tblLook w:val="0620"/>
      </w:tblPr>
      <w:tblGrid>
        <w:gridCol w:w="1245"/>
        <w:gridCol w:w="1260"/>
        <w:gridCol w:w="1350"/>
        <w:gridCol w:w="1980"/>
        <w:gridCol w:w="2160"/>
        <w:gridCol w:w="1980"/>
      </w:tblGrid>
      <w:tr w:rsidR="005C1757" w:rsidRPr="00780E3A" w:rsidTr="00C74A37">
        <w:trPr>
          <w:trHeight w:hRule="exact" w:val="628"/>
        </w:trPr>
        <w:tc>
          <w:tcPr>
            <w:tcW w:w="1245" w:type="dxa"/>
            <w:tcBorders>
              <w:top w:val="single" w:sz="12" w:space="0" w:color="auto"/>
              <w:left w:val="single" w:sz="12" w:space="0" w:color="auto"/>
              <w:bottom w:val="single" w:sz="6" w:space="0" w:color="auto"/>
              <w:right w:val="single" w:sz="6" w:space="0" w:color="auto"/>
            </w:tcBorders>
            <w:vAlign w:val="center"/>
            <w:hideMark/>
          </w:tcPr>
          <w:p w:rsidR="005C1757" w:rsidRPr="00780E3A" w:rsidRDefault="005C1757" w:rsidP="00336DBC">
            <w:pPr>
              <w:suppressAutoHyphens/>
              <w:spacing w:before="40" w:after="40" w:line="240" w:lineRule="auto"/>
              <w:jc w:val="center"/>
              <w:rPr>
                <w:b/>
                <w:bCs/>
                <w:w w:val="100"/>
                <w:sz w:val="16"/>
                <w:szCs w:val="16"/>
                <w:lang w:bidi="ru-RU"/>
              </w:rPr>
            </w:pPr>
            <w:r w:rsidRPr="00780E3A">
              <w:rPr>
                <w:b/>
                <w:w w:val="100"/>
                <w:sz w:val="16"/>
                <w:szCs w:val="16"/>
              </w:rPr>
              <w:t>Интервал испытания</w:t>
            </w:r>
            <w:r w:rsidRPr="00780E3A">
              <w:rPr>
                <w:w w:val="100"/>
                <w:sz w:val="16"/>
                <w:szCs w:val="16"/>
              </w:rPr>
              <w:t xml:space="preserve"> (годы)</w:t>
            </w:r>
          </w:p>
        </w:tc>
        <w:tc>
          <w:tcPr>
            <w:tcW w:w="1260" w:type="dxa"/>
            <w:tcBorders>
              <w:top w:val="single" w:sz="12" w:space="0" w:color="auto"/>
              <w:left w:val="single" w:sz="6" w:space="0" w:color="auto"/>
              <w:bottom w:val="single" w:sz="6" w:space="0" w:color="auto"/>
              <w:right w:val="single" w:sz="6" w:space="0" w:color="auto"/>
            </w:tcBorders>
            <w:vAlign w:val="bottom"/>
            <w:hideMark/>
          </w:tcPr>
          <w:p w:rsidR="005C1757" w:rsidRPr="00780E3A" w:rsidRDefault="005C1757" w:rsidP="00780E3A">
            <w:pPr>
              <w:suppressAutoHyphens/>
              <w:spacing w:before="40" w:after="40" w:line="240" w:lineRule="auto"/>
              <w:jc w:val="center"/>
              <w:rPr>
                <w:b/>
                <w:bCs/>
                <w:w w:val="100"/>
                <w:sz w:val="16"/>
                <w:szCs w:val="16"/>
                <w:lang w:bidi="ru-RU"/>
              </w:rPr>
            </w:pPr>
            <w:r w:rsidRPr="00780E3A">
              <w:rPr>
                <w:b/>
                <w:w w:val="100"/>
                <w:sz w:val="16"/>
                <w:szCs w:val="16"/>
              </w:rPr>
              <w:t>Тип испытания</w:t>
            </w:r>
          </w:p>
        </w:tc>
        <w:tc>
          <w:tcPr>
            <w:tcW w:w="1350" w:type="dxa"/>
            <w:tcBorders>
              <w:top w:val="single" w:sz="12" w:space="0" w:color="auto"/>
              <w:left w:val="single" w:sz="6" w:space="0" w:color="auto"/>
              <w:bottom w:val="single" w:sz="6" w:space="0" w:color="auto"/>
              <w:right w:val="single" w:sz="6" w:space="0" w:color="auto"/>
            </w:tcBorders>
            <w:vAlign w:val="bottom"/>
            <w:hideMark/>
          </w:tcPr>
          <w:p w:rsidR="005C1757" w:rsidRPr="00780E3A" w:rsidRDefault="005C1757" w:rsidP="00780E3A">
            <w:pPr>
              <w:suppressAutoHyphens/>
              <w:spacing w:before="40" w:after="40" w:line="240" w:lineRule="auto"/>
              <w:jc w:val="center"/>
              <w:rPr>
                <w:b/>
                <w:bCs/>
                <w:w w:val="100"/>
                <w:sz w:val="16"/>
                <w:szCs w:val="16"/>
                <w:lang w:bidi="ru-RU"/>
              </w:rPr>
            </w:pPr>
            <w:r w:rsidRPr="00780E3A">
              <w:rPr>
                <w:b/>
                <w:w w:val="100"/>
                <w:sz w:val="16"/>
                <w:szCs w:val="16"/>
              </w:rPr>
              <w:t>Стандарт</w:t>
            </w:r>
          </w:p>
        </w:tc>
        <w:tc>
          <w:tcPr>
            <w:tcW w:w="1980" w:type="dxa"/>
            <w:tcBorders>
              <w:top w:val="single" w:sz="12" w:space="0" w:color="auto"/>
              <w:left w:val="single" w:sz="6" w:space="0" w:color="auto"/>
              <w:bottom w:val="single" w:sz="6" w:space="0" w:color="auto"/>
              <w:right w:val="single" w:sz="6" w:space="0" w:color="auto"/>
            </w:tcBorders>
            <w:vAlign w:val="bottom"/>
            <w:hideMark/>
          </w:tcPr>
          <w:p w:rsidR="005C1757" w:rsidRPr="00780E3A" w:rsidRDefault="005C1757" w:rsidP="00780E3A">
            <w:pPr>
              <w:suppressAutoHyphens/>
              <w:spacing w:before="40" w:after="40" w:line="240" w:lineRule="auto"/>
              <w:jc w:val="center"/>
              <w:rPr>
                <w:b/>
                <w:bCs/>
                <w:w w:val="100"/>
                <w:sz w:val="16"/>
                <w:szCs w:val="16"/>
                <w:lang w:bidi="ru-RU"/>
              </w:rPr>
            </w:pPr>
            <w:r w:rsidRPr="00780E3A">
              <w:rPr>
                <w:b/>
                <w:w w:val="100"/>
                <w:sz w:val="16"/>
                <w:szCs w:val="16"/>
              </w:rPr>
              <w:t>Критерии отклонения</w:t>
            </w:r>
          </w:p>
        </w:tc>
        <w:tc>
          <w:tcPr>
            <w:tcW w:w="2160" w:type="dxa"/>
            <w:tcBorders>
              <w:top w:val="single" w:sz="12" w:space="0" w:color="auto"/>
              <w:left w:val="single" w:sz="6" w:space="0" w:color="auto"/>
              <w:bottom w:val="single" w:sz="6" w:space="0" w:color="auto"/>
              <w:right w:val="single" w:sz="6" w:space="0" w:color="auto"/>
            </w:tcBorders>
            <w:vAlign w:val="bottom"/>
            <w:hideMark/>
          </w:tcPr>
          <w:p w:rsidR="005C1757" w:rsidRPr="00780E3A" w:rsidRDefault="005C1757" w:rsidP="00780E3A">
            <w:pPr>
              <w:suppressAutoHyphens/>
              <w:spacing w:before="40" w:after="40" w:line="240" w:lineRule="auto"/>
              <w:jc w:val="center"/>
              <w:rPr>
                <w:b/>
                <w:bCs/>
                <w:w w:val="100"/>
                <w:sz w:val="16"/>
                <w:szCs w:val="16"/>
                <w:lang w:bidi="ru-RU"/>
              </w:rPr>
            </w:pPr>
            <w:r w:rsidRPr="00780E3A">
              <w:rPr>
                <w:b/>
                <w:w w:val="100"/>
                <w:sz w:val="16"/>
                <w:szCs w:val="16"/>
              </w:rPr>
              <w:t xml:space="preserve">Количество отобранных </w:t>
            </w:r>
            <w:r w:rsidR="00EA265D" w:rsidRPr="00780E3A">
              <w:rPr>
                <w:b/>
                <w:w w:val="100"/>
                <w:sz w:val="16"/>
                <w:szCs w:val="16"/>
              </w:rPr>
              <w:br/>
            </w:r>
            <w:r w:rsidRPr="00780E3A">
              <w:rPr>
                <w:b/>
                <w:w w:val="100"/>
                <w:sz w:val="16"/>
                <w:szCs w:val="16"/>
              </w:rPr>
              <w:t>из партии баллонов</w:t>
            </w:r>
          </w:p>
        </w:tc>
        <w:tc>
          <w:tcPr>
            <w:tcW w:w="1980" w:type="dxa"/>
            <w:tcBorders>
              <w:top w:val="single" w:sz="12" w:space="0" w:color="auto"/>
              <w:left w:val="single" w:sz="6" w:space="0" w:color="auto"/>
              <w:bottom w:val="single" w:sz="6" w:space="0" w:color="auto"/>
              <w:right w:val="single" w:sz="12" w:space="0" w:color="auto"/>
            </w:tcBorders>
            <w:vAlign w:val="bottom"/>
            <w:hideMark/>
          </w:tcPr>
          <w:p w:rsidR="005C1757" w:rsidRPr="00780E3A" w:rsidRDefault="005C1757" w:rsidP="00780E3A">
            <w:pPr>
              <w:suppressAutoHyphens/>
              <w:spacing w:before="40" w:after="40" w:line="240" w:lineRule="auto"/>
              <w:jc w:val="center"/>
              <w:rPr>
                <w:b/>
                <w:bCs/>
                <w:w w:val="100"/>
                <w:sz w:val="16"/>
                <w:szCs w:val="16"/>
                <w:lang w:bidi="ru-RU"/>
              </w:rPr>
            </w:pPr>
            <w:r w:rsidRPr="00780E3A">
              <w:rPr>
                <w:b/>
                <w:w w:val="100"/>
                <w:sz w:val="16"/>
                <w:szCs w:val="16"/>
              </w:rPr>
              <w:t>Результаты испытания</w:t>
            </w:r>
          </w:p>
        </w:tc>
      </w:tr>
      <w:tr w:rsidR="00C74A37" w:rsidRPr="00780E3A" w:rsidTr="0040700D">
        <w:trPr>
          <w:cantSplit/>
          <w:trHeight w:val="871"/>
        </w:trPr>
        <w:tc>
          <w:tcPr>
            <w:tcW w:w="1245" w:type="dxa"/>
            <w:vMerge w:val="restart"/>
            <w:tcBorders>
              <w:top w:val="single" w:sz="6" w:space="0" w:color="auto"/>
              <w:left w:val="single" w:sz="12" w:space="0" w:color="auto"/>
              <w:bottom w:val="nil"/>
              <w:right w:val="single" w:sz="6" w:space="0" w:color="auto"/>
            </w:tcBorders>
            <w:hideMark/>
          </w:tcPr>
          <w:p w:rsidR="00C74A37" w:rsidRPr="00780E3A" w:rsidRDefault="00C74A37" w:rsidP="00780E3A">
            <w:pPr>
              <w:pStyle w:val="Tabletext9"/>
              <w:spacing w:before="40" w:after="40" w:line="240" w:lineRule="auto"/>
              <w:ind w:left="75"/>
              <w:jc w:val="left"/>
              <w:rPr>
                <w:rFonts w:ascii="Times New Roman" w:hAnsi="Times New Roman"/>
                <w:spacing w:val="4"/>
                <w:kern w:val="14"/>
                <w:szCs w:val="18"/>
                <w:lang w:val="ru-RU"/>
              </w:rPr>
            </w:pPr>
            <w:r w:rsidRPr="00780E3A">
              <w:rPr>
                <w:rFonts w:ascii="Times New Roman" w:hAnsi="Times New Roman"/>
                <w:spacing w:val="4"/>
                <w:kern w:val="14"/>
                <w:szCs w:val="18"/>
                <w:lang w:val="ru-RU"/>
              </w:rPr>
              <w:t>После трех лет эксплуатации</w:t>
            </w:r>
          </w:p>
        </w:tc>
        <w:tc>
          <w:tcPr>
            <w:tcW w:w="1260" w:type="dxa"/>
            <w:vMerge w:val="restart"/>
            <w:tcBorders>
              <w:top w:val="single" w:sz="6" w:space="0" w:color="auto"/>
              <w:left w:val="single" w:sz="6" w:space="0" w:color="auto"/>
              <w:bottom w:val="single" w:sz="6" w:space="0" w:color="auto"/>
              <w:right w:val="single" w:sz="6" w:space="0" w:color="auto"/>
            </w:tcBorders>
            <w:hideMark/>
          </w:tcPr>
          <w:p w:rsidR="00C74A37" w:rsidRPr="00780E3A" w:rsidRDefault="00C74A37" w:rsidP="00780E3A">
            <w:pPr>
              <w:pStyle w:val="Tabletext9"/>
              <w:spacing w:before="40" w:after="40" w:line="240" w:lineRule="auto"/>
              <w:ind w:left="90"/>
              <w:jc w:val="left"/>
              <w:rPr>
                <w:rFonts w:ascii="Times New Roman" w:hAnsi="Times New Roman"/>
                <w:spacing w:val="4"/>
                <w:kern w:val="14"/>
                <w:szCs w:val="18"/>
                <w:lang w:val="ru-RU"/>
              </w:rPr>
            </w:pPr>
            <w:r w:rsidRPr="00780E3A">
              <w:rPr>
                <w:rFonts w:ascii="Times New Roman" w:hAnsi="Times New Roman"/>
                <w:spacing w:val="4"/>
                <w:kern w:val="14"/>
                <w:szCs w:val="18"/>
                <w:lang w:val="ru-RU"/>
              </w:rPr>
              <w:t>Испытание на разрыв</w:t>
            </w:r>
          </w:p>
        </w:tc>
        <w:tc>
          <w:tcPr>
            <w:tcW w:w="1350" w:type="dxa"/>
            <w:vMerge w:val="restart"/>
            <w:tcBorders>
              <w:top w:val="single" w:sz="6" w:space="0" w:color="auto"/>
              <w:left w:val="single" w:sz="6" w:space="0" w:color="auto"/>
              <w:bottom w:val="single" w:sz="6" w:space="0" w:color="auto"/>
              <w:right w:val="single" w:sz="6" w:space="0" w:color="auto"/>
            </w:tcBorders>
            <w:hideMark/>
          </w:tcPr>
          <w:p w:rsidR="00C74A37" w:rsidRPr="00780E3A" w:rsidRDefault="00C74A37" w:rsidP="00780E3A">
            <w:pPr>
              <w:pStyle w:val="Tabletext9"/>
              <w:spacing w:before="40" w:after="40" w:line="240" w:lineRule="auto"/>
              <w:rPr>
                <w:rFonts w:ascii="Times New Roman" w:hAnsi="Times New Roman"/>
                <w:spacing w:val="4"/>
                <w:kern w:val="14"/>
                <w:szCs w:val="18"/>
                <w:lang w:val="ru-RU" w:bidi="ru-RU"/>
              </w:rPr>
            </w:pPr>
            <w:r w:rsidRPr="00780E3A">
              <w:rPr>
                <w:rFonts w:ascii="Times New Roman" w:hAnsi="Times New Roman"/>
                <w:spacing w:val="4"/>
                <w:kern w:val="14"/>
                <w:szCs w:val="18"/>
              </w:rPr>
              <w:t>EN</w:t>
            </w:r>
            <w:r w:rsidRPr="00780E3A">
              <w:rPr>
                <w:rFonts w:ascii="Times New Roman" w:hAnsi="Times New Roman"/>
                <w:spacing w:val="4"/>
                <w:kern w:val="14"/>
                <w:szCs w:val="18"/>
                <w:lang w:val="ru-RU"/>
              </w:rPr>
              <w:t xml:space="preserve"> 1442</w:t>
            </w:r>
          </w:p>
        </w:tc>
        <w:tc>
          <w:tcPr>
            <w:tcW w:w="1980" w:type="dxa"/>
            <w:tcBorders>
              <w:top w:val="single" w:sz="6" w:space="0" w:color="auto"/>
              <w:left w:val="single" w:sz="6" w:space="0" w:color="auto"/>
              <w:bottom w:val="single" w:sz="6" w:space="0" w:color="auto"/>
              <w:right w:val="single" w:sz="6" w:space="0" w:color="auto"/>
            </w:tcBorders>
            <w:hideMark/>
          </w:tcPr>
          <w:p w:rsidR="00C74A37" w:rsidRPr="00780E3A" w:rsidRDefault="00C74A37" w:rsidP="00780E3A">
            <w:pPr>
              <w:spacing w:before="40" w:after="40" w:line="240" w:lineRule="auto"/>
              <w:jc w:val="center"/>
              <w:rPr>
                <w:w w:val="100"/>
                <w:sz w:val="18"/>
                <w:szCs w:val="18"/>
                <w:lang w:bidi="ru-RU"/>
              </w:rPr>
            </w:pPr>
            <w:r w:rsidRPr="00780E3A">
              <w:rPr>
                <w:w w:val="100"/>
                <w:sz w:val="18"/>
                <w:szCs w:val="18"/>
              </w:rPr>
              <w:t xml:space="preserve">Давление разрыва (*) </w:t>
            </w:r>
            <w:r w:rsidRPr="00780E3A">
              <w:rPr>
                <w:w w:val="100"/>
                <w:sz w:val="18"/>
                <w:szCs w:val="18"/>
              </w:rPr>
              <w:br/>
              <w:t xml:space="preserve">&lt;70 бар в случае </w:t>
            </w:r>
            <w:r w:rsidRPr="00780E3A">
              <w:rPr>
                <w:w w:val="100"/>
                <w:sz w:val="18"/>
                <w:szCs w:val="18"/>
              </w:rPr>
              <w:br/>
              <w:t xml:space="preserve">пропана </w:t>
            </w:r>
            <w:r w:rsidRPr="00780E3A">
              <w:rPr>
                <w:w w:val="100"/>
                <w:sz w:val="18"/>
                <w:szCs w:val="18"/>
              </w:rPr>
              <w:br/>
              <w:t xml:space="preserve">или </w:t>
            </w:r>
            <w:r w:rsidRPr="00780E3A">
              <w:rPr>
                <w:w w:val="100"/>
                <w:sz w:val="18"/>
                <w:szCs w:val="18"/>
              </w:rPr>
              <w:br/>
              <w:t>50 бар в случае бутана</w:t>
            </w:r>
          </w:p>
        </w:tc>
        <w:tc>
          <w:tcPr>
            <w:tcW w:w="2160" w:type="dxa"/>
            <w:vMerge w:val="restart"/>
            <w:tcBorders>
              <w:top w:val="single" w:sz="6" w:space="0" w:color="auto"/>
              <w:left w:val="single" w:sz="6" w:space="0" w:color="auto"/>
              <w:bottom w:val="single" w:sz="6" w:space="0" w:color="auto"/>
              <w:right w:val="single" w:sz="6" w:space="0" w:color="auto"/>
            </w:tcBorders>
            <w:hideMark/>
          </w:tcPr>
          <w:p w:rsidR="00C74A37" w:rsidRPr="00780E3A" w:rsidRDefault="00C74A37" w:rsidP="00780E3A">
            <w:pPr>
              <w:spacing w:before="40" w:after="40" w:line="240" w:lineRule="auto"/>
              <w:jc w:val="center"/>
              <w:rPr>
                <w:w w:val="100"/>
                <w:sz w:val="18"/>
                <w:szCs w:val="18"/>
                <w:lang w:bidi="ru-RU"/>
              </w:rPr>
            </w:pPr>
            <w:r w:rsidRPr="00780E3A">
              <w:rPr>
                <w:rFonts w:eastAsia="Times New Roman"/>
                <w:w w:val="100"/>
                <w:position w:val="-12"/>
                <w:sz w:val="18"/>
                <w:szCs w:val="18"/>
                <w:lang w:val="en-GB"/>
              </w:rPr>
              <w:object w:dxaOrig="480" w:dyaOrig="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pt;height:18.8pt" o:ole="">
                  <v:imagedata r:id="rId14" o:title=""/>
                </v:shape>
                <o:OLEObject Type="Embed" ProgID="Equation.3" ShapeID="_x0000_i1025" DrawAspect="Content" ObjectID="_1501507566" r:id="rId15"/>
              </w:object>
            </w:r>
            <w:r w:rsidRPr="00780E3A">
              <w:rPr>
                <w:w w:val="100"/>
                <w:sz w:val="18"/>
                <w:szCs w:val="18"/>
              </w:rPr>
              <w:t xml:space="preserve">или </w:t>
            </w:r>
            <w:r w:rsidRPr="00780E3A">
              <w:rPr>
                <w:rFonts w:eastAsia="Times New Roman"/>
                <w:w w:val="100"/>
                <w:position w:val="-10"/>
                <w:sz w:val="18"/>
                <w:szCs w:val="18"/>
                <w:lang w:eastAsia="ru-RU" w:bidi="ru-RU"/>
              </w:rPr>
              <w:object w:dxaOrig="684" w:dyaOrig="300">
                <v:shape id="_x0000_i1026" type="#_x0000_t75" style="width:33.8pt;height:15.05pt" o:ole="">
                  <v:imagedata r:id="rId16" o:title=""/>
                </v:shape>
                <o:OLEObject Type="Embed" ProgID="Equation.3" ShapeID="_x0000_i1026" DrawAspect="Content" ObjectID="_1501507567" r:id="rId17"/>
              </w:object>
            </w:r>
            <w:r w:rsidRPr="00780E3A">
              <w:rPr>
                <w:w w:val="100"/>
                <w:sz w:val="18"/>
                <w:szCs w:val="18"/>
              </w:rPr>
              <w:t xml:space="preserve">  в зависимости от того, что ниже, </w:t>
            </w:r>
            <w:r w:rsidRPr="00780E3A">
              <w:rPr>
                <w:w w:val="100"/>
                <w:sz w:val="18"/>
                <w:szCs w:val="18"/>
              </w:rPr>
              <w:br/>
              <w:t>и</w:t>
            </w:r>
            <w:r w:rsidRPr="00780E3A">
              <w:rPr>
                <w:w w:val="100"/>
                <w:sz w:val="18"/>
                <w:szCs w:val="18"/>
              </w:rPr>
              <w:br/>
              <w:t xml:space="preserve">при минимум 20 </w:t>
            </w:r>
            <w:r w:rsidRPr="00780E3A">
              <w:rPr>
                <w:w w:val="100"/>
                <w:sz w:val="18"/>
                <w:szCs w:val="18"/>
              </w:rPr>
              <w:br/>
              <w:t>на партию (Q)</w:t>
            </w:r>
          </w:p>
        </w:tc>
        <w:tc>
          <w:tcPr>
            <w:tcW w:w="1980" w:type="dxa"/>
            <w:vMerge w:val="restart"/>
            <w:tcBorders>
              <w:top w:val="single" w:sz="6" w:space="0" w:color="auto"/>
              <w:left w:val="single" w:sz="6" w:space="0" w:color="auto"/>
              <w:right w:val="single" w:sz="12" w:space="0" w:color="auto"/>
            </w:tcBorders>
            <w:vAlign w:val="center"/>
            <w:hideMark/>
          </w:tcPr>
          <w:p w:rsidR="00C74A37" w:rsidRPr="00780E3A" w:rsidRDefault="00C74A37" w:rsidP="00780E3A">
            <w:pPr>
              <w:suppressAutoHyphens/>
              <w:spacing w:before="40" w:after="40" w:line="240" w:lineRule="auto"/>
              <w:ind w:left="109"/>
              <w:jc w:val="center"/>
              <w:rPr>
                <w:b/>
                <w:bCs/>
                <w:color w:val="365F91"/>
                <w:w w:val="100"/>
                <w:sz w:val="18"/>
                <w:szCs w:val="18"/>
                <w:lang w:bidi="ru-RU"/>
              </w:rPr>
            </w:pPr>
            <w:r w:rsidRPr="00780E3A">
              <w:rPr>
                <w:w w:val="100"/>
                <w:sz w:val="18"/>
                <w:szCs w:val="18"/>
              </w:rPr>
              <w:t>В случае отрицательного результата повторить испытания, заменив Q показателем ежемесячного производства q репрезентативных подпартий</w:t>
            </w:r>
          </w:p>
        </w:tc>
      </w:tr>
      <w:tr w:rsidR="00C74A37" w:rsidRPr="00780E3A" w:rsidTr="0040700D">
        <w:trPr>
          <w:cantSplit/>
          <w:trHeight w:val="538"/>
        </w:trPr>
        <w:tc>
          <w:tcPr>
            <w:tcW w:w="1245" w:type="dxa"/>
            <w:vMerge/>
            <w:tcBorders>
              <w:top w:val="single" w:sz="6" w:space="0" w:color="auto"/>
              <w:left w:val="single" w:sz="12" w:space="0" w:color="auto"/>
              <w:bottom w:val="nil"/>
              <w:right w:val="single" w:sz="6" w:space="0" w:color="auto"/>
            </w:tcBorders>
            <w:vAlign w:val="center"/>
            <w:hideMark/>
          </w:tcPr>
          <w:p w:rsidR="00C74A37" w:rsidRPr="00780E3A" w:rsidRDefault="00C74A37" w:rsidP="00780E3A">
            <w:pPr>
              <w:spacing w:before="40" w:after="40" w:line="240" w:lineRule="auto"/>
              <w:rPr>
                <w:rFonts w:eastAsia="MS Mincho"/>
                <w:w w:val="100"/>
                <w:sz w:val="18"/>
                <w:szCs w:val="18"/>
                <w:lang w:bidi="ru-RU"/>
              </w:rPr>
            </w:pPr>
          </w:p>
        </w:tc>
        <w:tc>
          <w:tcPr>
            <w:tcW w:w="1260" w:type="dxa"/>
            <w:vMerge/>
            <w:tcBorders>
              <w:top w:val="single" w:sz="6" w:space="0" w:color="auto"/>
              <w:left w:val="single" w:sz="6" w:space="0" w:color="auto"/>
              <w:bottom w:val="single" w:sz="6" w:space="0" w:color="auto"/>
              <w:right w:val="single" w:sz="6" w:space="0" w:color="auto"/>
            </w:tcBorders>
            <w:vAlign w:val="center"/>
            <w:hideMark/>
          </w:tcPr>
          <w:p w:rsidR="00C74A37" w:rsidRPr="00780E3A" w:rsidRDefault="00C74A37" w:rsidP="00780E3A">
            <w:pPr>
              <w:spacing w:before="40" w:after="40" w:line="240" w:lineRule="auto"/>
              <w:rPr>
                <w:rFonts w:eastAsia="MS Mincho"/>
                <w:w w:val="100"/>
                <w:sz w:val="18"/>
                <w:szCs w:val="18"/>
                <w:lang w:bidi="ru-RU"/>
              </w:rPr>
            </w:pPr>
          </w:p>
        </w:tc>
        <w:tc>
          <w:tcPr>
            <w:tcW w:w="1350" w:type="dxa"/>
            <w:vMerge/>
            <w:tcBorders>
              <w:top w:val="single" w:sz="6" w:space="0" w:color="auto"/>
              <w:left w:val="single" w:sz="6" w:space="0" w:color="auto"/>
              <w:bottom w:val="single" w:sz="6" w:space="0" w:color="auto"/>
              <w:right w:val="single" w:sz="6" w:space="0" w:color="auto"/>
            </w:tcBorders>
            <w:vAlign w:val="center"/>
            <w:hideMark/>
          </w:tcPr>
          <w:p w:rsidR="00C74A37" w:rsidRPr="00780E3A" w:rsidRDefault="00C74A37" w:rsidP="00780E3A">
            <w:pPr>
              <w:spacing w:before="40" w:after="40" w:line="240" w:lineRule="auto"/>
              <w:rPr>
                <w:rFonts w:eastAsia="MS Mincho"/>
                <w:w w:val="100"/>
                <w:sz w:val="18"/>
                <w:szCs w:val="18"/>
                <w:lang w:bidi="ru-RU"/>
              </w:rPr>
            </w:pPr>
          </w:p>
        </w:tc>
        <w:tc>
          <w:tcPr>
            <w:tcW w:w="1980" w:type="dxa"/>
            <w:tcBorders>
              <w:top w:val="single" w:sz="6" w:space="0" w:color="auto"/>
              <w:left w:val="single" w:sz="6" w:space="0" w:color="auto"/>
              <w:bottom w:val="single" w:sz="6" w:space="0" w:color="auto"/>
              <w:right w:val="single" w:sz="6" w:space="0" w:color="auto"/>
            </w:tcBorders>
            <w:hideMark/>
          </w:tcPr>
          <w:p w:rsidR="00C74A37" w:rsidRPr="00780E3A" w:rsidRDefault="00C74A37" w:rsidP="00780E3A">
            <w:pPr>
              <w:suppressAutoHyphens/>
              <w:spacing w:before="40" w:after="40" w:line="240" w:lineRule="auto"/>
              <w:jc w:val="center"/>
              <w:rPr>
                <w:w w:val="100"/>
                <w:sz w:val="18"/>
                <w:szCs w:val="18"/>
                <w:lang w:bidi="ru-RU"/>
              </w:rPr>
            </w:pPr>
            <w:r w:rsidRPr="00780E3A">
              <w:rPr>
                <w:w w:val="100"/>
                <w:sz w:val="18"/>
                <w:szCs w:val="18"/>
              </w:rPr>
              <w:t xml:space="preserve">Объемное </w:t>
            </w:r>
            <w:r w:rsidR="00336DBC">
              <w:rPr>
                <w:w w:val="100"/>
                <w:sz w:val="18"/>
                <w:szCs w:val="18"/>
              </w:rPr>
              <w:br/>
            </w:r>
            <w:r w:rsidRPr="00780E3A">
              <w:rPr>
                <w:w w:val="100"/>
                <w:sz w:val="18"/>
                <w:szCs w:val="18"/>
              </w:rPr>
              <w:t>расширение (*) &lt;15 или 9% (**)</w:t>
            </w:r>
          </w:p>
        </w:tc>
        <w:tc>
          <w:tcPr>
            <w:tcW w:w="2160" w:type="dxa"/>
            <w:vMerge/>
            <w:tcBorders>
              <w:top w:val="single" w:sz="6" w:space="0" w:color="auto"/>
              <w:left w:val="single" w:sz="6" w:space="0" w:color="auto"/>
              <w:bottom w:val="single" w:sz="6" w:space="0" w:color="auto"/>
              <w:right w:val="single" w:sz="6" w:space="0" w:color="auto"/>
            </w:tcBorders>
            <w:vAlign w:val="center"/>
            <w:hideMark/>
          </w:tcPr>
          <w:p w:rsidR="00C74A37" w:rsidRPr="00780E3A" w:rsidRDefault="00C74A37" w:rsidP="00780E3A">
            <w:pPr>
              <w:spacing w:before="40" w:after="40" w:line="240" w:lineRule="auto"/>
              <w:rPr>
                <w:w w:val="100"/>
                <w:sz w:val="18"/>
                <w:szCs w:val="18"/>
                <w:lang w:bidi="ru-RU"/>
              </w:rPr>
            </w:pPr>
          </w:p>
        </w:tc>
        <w:tc>
          <w:tcPr>
            <w:tcW w:w="1980" w:type="dxa"/>
            <w:vMerge/>
            <w:tcBorders>
              <w:left w:val="single" w:sz="6" w:space="0" w:color="auto"/>
              <w:right w:val="single" w:sz="12" w:space="0" w:color="auto"/>
            </w:tcBorders>
            <w:vAlign w:val="center"/>
            <w:hideMark/>
          </w:tcPr>
          <w:p w:rsidR="00C74A37" w:rsidRPr="00780E3A" w:rsidRDefault="00C74A37" w:rsidP="00780E3A">
            <w:pPr>
              <w:spacing w:before="40" w:after="40" w:line="240" w:lineRule="auto"/>
              <w:rPr>
                <w:b/>
                <w:bCs/>
                <w:color w:val="365F91"/>
                <w:w w:val="100"/>
                <w:lang w:bidi="ru-RU"/>
              </w:rPr>
            </w:pPr>
          </w:p>
        </w:tc>
      </w:tr>
      <w:tr w:rsidR="00C74A37" w:rsidRPr="00780E3A" w:rsidTr="0040700D">
        <w:trPr>
          <w:trHeight w:hRule="exact" w:val="739"/>
        </w:trPr>
        <w:tc>
          <w:tcPr>
            <w:tcW w:w="1245" w:type="dxa"/>
            <w:vMerge/>
            <w:tcBorders>
              <w:top w:val="single" w:sz="6" w:space="0" w:color="auto"/>
              <w:left w:val="single" w:sz="12" w:space="0" w:color="auto"/>
              <w:bottom w:val="nil"/>
              <w:right w:val="single" w:sz="6" w:space="0" w:color="auto"/>
            </w:tcBorders>
            <w:vAlign w:val="center"/>
            <w:hideMark/>
          </w:tcPr>
          <w:p w:rsidR="00C74A37" w:rsidRPr="00780E3A" w:rsidRDefault="00C74A37" w:rsidP="00780E3A">
            <w:pPr>
              <w:spacing w:before="40" w:after="40" w:line="240" w:lineRule="auto"/>
              <w:rPr>
                <w:rFonts w:eastAsia="MS Mincho"/>
                <w:w w:val="100"/>
                <w:sz w:val="18"/>
                <w:szCs w:val="18"/>
                <w:lang w:bidi="ru-RU"/>
              </w:rPr>
            </w:pPr>
          </w:p>
        </w:tc>
        <w:tc>
          <w:tcPr>
            <w:tcW w:w="12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74A37" w:rsidRPr="00336DBC" w:rsidRDefault="00C74A37" w:rsidP="00780E3A">
            <w:pPr>
              <w:pStyle w:val="Tabletext9"/>
              <w:spacing w:before="40" w:after="40" w:line="240" w:lineRule="auto"/>
              <w:jc w:val="left"/>
              <w:rPr>
                <w:rFonts w:ascii="Times New Roman" w:hAnsi="Times New Roman"/>
                <w:spacing w:val="4"/>
                <w:kern w:val="14"/>
                <w:szCs w:val="18"/>
                <w:lang w:val="ru-RU" w:bidi="ru-RU"/>
              </w:rPr>
            </w:pPr>
            <w:r w:rsidRPr="00780E3A">
              <w:rPr>
                <w:rFonts w:ascii="Times New Roman" w:hAnsi="Times New Roman"/>
                <w:spacing w:val="4"/>
                <w:kern w:val="14"/>
                <w:szCs w:val="18"/>
                <w:lang w:val="ru-RU"/>
              </w:rPr>
              <w:t>Отслоение и коррозия</w:t>
            </w:r>
          </w:p>
        </w:tc>
        <w:tc>
          <w:tcPr>
            <w:tcW w:w="13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74A37" w:rsidRPr="00780E3A" w:rsidRDefault="00C74A37" w:rsidP="00780E3A">
            <w:pPr>
              <w:pStyle w:val="Tabletext9"/>
              <w:spacing w:before="40" w:after="40" w:line="240" w:lineRule="auto"/>
              <w:ind w:left="-72" w:hanging="18"/>
              <w:rPr>
                <w:rFonts w:ascii="Times New Roman" w:hAnsi="Times New Roman"/>
                <w:spacing w:val="4"/>
                <w:kern w:val="14"/>
                <w:szCs w:val="18"/>
                <w:lang w:val="ru-RU" w:bidi="ru-RU"/>
              </w:rPr>
            </w:pPr>
            <w:r w:rsidRPr="00780E3A">
              <w:rPr>
                <w:rFonts w:ascii="Times New Roman" w:hAnsi="Times New Roman"/>
                <w:spacing w:val="4"/>
                <w:kern w:val="14"/>
                <w:szCs w:val="18"/>
              </w:rPr>
              <w:t>EN ISO </w:t>
            </w:r>
            <w:r w:rsidRPr="00780E3A">
              <w:rPr>
                <w:rFonts w:ascii="Times New Roman" w:hAnsi="Times New Roman"/>
                <w:spacing w:val="4"/>
                <w:kern w:val="14"/>
                <w:szCs w:val="18"/>
                <w:lang w:val="ru-RU"/>
              </w:rPr>
              <w:br/>
              <w:t>4628-3:2004</w:t>
            </w:r>
          </w:p>
        </w:tc>
        <w:tc>
          <w:tcPr>
            <w:tcW w:w="198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74A37" w:rsidRPr="00780E3A" w:rsidRDefault="00C74A37" w:rsidP="00780E3A">
            <w:pPr>
              <w:spacing w:before="40" w:after="40" w:line="240" w:lineRule="auto"/>
              <w:jc w:val="center"/>
              <w:rPr>
                <w:w w:val="100"/>
                <w:sz w:val="18"/>
                <w:szCs w:val="18"/>
                <w:lang w:bidi="ru-RU"/>
              </w:rPr>
            </w:pPr>
            <w:r w:rsidRPr="00780E3A">
              <w:rPr>
                <w:w w:val="100"/>
                <w:sz w:val="18"/>
                <w:szCs w:val="18"/>
              </w:rPr>
              <w:t xml:space="preserve">Максимальный </w:t>
            </w:r>
            <w:r w:rsidRPr="00780E3A">
              <w:rPr>
                <w:w w:val="100"/>
                <w:sz w:val="18"/>
                <w:szCs w:val="18"/>
              </w:rPr>
              <w:br/>
              <w:t>уровень коррозии:</w:t>
            </w:r>
            <w:r w:rsidRPr="00780E3A">
              <w:rPr>
                <w:w w:val="100"/>
                <w:sz w:val="18"/>
                <w:szCs w:val="18"/>
              </w:rPr>
              <w:br/>
              <w:t>Ri2</w:t>
            </w:r>
          </w:p>
        </w:tc>
        <w:tc>
          <w:tcPr>
            <w:tcW w:w="21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74A37" w:rsidRPr="00780E3A" w:rsidRDefault="00C74A37" w:rsidP="00780E3A">
            <w:pPr>
              <w:suppressAutoHyphens/>
              <w:spacing w:before="40" w:after="40" w:line="240" w:lineRule="auto"/>
              <w:jc w:val="center"/>
              <w:rPr>
                <w:w w:val="100"/>
                <w:sz w:val="18"/>
                <w:szCs w:val="18"/>
                <w:lang w:bidi="ru-RU"/>
              </w:rPr>
            </w:pPr>
            <w:r w:rsidRPr="00780E3A">
              <w:rPr>
                <w:w w:val="100"/>
                <w:sz w:val="18"/>
                <w:szCs w:val="18"/>
              </w:rPr>
              <w:t>Q/1</w:t>
            </w:r>
            <w:r w:rsidR="00336DBC">
              <w:rPr>
                <w:w w:val="100"/>
                <w:sz w:val="18"/>
                <w:szCs w:val="18"/>
              </w:rPr>
              <w:t xml:space="preserve"> </w:t>
            </w:r>
            <w:r w:rsidRPr="00780E3A">
              <w:rPr>
                <w:w w:val="100"/>
                <w:sz w:val="18"/>
                <w:szCs w:val="18"/>
              </w:rPr>
              <w:t>000</w:t>
            </w:r>
          </w:p>
        </w:tc>
        <w:tc>
          <w:tcPr>
            <w:tcW w:w="1980" w:type="dxa"/>
            <w:vMerge/>
            <w:tcBorders>
              <w:left w:val="single" w:sz="6" w:space="0" w:color="auto"/>
              <w:right w:val="single" w:sz="12" w:space="0" w:color="auto"/>
            </w:tcBorders>
            <w:vAlign w:val="center"/>
            <w:hideMark/>
          </w:tcPr>
          <w:p w:rsidR="00C74A37" w:rsidRPr="00780E3A" w:rsidRDefault="00C74A37" w:rsidP="00780E3A">
            <w:pPr>
              <w:spacing w:before="40" w:after="40" w:line="240" w:lineRule="auto"/>
              <w:rPr>
                <w:b/>
                <w:bCs/>
                <w:color w:val="365F91"/>
                <w:w w:val="100"/>
                <w:lang w:bidi="ru-RU"/>
              </w:rPr>
            </w:pPr>
          </w:p>
        </w:tc>
      </w:tr>
      <w:tr w:rsidR="00C74A37" w:rsidRPr="00780E3A" w:rsidTr="0040700D">
        <w:trPr>
          <w:trHeight w:val="839"/>
        </w:trPr>
        <w:tc>
          <w:tcPr>
            <w:tcW w:w="1245" w:type="dxa"/>
            <w:vMerge/>
            <w:tcBorders>
              <w:top w:val="single" w:sz="6" w:space="0" w:color="auto"/>
              <w:left w:val="single" w:sz="12" w:space="0" w:color="auto"/>
              <w:bottom w:val="nil"/>
              <w:right w:val="single" w:sz="6" w:space="0" w:color="auto"/>
            </w:tcBorders>
            <w:vAlign w:val="center"/>
            <w:hideMark/>
          </w:tcPr>
          <w:p w:rsidR="00C74A37" w:rsidRPr="00780E3A" w:rsidRDefault="00C74A37" w:rsidP="00780E3A">
            <w:pPr>
              <w:spacing w:before="40" w:after="40" w:line="240" w:lineRule="auto"/>
              <w:rPr>
                <w:rFonts w:eastAsia="MS Mincho"/>
                <w:w w:val="100"/>
                <w:sz w:val="18"/>
                <w:szCs w:val="18"/>
                <w:lang w:bidi="ru-RU"/>
              </w:rPr>
            </w:pPr>
          </w:p>
        </w:tc>
        <w:tc>
          <w:tcPr>
            <w:tcW w:w="1260" w:type="dxa"/>
            <w:tcBorders>
              <w:top w:val="single" w:sz="6" w:space="0" w:color="auto"/>
              <w:left w:val="single" w:sz="6" w:space="0" w:color="auto"/>
              <w:bottom w:val="nil"/>
              <w:right w:val="single" w:sz="6" w:space="0" w:color="auto"/>
            </w:tcBorders>
            <w:tcMar>
              <w:top w:w="0" w:type="dxa"/>
              <w:left w:w="108" w:type="dxa"/>
              <w:bottom w:w="0" w:type="dxa"/>
              <w:right w:w="108" w:type="dxa"/>
            </w:tcMar>
            <w:hideMark/>
          </w:tcPr>
          <w:p w:rsidR="00C74A37" w:rsidRPr="00780E3A" w:rsidRDefault="00C74A37" w:rsidP="00780E3A">
            <w:pPr>
              <w:pStyle w:val="Tabletext9"/>
              <w:spacing w:before="40" w:after="40" w:line="240" w:lineRule="auto"/>
              <w:rPr>
                <w:rFonts w:ascii="Times New Roman" w:hAnsi="Times New Roman"/>
                <w:spacing w:val="4"/>
                <w:kern w:val="14"/>
                <w:szCs w:val="18"/>
                <w:lang w:val="ru-RU" w:bidi="ru-RU"/>
              </w:rPr>
            </w:pPr>
            <w:r w:rsidRPr="00780E3A">
              <w:rPr>
                <w:rFonts w:ascii="Times New Roman" w:hAnsi="Times New Roman"/>
                <w:spacing w:val="4"/>
                <w:kern w:val="14"/>
                <w:szCs w:val="18"/>
                <w:lang w:val="ru-RU"/>
              </w:rPr>
              <w:t xml:space="preserve">Адгезия </w:t>
            </w:r>
            <w:r w:rsidRPr="00780E3A">
              <w:rPr>
                <w:rFonts w:ascii="Times New Roman" w:hAnsi="Times New Roman"/>
                <w:spacing w:val="4"/>
                <w:kern w:val="14"/>
                <w:szCs w:val="18"/>
                <w:lang w:val="ru-RU"/>
              </w:rPr>
              <w:br/>
              <w:t>полиуретана</w:t>
            </w:r>
          </w:p>
        </w:tc>
        <w:tc>
          <w:tcPr>
            <w:tcW w:w="1350" w:type="dxa"/>
            <w:tcBorders>
              <w:top w:val="single" w:sz="6" w:space="0" w:color="auto"/>
              <w:left w:val="single" w:sz="6" w:space="0" w:color="auto"/>
              <w:bottom w:val="nil"/>
              <w:right w:val="single" w:sz="6" w:space="0" w:color="auto"/>
            </w:tcBorders>
            <w:tcMar>
              <w:top w:w="0" w:type="dxa"/>
              <w:left w:w="108" w:type="dxa"/>
              <w:bottom w:w="0" w:type="dxa"/>
              <w:right w:w="108" w:type="dxa"/>
            </w:tcMar>
            <w:hideMark/>
          </w:tcPr>
          <w:p w:rsidR="00C74A37" w:rsidRPr="00780E3A" w:rsidRDefault="00C74A37" w:rsidP="00780E3A">
            <w:pPr>
              <w:pStyle w:val="Tabletext9"/>
              <w:spacing w:before="40" w:after="40" w:line="240" w:lineRule="auto"/>
              <w:ind w:left="-72" w:hanging="18"/>
              <w:jc w:val="left"/>
              <w:rPr>
                <w:rFonts w:ascii="Times New Roman" w:hAnsi="Times New Roman"/>
                <w:spacing w:val="4"/>
                <w:kern w:val="14"/>
                <w:szCs w:val="18"/>
                <w:lang w:val="ru-RU" w:bidi="ru-RU"/>
              </w:rPr>
            </w:pPr>
            <w:r w:rsidRPr="00780E3A">
              <w:rPr>
                <w:rFonts w:ascii="Times New Roman" w:hAnsi="Times New Roman"/>
                <w:spacing w:val="4"/>
                <w:kern w:val="14"/>
                <w:szCs w:val="18"/>
              </w:rPr>
              <w:t>ISO</w:t>
            </w:r>
            <w:r w:rsidRPr="00780E3A">
              <w:rPr>
                <w:rFonts w:ascii="Times New Roman" w:hAnsi="Times New Roman"/>
                <w:spacing w:val="4"/>
                <w:kern w:val="14"/>
                <w:szCs w:val="18"/>
                <w:lang w:val="ru-RU"/>
              </w:rPr>
              <w:t xml:space="preserve"> 2859-1</w:t>
            </w:r>
            <w:r w:rsidRPr="00780E3A">
              <w:rPr>
                <w:rFonts w:ascii="Times New Roman" w:hAnsi="Times New Roman"/>
                <w:spacing w:val="4"/>
                <w:kern w:val="14"/>
                <w:szCs w:val="18"/>
                <w:lang w:val="ru-RU"/>
              </w:rPr>
              <w:br/>
            </w:r>
            <w:r w:rsidRPr="00780E3A">
              <w:rPr>
                <w:rFonts w:ascii="Times New Roman" w:hAnsi="Times New Roman"/>
                <w:spacing w:val="4"/>
                <w:kern w:val="14"/>
                <w:szCs w:val="18"/>
              </w:rPr>
              <w:t>EN</w:t>
            </w:r>
            <w:r w:rsidRPr="00780E3A">
              <w:rPr>
                <w:rFonts w:ascii="Times New Roman" w:hAnsi="Times New Roman"/>
                <w:spacing w:val="4"/>
                <w:kern w:val="14"/>
                <w:szCs w:val="18"/>
                <w:lang w:val="ru-RU"/>
              </w:rPr>
              <w:t xml:space="preserve"> 1442</w:t>
            </w:r>
            <w:r w:rsidRPr="00780E3A">
              <w:rPr>
                <w:rFonts w:ascii="Times New Roman" w:hAnsi="Times New Roman"/>
                <w:spacing w:val="4"/>
                <w:kern w:val="14"/>
                <w:szCs w:val="18"/>
                <w:lang w:val="ru-RU"/>
              </w:rPr>
              <w:br/>
            </w:r>
            <w:r w:rsidRPr="00780E3A">
              <w:rPr>
                <w:rFonts w:ascii="Times New Roman" w:hAnsi="Times New Roman"/>
                <w:spacing w:val="4"/>
                <w:kern w:val="14"/>
                <w:szCs w:val="18"/>
              </w:rPr>
              <w:t>EN</w:t>
            </w:r>
            <w:r w:rsidRPr="00780E3A">
              <w:rPr>
                <w:rFonts w:ascii="Times New Roman" w:hAnsi="Times New Roman"/>
                <w:spacing w:val="4"/>
                <w:kern w:val="14"/>
                <w:szCs w:val="18"/>
                <w:lang w:val="ru-RU"/>
              </w:rPr>
              <w:t xml:space="preserve"> 14140:2014</w:t>
            </w:r>
          </w:p>
        </w:tc>
        <w:tc>
          <w:tcPr>
            <w:tcW w:w="198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74A37" w:rsidRPr="00780E3A" w:rsidRDefault="00C74A37" w:rsidP="00780E3A">
            <w:pPr>
              <w:suppressAutoHyphens/>
              <w:spacing w:before="40" w:after="40" w:line="240" w:lineRule="auto"/>
              <w:jc w:val="center"/>
              <w:rPr>
                <w:w w:val="100"/>
                <w:sz w:val="18"/>
                <w:szCs w:val="18"/>
                <w:lang w:bidi="ru-RU"/>
              </w:rPr>
            </w:pPr>
            <w:r w:rsidRPr="00780E3A">
              <w:rPr>
                <w:w w:val="100"/>
                <w:sz w:val="18"/>
                <w:szCs w:val="18"/>
              </w:rPr>
              <w:t xml:space="preserve">Значение адгезии </w:t>
            </w:r>
            <w:r w:rsidRPr="00780E3A">
              <w:rPr>
                <w:w w:val="100"/>
                <w:sz w:val="18"/>
                <w:szCs w:val="18"/>
              </w:rPr>
              <w:br/>
              <w:t>&gt;0,5 Н/мм²</w:t>
            </w:r>
          </w:p>
        </w:tc>
        <w:tc>
          <w:tcPr>
            <w:tcW w:w="2160" w:type="dxa"/>
            <w:tcBorders>
              <w:top w:val="single" w:sz="6" w:space="0" w:color="auto"/>
              <w:left w:val="single" w:sz="6" w:space="0" w:color="auto"/>
              <w:bottom w:val="nil"/>
              <w:right w:val="single" w:sz="6" w:space="0" w:color="auto"/>
            </w:tcBorders>
            <w:tcMar>
              <w:top w:w="0" w:type="dxa"/>
              <w:left w:w="108" w:type="dxa"/>
              <w:bottom w:w="0" w:type="dxa"/>
              <w:right w:w="108" w:type="dxa"/>
            </w:tcMar>
            <w:hideMark/>
          </w:tcPr>
          <w:p w:rsidR="00C74A37" w:rsidRPr="00780E3A" w:rsidRDefault="00C74A37" w:rsidP="00780E3A">
            <w:pPr>
              <w:suppressAutoHyphens/>
              <w:spacing w:before="40" w:after="40" w:line="240" w:lineRule="auto"/>
              <w:jc w:val="center"/>
              <w:rPr>
                <w:w w:val="100"/>
                <w:sz w:val="18"/>
                <w:szCs w:val="18"/>
                <w:lang w:bidi="ru-RU"/>
              </w:rPr>
            </w:pPr>
            <w:r w:rsidRPr="00780E3A">
              <w:rPr>
                <w:w w:val="100"/>
                <w:sz w:val="18"/>
                <w:szCs w:val="18"/>
              </w:rPr>
              <w:t xml:space="preserve">См. стандарт </w:t>
            </w:r>
            <w:r w:rsidRPr="00780E3A">
              <w:rPr>
                <w:w w:val="100"/>
                <w:sz w:val="18"/>
                <w:szCs w:val="18"/>
              </w:rPr>
              <w:br/>
              <w:t xml:space="preserve">ISO 2859-1 применительно </w:t>
            </w:r>
            <w:r w:rsidRPr="00780E3A">
              <w:rPr>
                <w:w w:val="100"/>
                <w:sz w:val="18"/>
                <w:szCs w:val="18"/>
              </w:rPr>
              <w:br/>
              <w:t>к Q/1</w:t>
            </w:r>
            <w:r w:rsidR="00336DBC">
              <w:rPr>
                <w:w w:val="100"/>
                <w:sz w:val="18"/>
                <w:szCs w:val="18"/>
              </w:rPr>
              <w:t xml:space="preserve"> </w:t>
            </w:r>
            <w:r w:rsidRPr="00780E3A">
              <w:rPr>
                <w:w w:val="100"/>
                <w:sz w:val="18"/>
                <w:szCs w:val="18"/>
              </w:rPr>
              <w:t>000</w:t>
            </w:r>
          </w:p>
        </w:tc>
        <w:tc>
          <w:tcPr>
            <w:tcW w:w="1980" w:type="dxa"/>
            <w:vMerge/>
            <w:tcBorders>
              <w:left w:val="single" w:sz="6" w:space="0" w:color="auto"/>
              <w:right w:val="single" w:sz="12" w:space="0" w:color="auto"/>
            </w:tcBorders>
            <w:vAlign w:val="center"/>
            <w:hideMark/>
          </w:tcPr>
          <w:p w:rsidR="00C74A37" w:rsidRPr="00780E3A" w:rsidRDefault="00C74A37" w:rsidP="00780E3A">
            <w:pPr>
              <w:spacing w:before="40" w:after="40" w:line="240" w:lineRule="auto"/>
              <w:rPr>
                <w:b/>
                <w:bCs/>
                <w:color w:val="365F91"/>
                <w:w w:val="100"/>
                <w:lang w:bidi="ru-RU"/>
              </w:rPr>
            </w:pPr>
          </w:p>
        </w:tc>
      </w:tr>
      <w:tr w:rsidR="00C74A37" w:rsidRPr="00780E3A" w:rsidTr="0040700D">
        <w:trPr>
          <w:trHeight w:val="839"/>
        </w:trPr>
        <w:tc>
          <w:tcPr>
            <w:tcW w:w="1245" w:type="dxa"/>
            <w:vMerge w:val="restart"/>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hideMark/>
          </w:tcPr>
          <w:p w:rsidR="00C74A37" w:rsidRPr="00780E3A" w:rsidRDefault="00C74A37" w:rsidP="00780E3A">
            <w:pPr>
              <w:pStyle w:val="Tabletext9"/>
              <w:spacing w:before="40" w:after="40" w:line="240" w:lineRule="auto"/>
              <w:jc w:val="left"/>
              <w:rPr>
                <w:rFonts w:ascii="Times New Roman" w:hAnsi="Times New Roman"/>
                <w:spacing w:val="4"/>
                <w:kern w:val="14"/>
                <w:szCs w:val="18"/>
                <w:lang w:bidi="ru-RU"/>
              </w:rPr>
            </w:pPr>
            <w:r w:rsidRPr="00780E3A">
              <w:rPr>
                <w:rFonts w:ascii="Times New Roman" w:hAnsi="Times New Roman"/>
                <w:spacing w:val="4"/>
                <w:kern w:val="14"/>
                <w:szCs w:val="18"/>
                <w:lang w:val="ru-RU"/>
              </w:rPr>
              <w:t>Затем каждые пять лет</w:t>
            </w:r>
          </w:p>
        </w:tc>
        <w:tc>
          <w:tcPr>
            <w:tcW w:w="1260"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74A37" w:rsidRPr="00780E3A" w:rsidRDefault="00C74A37" w:rsidP="00780E3A">
            <w:pPr>
              <w:pStyle w:val="Tabletext9"/>
              <w:spacing w:before="40" w:after="40" w:line="240" w:lineRule="auto"/>
              <w:rPr>
                <w:rFonts w:ascii="Times New Roman" w:hAnsi="Times New Roman"/>
                <w:spacing w:val="4"/>
                <w:kern w:val="14"/>
                <w:szCs w:val="18"/>
                <w:lang w:bidi="ru-RU"/>
              </w:rPr>
            </w:pPr>
            <w:r w:rsidRPr="00780E3A">
              <w:rPr>
                <w:rFonts w:ascii="Times New Roman" w:hAnsi="Times New Roman"/>
                <w:spacing w:val="4"/>
                <w:kern w:val="14"/>
                <w:szCs w:val="18"/>
                <w:lang w:val="ru-RU"/>
              </w:rPr>
              <w:t>Испытание на разрыв</w:t>
            </w:r>
          </w:p>
        </w:tc>
        <w:tc>
          <w:tcPr>
            <w:tcW w:w="1350"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74A37" w:rsidRPr="00780E3A" w:rsidRDefault="00C74A37" w:rsidP="00780E3A">
            <w:pPr>
              <w:pStyle w:val="Tabletext9"/>
              <w:spacing w:before="40" w:after="40" w:line="240" w:lineRule="auto"/>
              <w:ind w:left="-72" w:hanging="18"/>
              <w:rPr>
                <w:rFonts w:ascii="Times New Roman" w:hAnsi="Times New Roman"/>
                <w:spacing w:val="4"/>
                <w:kern w:val="14"/>
                <w:szCs w:val="18"/>
                <w:lang w:bidi="ru-RU"/>
              </w:rPr>
            </w:pPr>
            <w:r w:rsidRPr="00780E3A">
              <w:rPr>
                <w:rFonts w:ascii="Times New Roman" w:hAnsi="Times New Roman"/>
                <w:spacing w:val="4"/>
                <w:kern w:val="14"/>
                <w:szCs w:val="18"/>
              </w:rPr>
              <w:t>EN 1442</w:t>
            </w:r>
          </w:p>
        </w:tc>
        <w:tc>
          <w:tcPr>
            <w:tcW w:w="198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74A37" w:rsidRPr="00780E3A" w:rsidRDefault="00C74A37" w:rsidP="00780E3A">
            <w:pPr>
              <w:spacing w:before="40" w:after="40" w:line="240" w:lineRule="auto"/>
              <w:jc w:val="center"/>
              <w:rPr>
                <w:w w:val="100"/>
                <w:sz w:val="18"/>
                <w:szCs w:val="18"/>
                <w:lang w:bidi="ru-RU"/>
              </w:rPr>
            </w:pPr>
            <w:r w:rsidRPr="00780E3A">
              <w:rPr>
                <w:w w:val="100"/>
                <w:sz w:val="18"/>
                <w:szCs w:val="18"/>
              </w:rPr>
              <w:t xml:space="preserve">Давление разрыва (*) &lt;70 бар в случае </w:t>
            </w:r>
            <w:r w:rsidRPr="00780E3A">
              <w:rPr>
                <w:w w:val="100"/>
                <w:sz w:val="18"/>
                <w:szCs w:val="18"/>
              </w:rPr>
              <w:br/>
              <w:t xml:space="preserve">пропана </w:t>
            </w:r>
            <w:r w:rsidRPr="00780E3A">
              <w:rPr>
                <w:w w:val="100"/>
                <w:sz w:val="18"/>
                <w:szCs w:val="18"/>
              </w:rPr>
              <w:br/>
              <w:t xml:space="preserve">или </w:t>
            </w:r>
            <w:r w:rsidRPr="00780E3A">
              <w:rPr>
                <w:w w:val="100"/>
                <w:sz w:val="18"/>
                <w:szCs w:val="18"/>
              </w:rPr>
              <w:br/>
              <w:t xml:space="preserve">50 бар в случае </w:t>
            </w:r>
            <w:r w:rsidRPr="00780E3A">
              <w:rPr>
                <w:w w:val="100"/>
                <w:sz w:val="18"/>
                <w:szCs w:val="18"/>
              </w:rPr>
              <w:br/>
              <w:t>бутана</w:t>
            </w:r>
          </w:p>
        </w:tc>
        <w:tc>
          <w:tcPr>
            <w:tcW w:w="2160"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74A37" w:rsidRPr="00780E3A" w:rsidRDefault="00C74A37" w:rsidP="00780E3A">
            <w:pPr>
              <w:spacing w:before="40" w:after="40" w:line="240" w:lineRule="auto"/>
              <w:jc w:val="center"/>
              <w:rPr>
                <w:w w:val="100"/>
                <w:sz w:val="18"/>
                <w:szCs w:val="18"/>
                <w:lang w:bidi="ru-RU"/>
              </w:rPr>
            </w:pPr>
            <w:r w:rsidRPr="00780E3A">
              <w:rPr>
                <w:rFonts w:eastAsia="Times New Roman"/>
                <w:w w:val="100"/>
                <w:position w:val="-12"/>
                <w:sz w:val="18"/>
                <w:szCs w:val="18"/>
                <w:lang w:eastAsia="ru-RU" w:bidi="ru-RU"/>
              </w:rPr>
              <w:object w:dxaOrig="480" w:dyaOrig="384">
                <v:shape id="_x0000_i1027" type="#_x0000_t75" style="width:23.8pt;height:18.8pt" o:ole="">
                  <v:imagedata r:id="rId18" o:title=""/>
                </v:shape>
                <o:OLEObject Type="Embed" ProgID="Equation.3" ShapeID="_x0000_i1027" DrawAspect="Content" ObjectID="_1501507568" r:id="rId19"/>
              </w:object>
            </w:r>
            <w:r w:rsidRPr="00780E3A">
              <w:rPr>
                <w:w w:val="100"/>
                <w:sz w:val="18"/>
                <w:szCs w:val="18"/>
              </w:rPr>
              <w:t xml:space="preserve"> или </w:t>
            </w:r>
            <w:r w:rsidRPr="00780E3A">
              <w:rPr>
                <w:rFonts w:eastAsia="Times New Roman"/>
                <w:w w:val="100"/>
                <w:position w:val="-10"/>
                <w:sz w:val="18"/>
                <w:szCs w:val="18"/>
                <w:lang w:eastAsia="ru-RU" w:bidi="ru-RU"/>
              </w:rPr>
              <w:object w:dxaOrig="660" w:dyaOrig="300">
                <v:shape id="_x0000_i1028" type="#_x0000_t75" style="width:33.2pt;height:15.05pt" o:ole="">
                  <v:imagedata r:id="rId20" o:title=""/>
                </v:shape>
                <o:OLEObject Type="Embed" ProgID="Equation.3" ShapeID="_x0000_i1028" DrawAspect="Content" ObjectID="_1501507569" r:id="rId21"/>
              </w:object>
            </w:r>
            <w:r w:rsidRPr="00780E3A">
              <w:rPr>
                <w:w w:val="100"/>
                <w:sz w:val="18"/>
                <w:szCs w:val="18"/>
              </w:rPr>
              <w:t xml:space="preserve"> </w:t>
            </w:r>
            <w:r w:rsidRPr="00780E3A">
              <w:rPr>
                <w:w w:val="100"/>
                <w:sz w:val="18"/>
                <w:szCs w:val="18"/>
              </w:rPr>
              <w:br/>
              <w:t>в зависимости от того, что ниже, </w:t>
            </w:r>
            <w:r w:rsidRPr="00780E3A">
              <w:rPr>
                <w:w w:val="100"/>
                <w:sz w:val="18"/>
                <w:szCs w:val="18"/>
              </w:rPr>
              <w:br/>
              <w:t xml:space="preserve">и </w:t>
            </w:r>
            <w:r w:rsidRPr="00780E3A">
              <w:rPr>
                <w:w w:val="100"/>
                <w:sz w:val="18"/>
                <w:szCs w:val="18"/>
              </w:rPr>
              <w:br/>
              <w:t xml:space="preserve">при минимум </w:t>
            </w:r>
            <w:r w:rsidRPr="00780E3A">
              <w:rPr>
                <w:w w:val="100"/>
                <w:sz w:val="18"/>
                <w:szCs w:val="18"/>
              </w:rPr>
              <w:br/>
              <w:t>40 на партию (Q)</w:t>
            </w:r>
          </w:p>
        </w:tc>
        <w:tc>
          <w:tcPr>
            <w:tcW w:w="1980" w:type="dxa"/>
            <w:vMerge/>
            <w:tcBorders>
              <w:left w:val="single" w:sz="6" w:space="0" w:color="auto"/>
              <w:right w:val="single" w:sz="12" w:space="0" w:color="auto"/>
            </w:tcBorders>
            <w:vAlign w:val="center"/>
            <w:hideMark/>
          </w:tcPr>
          <w:p w:rsidR="00C74A37" w:rsidRPr="00780E3A" w:rsidRDefault="00C74A37" w:rsidP="00780E3A">
            <w:pPr>
              <w:spacing w:before="40" w:after="40" w:line="240" w:lineRule="auto"/>
              <w:rPr>
                <w:b/>
                <w:bCs/>
                <w:color w:val="365F91"/>
                <w:w w:val="100"/>
                <w:lang w:bidi="ru-RU"/>
              </w:rPr>
            </w:pPr>
          </w:p>
        </w:tc>
      </w:tr>
      <w:tr w:rsidR="00C74A37" w:rsidRPr="00780E3A" w:rsidTr="0040700D">
        <w:trPr>
          <w:trHeight w:val="763"/>
        </w:trPr>
        <w:tc>
          <w:tcPr>
            <w:tcW w:w="1245" w:type="dxa"/>
            <w:vMerge/>
            <w:tcBorders>
              <w:top w:val="single" w:sz="6" w:space="0" w:color="auto"/>
              <w:left w:val="single" w:sz="12" w:space="0" w:color="auto"/>
              <w:bottom w:val="single" w:sz="6" w:space="0" w:color="auto"/>
              <w:right w:val="single" w:sz="6" w:space="0" w:color="auto"/>
            </w:tcBorders>
            <w:vAlign w:val="center"/>
            <w:hideMark/>
          </w:tcPr>
          <w:p w:rsidR="00C74A37" w:rsidRPr="00780E3A" w:rsidRDefault="00C74A37" w:rsidP="00780E3A">
            <w:pPr>
              <w:spacing w:before="40" w:after="40" w:line="240" w:lineRule="auto"/>
              <w:rPr>
                <w:rFonts w:eastAsia="MS Mincho"/>
                <w:w w:val="100"/>
                <w:sz w:val="18"/>
                <w:szCs w:val="18"/>
                <w:lang w:bidi="ru-RU"/>
              </w:rPr>
            </w:pPr>
          </w:p>
        </w:tc>
        <w:tc>
          <w:tcPr>
            <w:tcW w:w="1260" w:type="dxa"/>
            <w:vMerge/>
            <w:tcBorders>
              <w:top w:val="single" w:sz="6" w:space="0" w:color="auto"/>
              <w:left w:val="single" w:sz="6" w:space="0" w:color="auto"/>
              <w:bottom w:val="single" w:sz="6" w:space="0" w:color="auto"/>
              <w:right w:val="single" w:sz="6" w:space="0" w:color="auto"/>
            </w:tcBorders>
            <w:vAlign w:val="center"/>
            <w:hideMark/>
          </w:tcPr>
          <w:p w:rsidR="00C74A37" w:rsidRPr="00780E3A" w:rsidRDefault="00C74A37" w:rsidP="00780E3A">
            <w:pPr>
              <w:spacing w:before="40" w:after="40" w:line="240" w:lineRule="auto"/>
              <w:rPr>
                <w:rFonts w:eastAsia="MS Mincho"/>
                <w:w w:val="100"/>
                <w:sz w:val="18"/>
                <w:szCs w:val="18"/>
                <w:lang w:bidi="ru-RU"/>
              </w:rPr>
            </w:pPr>
          </w:p>
        </w:tc>
        <w:tc>
          <w:tcPr>
            <w:tcW w:w="1350" w:type="dxa"/>
            <w:vMerge/>
            <w:tcBorders>
              <w:top w:val="single" w:sz="6" w:space="0" w:color="auto"/>
              <w:left w:val="single" w:sz="6" w:space="0" w:color="auto"/>
              <w:bottom w:val="single" w:sz="6" w:space="0" w:color="auto"/>
              <w:right w:val="single" w:sz="6" w:space="0" w:color="auto"/>
            </w:tcBorders>
            <w:vAlign w:val="center"/>
            <w:hideMark/>
          </w:tcPr>
          <w:p w:rsidR="00C74A37" w:rsidRPr="00780E3A" w:rsidRDefault="00C74A37" w:rsidP="00780E3A">
            <w:pPr>
              <w:spacing w:before="40" w:after="40" w:line="240" w:lineRule="auto"/>
              <w:ind w:left="-72" w:hanging="18"/>
              <w:rPr>
                <w:rFonts w:eastAsia="MS Mincho"/>
                <w:w w:val="100"/>
                <w:sz w:val="18"/>
                <w:szCs w:val="18"/>
                <w:lang w:bidi="ru-RU"/>
              </w:rPr>
            </w:pPr>
          </w:p>
        </w:tc>
        <w:tc>
          <w:tcPr>
            <w:tcW w:w="198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74A37" w:rsidRPr="00780E3A" w:rsidRDefault="00C74A37" w:rsidP="00780E3A">
            <w:pPr>
              <w:suppressAutoHyphens/>
              <w:spacing w:before="40" w:after="40" w:line="240" w:lineRule="auto"/>
              <w:jc w:val="center"/>
              <w:rPr>
                <w:w w:val="100"/>
                <w:sz w:val="18"/>
                <w:szCs w:val="18"/>
                <w:lang w:val="en-US" w:bidi="ru-RU"/>
              </w:rPr>
            </w:pPr>
            <w:r w:rsidRPr="00780E3A">
              <w:rPr>
                <w:w w:val="100"/>
                <w:sz w:val="18"/>
                <w:szCs w:val="18"/>
              </w:rPr>
              <w:t>Объемное расширение (*) &lt; 13, 12 или 9% (**)</w:t>
            </w:r>
          </w:p>
        </w:tc>
        <w:tc>
          <w:tcPr>
            <w:tcW w:w="2160" w:type="dxa"/>
            <w:vMerge/>
            <w:tcBorders>
              <w:top w:val="single" w:sz="6" w:space="0" w:color="auto"/>
              <w:left w:val="single" w:sz="6" w:space="0" w:color="auto"/>
              <w:bottom w:val="single" w:sz="6" w:space="0" w:color="auto"/>
              <w:right w:val="single" w:sz="6" w:space="0" w:color="auto"/>
            </w:tcBorders>
            <w:vAlign w:val="center"/>
            <w:hideMark/>
          </w:tcPr>
          <w:p w:rsidR="00C74A37" w:rsidRPr="00780E3A" w:rsidRDefault="00C74A37" w:rsidP="00780E3A">
            <w:pPr>
              <w:spacing w:before="40" w:after="40" w:line="240" w:lineRule="auto"/>
              <w:rPr>
                <w:w w:val="100"/>
                <w:sz w:val="18"/>
                <w:szCs w:val="18"/>
                <w:lang w:bidi="ru-RU"/>
              </w:rPr>
            </w:pPr>
          </w:p>
        </w:tc>
        <w:tc>
          <w:tcPr>
            <w:tcW w:w="1980" w:type="dxa"/>
            <w:vMerge/>
            <w:tcBorders>
              <w:left w:val="single" w:sz="6" w:space="0" w:color="auto"/>
              <w:right w:val="single" w:sz="12" w:space="0" w:color="auto"/>
            </w:tcBorders>
            <w:vAlign w:val="center"/>
            <w:hideMark/>
          </w:tcPr>
          <w:p w:rsidR="00C74A37" w:rsidRPr="00780E3A" w:rsidRDefault="00C74A37" w:rsidP="00780E3A">
            <w:pPr>
              <w:spacing w:before="40" w:after="40" w:line="240" w:lineRule="auto"/>
              <w:rPr>
                <w:b/>
                <w:bCs/>
                <w:color w:val="365F91"/>
                <w:w w:val="100"/>
                <w:lang w:bidi="ru-RU"/>
              </w:rPr>
            </w:pPr>
          </w:p>
        </w:tc>
      </w:tr>
      <w:tr w:rsidR="00C74A37" w:rsidRPr="00780E3A" w:rsidTr="0040700D">
        <w:trPr>
          <w:trHeight w:hRule="exact" w:val="739"/>
        </w:trPr>
        <w:tc>
          <w:tcPr>
            <w:tcW w:w="1245" w:type="dxa"/>
            <w:vMerge/>
            <w:tcBorders>
              <w:top w:val="single" w:sz="6" w:space="0" w:color="auto"/>
              <w:left w:val="single" w:sz="12" w:space="0" w:color="auto"/>
              <w:bottom w:val="single" w:sz="6" w:space="0" w:color="auto"/>
              <w:right w:val="single" w:sz="6" w:space="0" w:color="auto"/>
            </w:tcBorders>
            <w:vAlign w:val="center"/>
            <w:hideMark/>
          </w:tcPr>
          <w:p w:rsidR="00C74A37" w:rsidRPr="00780E3A" w:rsidRDefault="00C74A37" w:rsidP="00780E3A">
            <w:pPr>
              <w:spacing w:before="40" w:after="40" w:line="240" w:lineRule="auto"/>
              <w:rPr>
                <w:rFonts w:eastAsia="MS Mincho"/>
                <w:w w:val="100"/>
                <w:sz w:val="18"/>
                <w:szCs w:val="18"/>
                <w:lang w:bidi="ru-RU"/>
              </w:rPr>
            </w:pPr>
          </w:p>
        </w:tc>
        <w:tc>
          <w:tcPr>
            <w:tcW w:w="12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74A37" w:rsidRPr="00780E3A" w:rsidRDefault="00C74A37" w:rsidP="00780E3A">
            <w:pPr>
              <w:pStyle w:val="Tabletext9"/>
              <w:spacing w:before="40" w:after="40" w:line="240" w:lineRule="auto"/>
              <w:rPr>
                <w:rFonts w:ascii="Times New Roman" w:hAnsi="Times New Roman"/>
                <w:spacing w:val="4"/>
                <w:kern w:val="14"/>
                <w:szCs w:val="18"/>
                <w:lang w:bidi="ru-RU"/>
              </w:rPr>
            </w:pPr>
            <w:r w:rsidRPr="00780E3A">
              <w:rPr>
                <w:rFonts w:ascii="Times New Roman" w:hAnsi="Times New Roman"/>
                <w:spacing w:val="4"/>
                <w:kern w:val="14"/>
                <w:szCs w:val="18"/>
                <w:lang w:val="ru-RU"/>
              </w:rPr>
              <w:t>Отслоение и коррозия</w:t>
            </w:r>
          </w:p>
        </w:tc>
        <w:tc>
          <w:tcPr>
            <w:tcW w:w="13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74A37" w:rsidRPr="00780E3A" w:rsidRDefault="00C74A37" w:rsidP="00780E3A">
            <w:pPr>
              <w:pStyle w:val="Tabletext9"/>
              <w:spacing w:before="40" w:after="40" w:line="240" w:lineRule="auto"/>
              <w:ind w:left="-72" w:hanging="18"/>
              <w:rPr>
                <w:rFonts w:ascii="Times New Roman" w:hAnsi="Times New Roman"/>
                <w:spacing w:val="4"/>
                <w:kern w:val="14"/>
                <w:szCs w:val="18"/>
                <w:lang w:val="ru-RU" w:bidi="ru-RU"/>
              </w:rPr>
            </w:pPr>
            <w:r w:rsidRPr="00780E3A">
              <w:rPr>
                <w:rFonts w:ascii="Times New Roman" w:hAnsi="Times New Roman"/>
                <w:spacing w:val="4"/>
                <w:kern w:val="14"/>
                <w:szCs w:val="18"/>
              </w:rPr>
              <w:t>EN ISO </w:t>
            </w:r>
            <w:r w:rsidRPr="00780E3A">
              <w:rPr>
                <w:rFonts w:ascii="Times New Roman" w:hAnsi="Times New Roman"/>
                <w:spacing w:val="4"/>
                <w:kern w:val="14"/>
                <w:szCs w:val="18"/>
                <w:lang w:val="ru-RU"/>
              </w:rPr>
              <w:br/>
              <w:t>4628-3:2004</w:t>
            </w:r>
          </w:p>
        </w:tc>
        <w:tc>
          <w:tcPr>
            <w:tcW w:w="198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74A37" w:rsidRPr="00780E3A" w:rsidRDefault="00C74A37" w:rsidP="00780E3A">
            <w:pPr>
              <w:spacing w:before="40" w:after="40" w:line="240" w:lineRule="auto"/>
              <w:jc w:val="center"/>
              <w:rPr>
                <w:w w:val="100"/>
                <w:sz w:val="18"/>
                <w:szCs w:val="18"/>
                <w:lang w:bidi="ru-RU"/>
              </w:rPr>
            </w:pPr>
            <w:r w:rsidRPr="00780E3A">
              <w:rPr>
                <w:w w:val="100"/>
                <w:sz w:val="18"/>
                <w:szCs w:val="18"/>
              </w:rPr>
              <w:t xml:space="preserve">Максимальный </w:t>
            </w:r>
            <w:r w:rsidRPr="00780E3A">
              <w:rPr>
                <w:w w:val="100"/>
                <w:sz w:val="18"/>
                <w:szCs w:val="18"/>
              </w:rPr>
              <w:br/>
              <w:t>уровень коррозии:</w:t>
            </w:r>
            <w:r w:rsidRPr="00780E3A">
              <w:rPr>
                <w:w w:val="100"/>
                <w:sz w:val="18"/>
                <w:szCs w:val="18"/>
              </w:rPr>
              <w:br/>
              <w:t>Ri2</w:t>
            </w:r>
          </w:p>
        </w:tc>
        <w:tc>
          <w:tcPr>
            <w:tcW w:w="21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74A37" w:rsidRPr="00780E3A" w:rsidRDefault="00C74A37" w:rsidP="00780E3A">
            <w:pPr>
              <w:suppressAutoHyphens/>
              <w:spacing w:before="40" w:after="40" w:line="240" w:lineRule="auto"/>
              <w:jc w:val="center"/>
              <w:rPr>
                <w:w w:val="100"/>
                <w:sz w:val="18"/>
                <w:szCs w:val="18"/>
                <w:lang w:bidi="ru-RU"/>
              </w:rPr>
            </w:pPr>
            <w:r w:rsidRPr="00780E3A">
              <w:rPr>
                <w:w w:val="100"/>
                <w:sz w:val="18"/>
                <w:szCs w:val="18"/>
              </w:rPr>
              <w:t>Q/1</w:t>
            </w:r>
            <w:r w:rsidR="00336DBC">
              <w:rPr>
                <w:w w:val="100"/>
                <w:sz w:val="18"/>
                <w:szCs w:val="18"/>
              </w:rPr>
              <w:t xml:space="preserve"> </w:t>
            </w:r>
            <w:r w:rsidRPr="00780E3A">
              <w:rPr>
                <w:w w:val="100"/>
                <w:sz w:val="18"/>
                <w:szCs w:val="18"/>
              </w:rPr>
              <w:t>000</w:t>
            </w:r>
          </w:p>
        </w:tc>
        <w:tc>
          <w:tcPr>
            <w:tcW w:w="1980" w:type="dxa"/>
            <w:vMerge/>
            <w:tcBorders>
              <w:left w:val="single" w:sz="6" w:space="0" w:color="auto"/>
              <w:right w:val="single" w:sz="12" w:space="0" w:color="auto"/>
            </w:tcBorders>
            <w:vAlign w:val="center"/>
            <w:hideMark/>
          </w:tcPr>
          <w:p w:rsidR="00C74A37" w:rsidRPr="00780E3A" w:rsidRDefault="00C74A37" w:rsidP="00780E3A">
            <w:pPr>
              <w:spacing w:before="40" w:after="40" w:line="240" w:lineRule="auto"/>
              <w:rPr>
                <w:b/>
                <w:bCs/>
                <w:color w:val="365F91"/>
                <w:w w:val="100"/>
                <w:lang w:bidi="ru-RU"/>
              </w:rPr>
            </w:pPr>
          </w:p>
        </w:tc>
      </w:tr>
      <w:tr w:rsidR="00C74A37" w:rsidRPr="00780E3A" w:rsidTr="0040700D">
        <w:trPr>
          <w:trHeight w:hRule="exact" w:val="957"/>
        </w:trPr>
        <w:tc>
          <w:tcPr>
            <w:tcW w:w="1245" w:type="dxa"/>
            <w:vMerge/>
            <w:tcBorders>
              <w:top w:val="single" w:sz="6" w:space="0" w:color="auto"/>
              <w:left w:val="single" w:sz="12" w:space="0" w:color="auto"/>
              <w:bottom w:val="single" w:sz="6" w:space="0" w:color="auto"/>
              <w:right w:val="single" w:sz="6" w:space="0" w:color="auto"/>
            </w:tcBorders>
            <w:vAlign w:val="center"/>
            <w:hideMark/>
          </w:tcPr>
          <w:p w:rsidR="00C74A37" w:rsidRPr="00780E3A" w:rsidRDefault="00C74A37" w:rsidP="00780E3A">
            <w:pPr>
              <w:spacing w:before="40" w:after="40" w:line="240" w:lineRule="auto"/>
              <w:rPr>
                <w:rFonts w:eastAsia="MS Mincho"/>
                <w:w w:val="100"/>
                <w:sz w:val="18"/>
                <w:szCs w:val="18"/>
                <w:lang w:bidi="ru-RU"/>
              </w:rPr>
            </w:pPr>
          </w:p>
        </w:tc>
        <w:tc>
          <w:tcPr>
            <w:tcW w:w="12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74A37" w:rsidRPr="00780E3A" w:rsidRDefault="00C74A37" w:rsidP="00780E3A">
            <w:pPr>
              <w:pStyle w:val="Tabletext9"/>
              <w:spacing w:before="40" w:after="40" w:line="240" w:lineRule="auto"/>
              <w:rPr>
                <w:rFonts w:ascii="Times New Roman" w:hAnsi="Times New Roman"/>
                <w:spacing w:val="4"/>
                <w:kern w:val="14"/>
                <w:szCs w:val="18"/>
                <w:lang w:val="ru-RU" w:bidi="ru-RU"/>
              </w:rPr>
            </w:pPr>
            <w:r w:rsidRPr="00780E3A">
              <w:rPr>
                <w:rFonts w:ascii="Times New Roman" w:hAnsi="Times New Roman"/>
                <w:spacing w:val="4"/>
                <w:kern w:val="14"/>
                <w:szCs w:val="18"/>
                <w:lang w:val="ru-RU"/>
              </w:rPr>
              <w:t>Адгезия полиуретана</w:t>
            </w:r>
          </w:p>
        </w:tc>
        <w:tc>
          <w:tcPr>
            <w:tcW w:w="13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74A37" w:rsidRPr="00780E3A" w:rsidRDefault="00C74A37" w:rsidP="00780E3A">
            <w:pPr>
              <w:pStyle w:val="Tabletext9"/>
              <w:spacing w:before="40" w:after="40" w:line="240" w:lineRule="auto"/>
              <w:ind w:left="-72" w:hanging="18"/>
              <w:rPr>
                <w:rFonts w:ascii="Times New Roman" w:hAnsi="Times New Roman"/>
                <w:spacing w:val="4"/>
                <w:kern w:val="14"/>
                <w:szCs w:val="18"/>
                <w:lang w:val="ru-RU" w:bidi="ru-RU"/>
              </w:rPr>
            </w:pPr>
            <w:r w:rsidRPr="00780E3A">
              <w:rPr>
                <w:rFonts w:ascii="Times New Roman" w:hAnsi="Times New Roman"/>
                <w:spacing w:val="4"/>
                <w:kern w:val="14"/>
                <w:szCs w:val="18"/>
              </w:rPr>
              <w:t>ISO</w:t>
            </w:r>
            <w:r w:rsidRPr="00780E3A">
              <w:rPr>
                <w:rFonts w:ascii="Times New Roman" w:hAnsi="Times New Roman"/>
                <w:spacing w:val="4"/>
                <w:kern w:val="14"/>
                <w:szCs w:val="18"/>
                <w:lang w:val="ru-RU"/>
              </w:rPr>
              <w:t xml:space="preserve"> 2859-1</w:t>
            </w:r>
          </w:p>
        </w:tc>
        <w:tc>
          <w:tcPr>
            <w:tcW w:w="198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74A37" w:rsidRPr="00780E3A" w:rsidRDefault="00C74A37" w:rsidP="00780E3A">
            <w:pPr>
              <w:suppressAutoHyphens/>
              <w:spacing w:before="40" w:after="40" w:line="240" w:lineRule="auto"/>
              <w:jc w:val="center"/>
              <w:rPr>
                <w:w w:val="100"/>
                <w:sz w:val="18"/>
                <w:szCs w:val="18"/>
                <w:lang w:bidi="ru-RU"/>
              </w:rPr>
            </w:pPr>
            <w:r w:rsidRPr="00780E3A">
              <w:rPr>
                <w:w w:val="100"/>
                <w:sz w:val="18"/>
                <w:szCs w:val="18"/>
              </w:rPr>
              <w:t xml:space="preserve">Значение адгезии </w:t>
            </w:r>
            <w:r w:rsidRPr="00780E3A">
              <w:rPr>
                <w:w w:val="100"/>
                <w:sz w:val="18"/>
                <w:szCs w:val="18"/>
              </w:rPr>
              <w:br/>
              <w:t>&gt;0,5 Н/мм²</w:t>
            </w:r>
          </w:p>
        </w:tc>
        <w:tc>
          <w:tcPr>
            <w:tcW w:w="21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74A37" w:rsidRPr="00780E3A" w:rsidRDefault="00C74A37" w:rsidP="00780E3A">
            <w:pPr>
              <w:suppressAutoHyphens/>
              <w:spacing w:before="40" w:after="40" w:line="240" w:lineRule="auto"/>
              <w:jc w:val="center"/>
              <w:rPr>
                <w:w w:val="100"/>
                <w:sz w:val="18"/>
                <w:szCs w:val="18"/>
                <w:lang w:bidi="ru-RU"/>
              </w:rPr>
            </w:pPr>
            <w:r w:rsidRPr="00780E3A">
              <w:rPr>
                <w:w w:val="100"/>
                <w:sz w:val="18"/>
                <w:szCs w:val="18"/>
              </w:rPr>
              <w:t xml:space="preserve">См. стандарт </w:t>
            </w:r>
            <w:r w:rsidRPr="00780E3A">
              <w:rPr>
                <w:w w:val="100"/>
                <w:sz w:val="18"/>
                <w:szCs w:val="18"/>
              </w:rPr>
              <w:br/>
              <w:t xml:space="preserve">ISO 2859-1 применительно </w:t>
            </w:r>
            <w:r w:rsidRPr="00780E3A">
              <w:rPr>
                <w:w w:val="100"/>
                <w:sz w:val="18"/>
                <w:szCs w:val="18"/>
              </w:rPr>
              <w:br/>
              <w:t>к Q/1</w:t>
            </w:r>
            <w:r w:rsidR="00336DBC">
              <w:rPr>
                <w:w w:val="100"/>
                <w:sz w:val="18"/>
                <w:szCs w:val="18"/>
              </w:rPr>
              <w:t xml:space="preserve"> </w:t>
            </w:r>
            <w:r w:rsidRPr="00780E3A">
              <w:rPr>
                <w:w w:val="100"/>
                <w:sz w:val="18"/>
                <w:szCs w:val="18"/>
              </w:rPr>
              <w:t>000</w:t>
            </w:r>
          </w:p>
        </w:tc>
        <w:tc>
          <w:tcPr>
            <w:tcW w:w="1980" w:type="dxa"/>
            <w:vMerge/>
            <w:tcBorders>
              <w:left w:val="single" w:sz="6" w:space="0" w:color="auto"/>
              <w:bottom w:val="single" w:sz="6" w:space="0" w:color="auto"/>
              <w:right w:val="single" w:sz="12" w:space="0" w:color="auto"/>
            </w:tcBorders>
            <w:vAlign w:val="center"/>
            <w:hideMark/>
          </w:tcPr>
          <w:p w:rsidR="00C74A37" w:rsidRPr="00780E3A" w:rsidRDefault="00C74A37" w:rsidP="00780E3A">
            <w:pPr>
              <w:spacing w:before="40" w:after="40" w:line="240" w:lineRule="auto"/>
              <w:rPr>
                <w:b/>
                <w:bCs/>
                <w:color w:val="365F91"/>
                <w:w w:val="100"/>
                <w:lang w:bidi="ru-RU"/>
              </w:rPr>
            </w:pPr>
          </w:p>
        </w:tc>
      </w:tr>
      <w:tr w:rsidR="005C1757" w:rsidRPr="00780E3A" w:rsidTr="0001060E">
        <w:trPr>
          <w:trHeight w:val="529"/>
        </w:trPr>
        <w:tc>
          <w:tcPr>
            <w:tcW w:w="9975" w:type="dxa"/>
            <w:gridSpan w:val="6"/>
            <w:tcBorders>
              <w:top w:val="single" w:sz="6"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5C1757" w:rsidRPr="00780E3A" w:rsidRDefault="005C1757" w:rsidP="00780E3A">
            <w:pPr>
              <w:spacing w:before="40" w:after="40" w:line="240" w:lineRule="auto"/>
              <w:rPr>
                <w:w w:val="100"/>
                <w:sz w:val="18"/>
                <w:szCs w:val="18"/>
                <w:lang w:bidi="ru-RU"/>
              </w:rPr>
            </w:pPr>
            <w:r w:rsidRPr="00780E3A">
              <w:rPr>
                <w:w w:val="100"/>
                <w:sz w:val="18"/>
                <w:szCs w:val="18"/>
              </w:rPr>
              <w:t>Q – партия.</w:t>
            </w:r>
            <w:r w:rsidR="00EA265D" w:rsidRPr="00780E3A">
              <w:rPr>
                <w:w w:val="100"/>
                <w:sz w:val="18"/>
                <w:szCs w:val="18"/>
              </w:rPr>
              <w:br/>
            </w:r>
            <w:r w:rsidRPr="00780E3A">
              <w:rPr>
                <w:w w:val="100"/>
                <w:sz w:val="18"/>
                <w:szCs w:val="18"/>
              </w:rPr>
              <w:t>q – однородная партия баллонов с формованным защитным кожухом.</w:t>
            </w:r>
          </w:p>
        </w:tc>
      </w:tr>
    </w:tbl>
    <w:p w:rsidR="0045271D" w:rsidRPr="0045271D" w:rsidRDefault="0045271D" w:rsidP="0045271D">
      <w:pPr>
        <w:pStyle w:val="SingleTxt"/>
        <w:spacing w:after="0" w:line="120" w:lineRule="exact"/>
        <w:rPr>
          <w:i/>
          <w:sz w:val="10"/>
          <w:lang w:bidi="ru-RU"/>
        </w:rPr>
      </w:pPr>
    </w:p>
    <w:p w:rsidR="0045271D" w:rsidRPr="0045271D" w:rsidRDefault="0045271D" w:rsidP="0045271D">
      <w:pPr>
        <w:pStyle w:val="SingleTxt"/>
        <w:spacing w:after="0" w:line="120" w:lineRule="exact"/>
        <w:rPr>
          <w:i/>
          <w:sz w:val="10"/>
          <w:lang w:bidi="ru-RU"/>
        </w:rPr>
      </w:pPr>
    </w:p>
    <w:p w:rsidR="00244ABB" w:rsidRPr="00244ABB" w:rsidRDefault="00244ABB" w:rsidP="00244ABB">
      <w:pPr>
        <w:pStyle w:val="SingleTxt"/>
        <w:rPr>
          <w:i/>
          <w:lang w:bidi="ru-RU"/>
        </w:rPr>
      </w:pPr>
      <w:r w:rsidRPr="00244ABB">
        <w:rPr>
          <w:i/>
          <w:lang w:bidi="ru-RU"/>
        </w:rPr>
        <w:t xml:space="preserve">* </w:t>
      </w:r>
      <w:r w:rsidR="00A90E47">
        <w:rPr>
          <w:i/>
          <w:lang w:bidi="ru-RU"/>
        </w:rPr>
        <w:tab/>
      </w:r>
      <w:r w:rsidRPr="00244ABB">
        <w:rPr>
          <w:i/>
          <w:lang w:bidi="ru-RU"/>
        </w:rPr>
        <w:t xml:space="preserve">Для каждой из двух групп показателей (давление разрыва и объемное расширение) </w:t>
      </w:r>
      <w:r w:rsidR="0045271D">
        <w:rPr>
          <w:i/>
          <w:lang w:bidi="ru-RU"/>
        </w:rPr>
        <w:t>«</w:t>
      </w:r>
      <w:r w:rsidRPr="00244ABB">
        <w:rPr>
          <w:i/>
          <w:lang w:bidi="ru-RU"/>
        </w:rPr>
        <w:t>правильный</w:t>
      </w:r>
      <w:r w:rsidR="0045271D">
        <w:rPr>
          <w:i/>
          <w:lang w:bidi="ru-RU"/>
        </w:rPr>
        <w:t>»</w:t>
      </w:r>
      <w:r w:rsidRPr="00244ABB">
        <w:rPr>
          <w:i/>
          <w:lang w:bidi="ru-RU"/>
        </w:rPr>
        <w:t xml:space="preserve"> односторонний статистический толерантный интервал рассчитывается при доверительном пределе 95% и доли совокупности, равной 99%. Расчет производится в соответствии с стандартом ISO 16269-6:2005 при допуске, для каждой контрольной партии БФЗК, на нормальное распределение совокупности и с учетом того, что отклонение неизвестно.</w:t>
      </w:r>
    </w:p>
    <w:p w:rsidR="00244ABB" w:rsidRPr="00244ABB" w:rsidRDefault="00A90E47" w:rsidP="00244ABB">
      <w:pPr>
        <w:pStyle w:val="SingleTxt"/>
        <w:rPr>
          <w:i/>
          <w:lang w:bidi="ru-RU"/>
        </w:rPr>
      </w:pPr>
      <w:r>
        <w:rPr>
          <w:i/>
          <w:lang w:bidi="ru-RU"/>
        </w:rPr>
        <w:tab/>
      </w:r>
      <w:r w:rsidR="00244ABB" w:rsidRPr="00244ABB">
        <w:rPr>
          <w:i/>
          <w:lang w:bidi="ru-RU"/>
        </w:rPr>
        <w:t>Результаты испытаний для каждого образца проверяются по характеру их функции распределения. Если распределение результатов испытаний не соответствует нормальному распределению, то для расчетов используют достоверное распределение, при этом данный дополнительный элемент должен быть подтвержден независимым учреждением, в соответствии с подразделом h) пункта 6.2.3.5.3.1.</w:t>
      </w:r>
    </w:p>
    <w:p w:rsidR="00244ABB" w:rsidRPr="00244ABB" w:rsidRDefault="00A90E47" w:rsidP="00244ABB">
      <w:pPr>
        <w:pStyle w:val="SingleTxt"/>
        <w:rPr>
          <w:i/>
          <w:lang w:bidi="ru-RU"/>
        </w:rPr>
      </w:pPr>
      <w:r>
        <w:rPr>
          <w:i/>
          <w:lang w:bidi="ru-RU"/>
        </w:rPr>
        <w:tab/>
      </w:r>
      <w:r w:rsidR="00244ABB" w:rsidRPr="00244ABB">
        <w:rPr>
          <w:i/>
          <w:lang w:bidi="ru-RU"/>
        </w:rPr>
        <w:t xml:space="preserve">Толерантный интервал с покрытием р при доверительном пределе 1 </w:t>
      </w:r>
      <w:r w:rsidR="0045271D">
        <w:rPr>
          <w:i/>
          <w:lang w:bidi="ru-RU"/>
        </w:rPr>
        <w:t>–</w:t>
      </w:r>
      <w:r w:rsidR="00336DBC">
        <w:rPr>
          <w:i/>
          <w:lang w:bidi="ru-RU"/>
        </w:rPr>
        <w:t xml:space="preserve"> α имеет нижний предел х</w:t>
      </w:r>
      <w:r w:rsidR="00244ABB" w:rsidRPr="00244ABB">
        <w:rPr>
          <w:i/>
          <w:lang w:bidi="ru-RU"/>
        </w:rPr>
        <w:t>L, определяемый по следующей формуле:</w:t>
      </w:r>
    </w:p>
    <w:p w:rsidR="00244ABB" w:rsidRPr="00244ABB" w:rsidRDefault="00244ABB" w:rsidP="0045271D">
      <w:pPr>
        <w:pStyle w:val="SingleTxt"/>
        <w:jc w:val="center"/>
        <w:rPr>
          <w:i/>
          <w:lang w:val="en-US" w:bidi="ru-RU"/>
        </w:rPr>
      </w:pPr>
      <w:r w:rsidRPr="00244ABB">
        <w:rPr>
          <w:i/>
          <w:lang w:val="en-US" w:bidi="ru-RU"/>
        </w:rPr>
        <w:t>xL = x – k3(n;p;1-</w:t>
      </w:r>
      <w:r w:rsidRPr="00244ABB">
        <w:rPr>
          <w:i/>
          <w:lang w:bidi="ru-RU"/>
        </w:rPr>
        <w:t>α</w:t>
      </w:r>
      <w:r w:rsidRPr="00244ABB">
        <w:rPr>
          <w:i/>
          <w:lang w:val="en-US" w:bidi="ru-RU"/>
        </w:rPr>
        <w:t>)×s,</w:t>
      </w:r>
    </w:p>
    <w:p w:rsidR="00244ABB" w:rsidRPr="00244ABB" w:rsidRDefault="00244ABB" w:rsidP="00C61789">
      <w:pPr>
        <w:pStyle w:val="SingleTxt"/>
        <w:pageBreakBefore/>
        <w:rPr>
          <w:i/>
          <w:lang w:val="en-US" w:bidi="ru-RU"/>
        </w:rPr>
      </w:pPr>
      <w:r w:rsidRPr="00244ABB">
        <w:rPr>
          <w:i/>
          <w:lang w:bidi="ru-RU"/>
        </w:rPr>
        <w:lastRenderedPageBreak/>
        <w:t>где</w:t>
      </w:r>
      <w:r w:rsidRPr="00244ABB">
        <w:rPr>
          <w:i/>
          <w:lang w:val="en-US" w:bidi="ru-RU"/>
        </w:rPr>
        <w:t>:</w:t>
      </w:r>
    </w:p>
    <w:p w:rsidR="00244ABB" w:rsidRPr="00244ABB" w:rsidRDefault="00244ABB" w:rsidP="0045271D">
      <w:pPr>
        <w:pStyle w:val="SingleTxt"/>
        <w:ind w:left="1742"/>
        <w:rPr>
          <w:i/>
          <w:lang w:bidi="ru-RU"/>
        </w:rPr>
      </w:pPr>
      <w:r w:rsidRPr="00244ABB">
        <w:rPr>
          <w:i/>
          <w:lang w:bidi="ru-RU"/>
        </w:rPr>
        <w:t>х – выборочное среднее;</w:t>
      </w:r>
    </w:p>
    <w:p w:rsidR="00244ABB" w:rsidRPr="00244ABB" w:rsidRDefault="00244ABB" w:rsidP="0045271D">
      <w:pPr>
        <w:pStyle w:val="SingleTxt"/>
        <w:ind w:left="1742"/>
        <w:rPr>
          <w:i/>
          <w:lang w:bidi="ru-RU"/>
        </w:rPr>
      </w:pPr>
      <w:r w:rsidRPr="00244ABB">
        <w:rPr>
          <w:i/>
          <w:lang w:bidi="ru-RU"/>
        </w:rPr>
        <w:t>s – стандартное отклонение;</w:t>
      </w:r>
    </w:p>
    <w:p w:rsidR="00244ABB" w:rsidRPr="00244ABB" w:rsidRDefault="00244ABB" w:rsidP="0045271D">
      <w:pPr>
        <w:pStyle w:val="SingleTxt"/>
        <w:ind w:left="1742"/>
        <w:rPr>
          <w:i/>
          <w:lang w:bidi="ru-RU"/>
        </w:rPr>
      </w:pPr>
      <w:r w:rsidRPr="00244ABB">
        <w:rPr>
          <w:i/>
          <w:lang w:bidi="ru-RU"/>
        </w:rPr>
        <w:t>k3 − табулированная факторная функция п, р и 1-α;</w:t>
      </w:r>
    </w:p>
    <w:p w:rsidR="00244ABB" w:rsidRPr="00244ABB" w:rsidRDefault="00244ABB" w:rsidP="00244ABB">
      <w:pPr>
        <w:pStyle w:val="SingleTxt"/>
        <w:rPr>
          <w:i/>
          <w:lang w:bidi="ru-RU"/>
        </w:rPr>
      </w:pPr>
      <w:r w:rsidRPr="00244ABB">
        <w:rPr>
          <w:i/>
          <w:lang w:bidi="ru-RU"/>
        </w:rPr>
        <w:t>ПРИМЕЧАНИЕ: Это значение можно быть взято из таблицы D.4, приводимой в приложении D стандарта ISO 16269-6:2005.</w:t>
      </w:r>
    </w:p>
    <w:p w:rsidR="00244ABB" w:rsidRPr="00244ABB" w:rsidRDefault="00244ABB" w:rsidP="0045271D">
      <w:pPr>
        <w:pStyle w:val="SingleTxt"/>
        <w:ind w:left="1742"/>
        <w:rPr>
          <w:i/>
          <w:lang w:bidi="ru-RU"/>
        </w:rPr>
      </w:pPr>
      <w:r w:rsidRPr="00244ABB">
        <w:rPr>
          <w:i/>
          <w:lang w:bidi="ru-RU"/>
        </w:rPr>
        <w:t>р – доля совокупности, выбранная для толерантного интервала (99%);</w:t>
      </w:r>
    </w:p>
    <w:p w:rsidR="00244ABB" w:rsidRPr="00244ABB" w:rsidRDefault="00244ABB" w:rsidP="0045271D">
      <w:pPr>
        <w:pStyle w:val="SingleTxt"/>
        <w:ind w:left="1742"/>
        <w:rPr>
          <w:i/>
          <w:lang w:bidi="ru-RU"/>
        </w:rPr>
      </w:pPr>
      <w:r w:rsidRPr="00244ABB">
        <w:rPr>
          <w:i/>
          <w:lang w:bidi="ru-RU"/>
        </w:rPr>
        <w:t>1- α – доверительный предел (95%);</w:t>
      </w:r>
    </w:p>
    <w:p w:rsidR="00244ABB" w:rsidRPr="00244ABB" w:rsidRDefault="00244ABB" w:rsidP="0045271D">
      <w:pPr>
        <w:pStyle w:val="SingleTxt"/>
        <w:ind w:left="1742"/>
        <w:rPr>
          <w:i/>
          <w:lang w:bidi="ru-RU"/>
        </w:rPr>
      </w:pPr>
      <w:r w:rsidRPr="00244ABB">
        <w:rPr>
          <w:i/>
          <w:lang w:bidi="ru-RU"/>
        </w:rPr>
        <w:t>n – размер выборки.</w:t>
      </w:r>
    </w:p>
    <w:p w:rsidR="00244ABB" w:rsidRPr="00244ABB" w:rsidRDefault="00244ABB" w:rsidP="00244ABB">
      <w:pPr>
        <w:pStyle w:val="SingleTxt"/>
        <w:rPr>
          <w:i/>
          <w:lang w:bidi="ru-RU"/>
        </w:rPr>
      </w:pPr>
      <w:r w:rsidRPr="00244ABB">
        <w:rPr>
          <w:i/>
          <w:lang w:bidi="ru-RU"/>
        </w:rPr>
        <w:t xml:space="preserve">** </w:t>
      </w:r>
      <w:r w:rsidR="00336DBC">
        <w:rPr>
          <w:i/>
          <w:lang w:bidi="ru-RU"/>
        </w:rPr>
        <w:tab/>
      </w:r>
      <w:r w:rsidRPr="00244ABB">
        <w:rPr>
          <w:i/>
          <w:lang w:bidi="ru-RU"/>
        </w:rPr>
        <w:t>Для баллонов, изготовленных в соответствии с директивой 84/527/ЕЕС</w:t>
      </w:r>
      <w:r w:rsidR="00336DBC">
        <w:rPr>
          <w:i/>
          <w:lang w:bidi="ru-RU"/>
        </w:rPr>
        <w:t> </w:t>
      </w:r>
      <w:r w:rsidRPr="00244ABB">
        <w:rPr>
          <w:i/>
          <w:lang w:bidi="ru-RU"/>
        </w:rPr>
        <w:t>[8], объемное расширение не может быть меньше, чем:</w:t>
      </w:r>
    </w:p>
    <w:p w:rsidR="00244ABB" w:rsidRPr="00244ABB" w:rsidRDefault="00244ABB" w:rsidP="0045271D">
      <w:pPr>
        <w:pStyle w:val="SingleTxt"/>
        <w:ind w:left="1742"/>
        <w:rPr>
          <w:i/>
          <w:lang w:bidi="ru-RU"/>
        </w:rPr>
      </w:pPr>
      <w:r w:rsidRPr="00244ABB">
        <w:rPr>
          <w:i/>
          <w:lang w:bidi="ru-RU"/>
        </w:rPr>
        <w:t xml:space="preserve">a) </w:t>
      </w:r>
      <w:r w:rsidR="0045271D">
        <w:rPr>
          <w:i/>
          <w:lang w:bidi="ru-RU"/>
        </w:rPr>
        <w:tab/>
      </w:r>
      <w:r w:rsidRPr="00244ABB">
        <w:rPr>
          <w:i/>
          <w:lang w:bidi="ru-RU"/>
        </w:rPr>
        <w:t xml:space="preserve">15% для испытаний, проводимых через </w:t>
      </w:r>
      <w:r w:rsidR="00336DBC">
        <w:rPr>
          <w:i/>
          <w:lang w:bidi="ru-RU"/>
        </w:rPr>
        <w:t>три</w:t>
      </w:r>
      <w:r w:rsidRPr="00244ABB">
        <w:rPr>
          <w:i/>
          <w:lang w:bidi="ru-RU"/>
        </w:rPr>
        <w:t xml:space="preserve"> года после изготовления;</w:t>
      </w:r>
    </w:p>
    <w:p w:rsidR="00244ABB" w:rsidRPr="00244ABB" w:rsidRDefault="00244ABB" w:rsidP="0045271D">
      <w:pPr>
        <w:pStyle w:val="SingleTxt"/>
        <w:ind w:left="1742"/>
        <w:rPr>
          <w:i/>
          <w:lang w:bidi="ru-RU"/>
        </w:rPr>
      </w:pPr>
      <w:r w:rsidRPr="00244ABB">
        <w:rPr>
          <w:i/>
          <w:lang w:bidi="ru-RU"/>
        </w:rPr>
        <w:t xml:space="preserve">b) </w:t>
      </w:r>
      <w:r w:rsidR="0045271D">
        <w:rPr>
          <w:i/>
          <w:lang w:bidi="ru-RU"/>
        </w:rPr>
        <w:tab/>
      </w:r>
      <w:r w:rsidRPr="00244ABB">
        <w:rPr>
          <w:i/>
          <w:lang w:bidi="ru-RU"/>
        </w:rPr>
        <w:t xml:space="preserve">13% для испытаний, проводимых через </w:t>
      </w:r>
      <w:r w:rsidR="00336DBC">
        <w:rPr>
          <w:i/>
          <w:lang w:bidi="ru-RU"/>
        </w:rPr>
        <w:t>восемь</w:t>
      </w:r>
      <w:r w:rsidRPr="00244ABB">
        <w:rPr>
          <w:i/>
          <w:lang w:bidi="ru-RU"/>
        </w:rPr>
        <w:t xml:space="preserve"> лет после изготовления;</w:t>
      </w:r>
    </w:p>
    <w:p w:rsidR="00244ABB" w:rsidRPr="00244ABB" w:rsidRDefault="00244ABB" w:rsidP="0045271D">
      <w:pPr>
        <w:pStyle w:val="SingleTxt"/>
        <w:ind w:left="1742"/>
        <w:rPr>
          <w:i/>
          <w:lang w:bidi="ru-RU"/>
        </w:rPr>
      </w:pPr>
      <w:r w:rsidRPr="00244ABB">
        <w:rPr>
          <w:i/>
          <w:lang w:bidi="ru-RU"/>
        </w:rPr>
        <w:t xml:space="preserve">с) </w:t>
      </w:r>
      <w:r w:rsidR="0045271D">
        <w:rPr>
          <w:i/>
          <w:lang w:bidi="ru-RU"/>
        </w:rPr>
        <w:tab/>
      </w:r>
      <w:r w:rsidRPr="00244ABB">
        <w:rPr>
          <w:i/>
          <w:lang w:bidi="ru-RU"/>
        </w:rPr>
        <w:t xml:space="preserve">12% для испытаний, проводимых затем каждые </w:t>
      </w:r>
      <w:r w:rsidR="00336DBC">
        <w:rPr>
          <w:i/>
          <w:lang w:bidi="ru-RU"/>
        </w:rPr>
        <w:t>пять</w:t>
      </w:r>
      <w:r w:rsidRPr="00244ABB">
        <w:rPr>
          <w:i/>
          <w:lang w:bidi="ru-RU"/>
        </w:rPr>
        <w:t xml:space="preserve"> лет;</w:t>
      </w:r>
    </w:p>
    <w:p w:rsidR="00244ABB" w:rsidRPr="00244ABB" w:rsidRDefault="00244ABB" w:rsidP="0045271D">
      <w:pPr>
        <w:pStyle w:val="SingleTxt"/>
        <w:ind w:left="2693" w:hanging="1426"/>
        <w:rPr>
          <w:i/>
          <w:lang w:bidi="ru-RU"/>
        </w:rPr>
      </w:pPr>
      <w:r w:rsidRPr="00244ABB">
        <w:rPr>
          <w:i/>
          <w:lang w:bidi="ru-RU"/>
        </w:rPr>
        <w:tab/>
      </w:r>
      <w:r w:rsidRPr="00244ABB">
        <w:rPr>
          <w:i/>
          <w:lang w:bidi="ru-RU"/>
        </w:rPr>
        <w:tab/>
        <w:t xml:space="preserve">– </w:t>
      </w:r>
      <w:r w:rsidR="0045271D">
        <w:rPr>
          <w:i/>
          <w:lang w:bidi="ru-RU"/>
        </w:rPr>
        <w:tab/>
      </w:r>
      <w:r w:rsidRPr="00244ABB">
        <w:rPr>
          <w:i/>
          <w:lang w:bidi="ru-RU"/>
        </w:rPr>
        <w:t>для баллонов, изготовленных в соответствии с директивой</w:t>
      </w:r>
      <w:r w:rsidR="0045271D">
        <w:rPr>
          <w:i/>
          <w:lang w:bidi="ru-RU"/>
        </w:rPr>
        <w:t> </w:t>
      </w:r>
      <w:r w:rsidRPr="00244ABB">
        <w:rPr>
          <w:i/>
          <w:lang w:bidi="ru-RU"/>
        </w:rPr>
        <w:t xml:space="preserve">1999/36/ЕС [9] или директивой 2010/35/ЕU [10] </w:t>
      </w:r>
      <w:r w:rsidR="00336DBC">
        <w:rPr>
          <w:i/>
          <w:lang w:bidi="ru-RU"/>
        </w:rPr>
        <w:t xml:space="preserve">и в соответствии со стандартом </w:t>
      </w:r>
      <w:r w:rsidR="00336DBC">
        <w:rPr>
          <w:i/>
          <w:lang w:val="en-US" w:bidi="ru-RU"/>
        </w:rPr>
        <w:t>EN</w:t>
      </w:r>
      <w:r w:rsidR="00336DBC" w:rsidRPr="00336DBC">
        <w:rPr>
          <w:i/>
          <w:lang w:bidi="ru-RU"/>
        </w:rPr>
        <w:t xml:space="preserve"> 1442</w:t>
      </w:r>
      <w:r w:rsidR="00336DBC">
        <w:rPr>
          <w:i/>
          <w:lang w:bidi="ru-RU"/>
        </w:rPr>
        <w:t xml:space="preserve"> </w:t>
      </w:r>
      <w:r w:rsidRPr="00244ABB">
        <w:rPr>
          <w:i/>
          <w:lang w:bidi="ru-RU"/>
        </w:rPr>
        <w:t>объемное расширение не может быть меньше, чем 9%;</w:t>
      </w:r>
    </w:p>
    <w:p w:rsidR="00244ABB" w:rsidRPr="00244ABB" w:rsidRDefault="00244ABB" w:rsidP="00A90E47">
      <w:pPr>
        <w:pStyle w:val="SingleTxt"/>
        <w:ind w:left="2693" w:hanging="1426"/>
        <w:rPr>
          <w:i/>
          <w:lang w:bidi="ru-RU"/>
        </w:rPr>
      </w:pPr>
      <w:r w:rsidRPr="00244ABB">
        <w:rPr>
          <w:i/>
          <w:lang w:bidi="ru-RU"/>
        </w:rPr>
        <w:tab/>
      </w:r>
      <w:r w:rsidRPr="00244ABB">
        <w:rPr>
          <w:i/>
          <w:lang w:bidi="ru-RU"/>
        </w:rPr>
        <w:tab/>
      </w:r>
      <w:r w:rsidR="0045271D">
        <w:rPr>
          <w:i/>
          <w:lang w:bidi="ru-RU"/>
        </w:rPr>
        <w:t>–</w:t>
      </w:r>
      <w:r w:rsidRPr="00244ABB">
        <w:rPr>
          <w:i/>
          <w:lang w:bidi="ru-RU"/>
        </w:rPr>
        <w:t xml:space="preserve"> </w:t>
      </w:r>
      <w:r w:rsidR="0045271D">
        <w:rPr>
          <w:i/>
          <w:lang w:bidi="ru-RU"/>
        </w:rPr>
        <w:tab/>
      </w:r>
      <w:r w:rsidRPr="00244ABB">
        <w:rPr>
          <w:i/>
          <w:lang w:bidi="ru-RU"/>
        </w:rPr>
        <w:t>для баллонов, изготовленных в соответствии с директивой</w:t>
      </w:r>
      <w:r w:rsidR="0045271D">
        <w:rPr>
          <w:i/>
          <w:lang w:bidi="ru-RU"/>
        </w:rPr>
        <w:t> </w:t>
      </w:r>
      <w:r w:rsidRPr="00244ABB">
        <w:rPr>
          <w:i/>
          <w:lang w:bidi="ru-RU"/>
        </w:rPr>
        <w:t xml:space="preserve">1999/36/ЕС [9] или директивой 2010/35/ЕС [10] в соответствии со стандартом EN 14140, для определения критериев объемного расширения необходимо иметь по крайней мере </w:t>
      </w:r>
      <w:r w:rsidR="00336DBC">
        <w:rPr>
          <w:i/>
          <w:lang w:bidi="ru-RU"/>
        </w:rPr>
        <w:t>восемь</w:t>
      </w:r>
      <w:r w:rsidRPr="00244ABB">
        <w:rPr>
          <w:i/>
          <w:lang w:bidi="ru-RU"/>
        </w:rPr>
        <w:t xml:space="preserve"> лет опыта эксплуатации этого типа баллона.</w:t>
      </w:r>
    </w:p>
    <w:p w:rsidR="00244ABB" w:rsidRDefault="00A90E47" w:rsidP="00244ABB">
      <w:pPr>
        <w:pStyle w:val="SingleTxt"/>
        <w:rPr>
          <w:lang w:bidi="ru-RU"/>
        </w:rPr>
      </w:pPr>
      <w:r>
        <w:rPr>
          <w:lang w:bidi="ru-RU"/>
        </w:rPr>
        <w:tab/>
      </w:r>
      <w:r w:rsidR="00244ABB">
        <w:rPr>
          <w:lang w:bidi="ru-RU"/>
        </w:rPr>
        <w:t xml:space="preserve">g) </w:t>
      </w:r>
      <w:r>
        <w:rPr>
          <w:lang w:bidi="ru-RU"/>
        </w:rPr>
        <w:tab/>
      </w:r>
      <w:r w:rsidR="00244ABB">
        <w:rPr>
          <w:lang w:bidi="ru-RU"/>
        </w:rPr>
        <w:t>Меры в случае несоответствия требованиям</w:t>
      </w:r>
    </w:p>
    <w:p w:rsidR="00244ABB" w:rsidRDefault="00240ED7" w:rsidP="00A90E47">
      <w:pPr>
        <w:pStyle w:val="SingleTxt"/>
        <w:ind w:left="2218"/>
        <w:rPr>
          <w:lang w:bidi="ru-RU"/>
        </w:rPr>
      </w:pPr>
      <w:r>
        <w:rPr>
          <w:lang w:bidi="ru-RU"/>
        </w:rPr>
        <w:tab/>
      </w:r>
      <w:r w:rsidR="00244ABB">
        <w:rPr>
          <w:lang w:bidi="ru-RU"/>
        </w:rPr>
        <w:t>Если результат испытания на разрыв, испытания на отслоение или испытания на адгезию не соответствует критериям, указанным в предыдущей таблице, партии баллонов с формованным защитным кожухом, которых это может касаться, не должны предлагаться для транспортировки и использования. В соответствии с договоренностью с компетентным органом, его представителями или органом, выдавшим свидетельство об утверждении конструкции, могут быть проведены дополнительные испытания с целью определить причину непрохождения испытания и соответствующий период производства стальных баллонов или производства формованных защитных кожухов. Баллоны с формованным защитным кожухом, произведенные в другой период, могут быть вновь предложены для заполнения.</w:t>
      </w:r>
    </w:p>
    <w:p w:rsidR="00244ABB" w:rsidRDefault="00A90E47" w:rsidP="00244ABB">
      <w:pPr>
        <w:pStyle w:val="SingleTxt"/>
        <w:rPr>
          <w:lang w:bidi="ru-RU"/>
        </w:rPr>
      </w:pPr>
      <w:r>
        <w:rPr>
          <w:lang w:bidi="ru-RU"/>
        </w:rPr>
        <w:tab/>
      </w:r>
      <w:r w:rsidR="00244ABB">
        <w:rPr>
          <w:lang w:bidi="ru-RU"/>
        </w:rPr>
        <w:t>h)</w:t>
      </w:r>
      <w:r w:rsidR="00244ABB">
        <w:rPr>
          <w:lang w:bidi="ru-RU"/>
        </w:rPr>
        <w:tab/>
        <w:t>Требования, предъявляемые к заправочным пунктам</w:t>
      </w:r>
    </w:p>
    <w:p w:rsidR="00244ABB" w:rsidRDefault="003A04F4" w:rsidP="00A90E47">
      <w:pPr>
        <w:pStyle w:val="SingleTxt"/>
        <w:ind w:left="2218"/>
        <w:rPr>
          <w:lang w:bidi="ru-RU"/>
        </w:rPr>
      </w:pPr>
      <w:r>
        <w:rPr>
          <w:lang w:bidi="ru-RU"/>
        </w:rPr>
        <w:tab/>
      </w:r>
      <w:r w:rsidR="00244ABB">
        <w:rPr>
          <w:lang w:bidi="ru-RU"/>
        </w:rPr>
        <w:t>Владелец должен доказать к удовлетворению компетентного органа, что заполнение баллонов с формованным кожухом производится только на заправочных пунктах, на которых имеется документированная система качества, с тем чтобы обеспечить выполнение всех положений пункта 7 инструкции по упаковке Р200 и надлежащее применение требований стандарта EN1439:2008. На каждом заправочном пункте должны иметься:</w:t>
      </w:r>
    </w:p>
    <w:p w:rsidR="00244ABB" w:rsidRDefault="00A90E47" w:rsidP="00A90E47">
      <w:pPr>
        <w:pStyle w:val="SingleTxt"/>
        <w:ind w:left="2693" w:hanging="475"/>
        <w:rPr>
          <w:lang w:bidi="ru-RU"/>
        </w:rPr>
      </w:pPr>
      <w:r>
        <w:rPr>
          <w:lang w:bidi="ru-RU"/>
        </w:rPr>
        <w:lastRenderedPageBreak/>
        <w:t>–</w:t>
      </w:r>
      <w:r w:rsidR="00244ABB">
        <w:rPr>
          <w:lang w:bidi="ru-RU"/>
        </w:rPr>
        <w:t xml:space="preserve"> </w:t>
      </w:r>
      <w:r>
        <w:rPr>
          <w:lang w:bidi="ru-RU"/>
        </w:rPr>
        <w:tab/>
      </w:r>
      <w:r w:rsidR="00244ABB">
        <w:rPr>
          <w:lang w:bidi="ru-RU"/>
        </w:rPr>
        <w:t>соответствующие средства для идентификации баллонов с формованным защитным кожухом с помощью устройства для электронной идентификации;</w:t>
      </w:r>
    </w:p>
    <w:p w:rsidR="00244ABB" w:rsidRDefault="00A90E47" w:rsidP="00A90E47">
      <w:pPr>
        <w:pStyle w:val="SingleTxt"/>
        <w:ind w:left="2693" w:hanging="475"/>
        <w:rPr>
          <w:lang w:bidi="ru-RU"/>
        </w:rPr>
      </w:pPr>
      <w:r>
        <w:rPr>
          <w:lang w:bidi="ru-RU"/>
        </w:rPr>
        <w:t>–</w:t>
      </w:r>
      <w:r w:rsidR="00244ABB">
        <w:rPr>
          <w:lang w:bidi="ru-RU"/>
        </w:rPr>
        <w:t xml:space="preserve"> </w:t>
      </w:r>
      <w:r>
        <w:rPr>
          <w:lang w:bidi="ru-RU"/>
        </w:rPr>
        <w:tab/>
      </w:r>
      <w:r w:rsidR="00244ABB">
        <w:rPr>
          <w:lang w:bidi="ru-RU"/>
        </w:rPr>
        <w:t>доступ к соответствующей информации;</w:t>
      </w:r>
    </w:p>
    <w:p w:rsidR="00244ABB" w:rsidRDefault="00A90E47" w:rsidP="00A90E47">
      <w:pPr>
        <w:pStyle w:val="SingleTxt"/>
        <w:ind w:left="2693" w:hanging="475"/>
        <w:rPr>
          <w:lang w:bidi="ru-RU"/>
        </w:rPr>
      </w:pPr>
      <w:r>
        <w:rPr>
          <w:lang w:bidi="ru-RU"/>
        </w:rPr>
        <w:t>–</w:t>
      </w:r>
      <w:r w:rsidR="00244ABB">
        <w:rPr>
          <w:lang w:bidi="ru-RU"/>
        </w:rPr>
        <w:t xml:space="preserve"> </w:t>
      </w:r>
      <w:r>
        <w:rPr>
          <w:lang w:bidi="ru-RU"/>
        </w:rPr>
        <w:tab/>
      </w:r>
      <w:r w:rsidR="00244ABB">
        <w:rPr>
          <w:lang w:bidi="ru-RU"/>
        </w:rPr>
        <w:t>возможность обновлять соответствующую информацию.</w:t>
      </w:r>
    </w:p>
    <w:p w:rsidR="00244ABB" w:rsidRDefault="003A04F4" w:rsidP="00A90E47">
      <w:pPr>
        <w:pStyle w:val="SingleTxt"/>
        <w:ind w:left="2218"/>
        <w:rPr>
          <w:lang w:bidi="ru-RU"/>
        </w:rPr>
      </w:pPr>
      <w:r>
        <w:rPr>
          <w:lang w:bidi="ru-RU"/>
        </w:rPr>
        <w:tab/>
      </w:r>
      <w:r w:rsidR="00244ABB">
        <w:rPr>
          <w:lang w:bidi="ru-RU"/>
        </w:rPr>
        <w:t>Владелец должен предоставить компетентному органу документальное подтверждение того, что заправочный пункт соответствует этим требованиям и что система качества, в соответствии со стандартами серии ISO 9000 или эквивалентными стандартами, сертифицирована аккредитованным независимым органом, признанным компетентным органом".</w:t>
      </w:r>
    </w:p>
    <w:p w:rsidR="00244ABB" w:rsidRDefault="00244ABB" w:rsidP="00244ABB">
      <w:pPr>
        <w:pStyle w:val="SingleTxt"/>
        <w:rPr>
          <w:lang w:bidi="ru-RU"/>
        </w:rPr>
      </w:pPr>
      <w:r>
        <w:rPr>
          <w:lang w:bidi="ru-RU"/>
        </w:rPr>
        <w:t>23.</w:t>
      </w:r>
      <w:r>
        <w:rPr>
          <w:lang w:bidi="ru-RU"/>
        </w:rPr>
        <w:tab/>
        <w:t>Удалить исключение подраздела 3.5 и приложения G из ссылки на стандарт</w:t>
      </w:r>
      <w:r w:rsidR="003A04F4">
        <w:rPr>
          <w:lang w:bidi="ru-RU"/>
        </w:rPr>
        <w:t> </w:t>
      </w:r>
      <w:r>
        <w:rPr>
          <w:lang w:bidi="ru-RU"/>
        </w:rPr>
        <w:t>EN 1439:2008 в таблице в пункте 11 инструкции по упаковке P200.</w:t>
      </w:r>
    </w:p>
    <w:p w:rsidR="00244ABB" w:rsidRDefault="00244ABB" w:rsidP="00244ABB">
      <w:pPr>
        <w:pStyle w:val="SingleTxt"/>
        <w:rPr>
          <w:lang w:bidi="ru-RU"/>
        </w:rPr>
      </w:pPr>
      <w:r>
        <w:rPr>
          <w:lang w:bidi="ru-RU"/>
        </w:rPr>
        <w:t>24.</w:t>
      </w:r>
      <w:r>
        <w:rPr>
          <w:lang w:bidi="ru-RU"/>
        </w:rPr>
        <w:tab/>
        <w:t>Добавить ссылку на стандарт prEN16728:2014 в таблице в подразделе</w:t>
      </w:r>
      <w:r w:rsidR="003A04F4">
        <w:rPr>
          <w:lang w:bidi="ru-RU"/>
        </w:rPr>
        <w:t> </w:t>
      </w:r>
      <w:r>
        <w:rPr>
          <w:lang w:bidi="ru-RU"/>
        </w:rPr>
        <w:t>6.2.4.2</w:t>
      </w:r>
    </w:p>
    <w:p w:rsidR="003A04F4" w:rsidRPr="003A04F4" w:rsidRDefault="003A04F4" w:rsidP="003A04F4">
      <w:pPr>
        <w:pStyle w:val="SingleTxt"/>
        <w:spacing w:after="0" w:line="120" w:lineRule="exact"/>
        <w:rPr>
          <w:sz w:val="10"/>
          <w:lang w:bidi="ru-RU"/>
        </w:rPr>
      </w:pPr>
    </w:p>
    <w:p w:rsidR="003A04F4" w:rsidRPr="003A04F4" w:rsidRDefault="003A04F4" w:rsidP="003A04F4">
      <w:pPr>
        <w:pStyle w:val="SingleTxt"/>
        <w:spacing w:after="0" w:line="120" w:lineRule="exact"/>
        <w:rPr>
          <w:sz w:val="10"/>
          <w:lang w:bidi="ru-RU"/>
        </w:rPr>
      </w:pPr>
    </w:p>
    <w:p w:rsidR="00244ABB" w:rsidRDefault="00244ABB" w:rsidP="003A04F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Pr>
          <w:lang w:bidi="ru-RU"/>
        </w:rPr>
        <w:tab/>
      </w:r>
      <w:r>
        <w:rPr>
          <w:lang w:bidi="ru-RU"/>
        </w:rPr>
        <w:tab/>
        <w:t>Обоснование</w:t>
      </w:r>
    </w:p>
    <w:p w:rsidR="003A04F4" w:rsidRPr="003A04F4" w:rsidRDefault="003A04F4" w:rsidP="003A04F4">
      <w:pPr>
        <w:pStyle w:val="SingleTxt"/>
        <w:spacing w:after="0" w:line="120" w:lineRule="exact"/>
        <w:rPr>
          <w:sz w:val="10"/>
          <w:lang w:bidi="ru-RU"/>
        </w:rPr>
      </w:pPr>
    </w:p>
    <w:p w:rsidR="003A04F4" w:rsidRPr="003A04F4" w:rsidRDefault="003A04F4" w:rsidP="003A04F4">
      <w:pPr>
        <w:pStyle w:val="SingleTxt"/>
        <w:spacing w:after="0" w:line="120" w:lineRule="exact"/>
        <w:rPr>
          <w:sz w:val="10"/>
          <w:lang w:bidi="ru-RU"/>
        </w:rPr>
      </w:pPr>
    </w:p>
    <w:p w:rsidR="00244ABB" w:rsidRDefault="00244ABB" w:rsidP="00244ABB">
      <w:pPr>
        <w:pStyle w:val="SingleTxt"/>
        <w:rPr>
          <w:lang w:bidi="ru-RU"/>
        </w:rPr>
      </w:pPr>
      <w:r>
        <w:rPr>
          <w:lang w:bidi="ru-RU"/>
        </w:rPr>
        <w:t>25.</w:t>
      </w:r>
      <w:r>
        <w:rPr>
          <w:lang w:bidi="ru-RU"/>
        </w:rPr>
        <w:tab/>
        <w:t>В замену требований о проведении периодической проверки в подпункте а) пункта 6.2.1.6.1 (каждые 10 или 15 лет), настоящее предложение предусматривает:</w:t>
      </w:r>
    </w:p>
    <w:p w:rsidR="00244ABB" w:rsidRDefault="003A04F4" w:rsidP="003A04F4">
      <w:pPr>
        <w:pStyle w:val="SingleTxt"/>
        <w:ind w:left="2218" w:hanging="476"/>
        <w:rPr>
          <w:lang w:bidi="ru-RU"/>
        </w:rPr>
      </w:pPr>
      <w:r>
        <w:rPr>
          <w:lang w:bidi="ru-RU"/>
        </w:rPr>
        <w:t>–</w:t>
      </w:r>
      <w:r w:rsidR="00244ABB">
        <w:rPr>
          <w:lang w:bidi="ru-RU"/>
        </w:rPr>
        <w:t xml:space="preserve"> </w:t>
      </w:r>
      <w:r>
        <w:rPr>
          <w:lang w:bidi="ru-RU"/>
        </w:rPr>
        <w:tab/>
      </w:r>
      <w:r w:rsidR="00244ABB">
        <w:rPr>
          <w:lang w:bidi="ru-RU"/>
        </w:rPr>
        <w:t>проведение внешней визуальной проверки перед каждым заполнением любого БФЗК;</w:t>
      </w:r>
    </w:p>
    <w:p w:rsidR="00244ABB" w:rsidRDefault="003A04F4" w:rsidP="003A04F4">
      <w:pPr>
        <w:pStyle w:val="SingleTxt"/>
        <w:ind w:left="2218" w:hanging="476"/>
        <w:rPr>
          <w:lang w:bidi="ru-RU"/>
        </w:rPr>
      </w:pPr>
      <w:r>
        <w:rPr>
          <w:lang w:bidi="ru-RU"/>
        </w:rPr>
        <w:t>–</w:t>
      </w:r>
      <w:r w:rsidR="00244ABB">
        <w:rPr>
          <w:lang w:bidi="ru-RU"/>
        </w:rPr>
        <w:t xml:space="preserve"> </w:t>
      </w:r>
      <w:r>
        <w:rPr>
          <w:lang w:bidi="ru-RU"/>
        </w:rPr>
        <w:tab/>
      </w:r>
      <w:r w:rsidR="00244ABB">
        <w:rPr>
          <w:lang w:bidi="ru-RU"/>
        </w:rPr>
        <w:t xml:space="preserve">проведение разрушающих испытаний на адгезию и разрушающих испытаний на отслоение на образцах, полученных от клиентов, после </w:t>
      </w:r>
      <w:r>
        <w:rPr>
          <w:lang w:bidi="ru-RU"/>
        </w:rPr>
        <w:t>трех</w:t>
      </w:r>
      <w:r w:rsidR="00244ABB">
        <w:rPr>
          <w:lang w:bidi="ru-RU"/>
        </w:rPr>
        <w:t xml:space="preserve"> лет эксплуатации, а затем – каждые </w:t>
      </w:r>
      <w:r>
        <w:rPr>
          <w:lang w:bidi="ru-RU"/>
        </w:rPr>
        <w:t>пять</w:t>
      </w:r>
      <w:r w:rsidR="00244ABB">
        <w:rPr>
          <w:lang w:bidi="ru-RU"/>
        </w:rPr>
        <w:t xml:space="preserve"> лет.</w:t>
      </w:r>
    </w:p>
    <w:p w:rsidR="00244ABB" w:rsidRDefault="00244ABB" w:rsidP="00244ABB">
      <w:pPr>
        <w:pStyle w:val="SingleTxt"/>
        <w:rPr>
          <w:lang w:bidi="ru-RU"/>
        </w:rPr>
      </w:pPr>
      <w:r>
        <w:rPr>
          <w:lang w:bidi="ru-RU"/>
        </w:rPr>
        <w:t>26.</w:t>
      </w:r>
      <w:r>
        <w:rPr>
          <w:lang w:bidi="ru-RU"/>
        </w:rPr>
        <w:tab/>
        <w:t>В дополнение к конкретным требованиям к конструкции и изготовлению, а также к свойствам БФЗК (повышенная коррозийная стойкость, стойкость к ударам и каплям) предложение о проведении периодических проверок, применительно к обычному стальному баллону, предполагает снижение риска внешней коррозии и, тем самым, снижение риска утечки.</w:t>
      </w:r>
    </w:p>
    <w:p w:rsidR="00244ABB" w:rsidRDefault="00244ABB" w:rsidP="00244ABB">
      <w:pPr>
        <w:pStyle w:val="SingleTxt"/>
        <w:rPr>
          <w:lang w:bidi="ru-RU"/>
        </w:rPr>
      </w:pPr>
      <w:r>
        <w:rPr>
          <w:lang w:bidi="ru-RU"/>
        </w:rPr>
        <w:t>27.</w:t>
      </w:r>
      <w:r>
        <w:rPr>
          <w:lang w:bidi="ru-RU"/>
        </w:rPr>
        <w:tab/>
        <w:t>Кроме того, предусмотренные дополнительные элементы контроля на защитном кожухе действительно обеспечивают регулярный сбор количественной информации об опыте эксплуатации в плане старения материала и позволяют следить за эксплуатационными характеристиками таких баллонов на протяжении всего срока их службы.</w:t>
      </w:r>
    </w:p>
    <w:p w:rsidR="00244ABB" w:rsidRDefault="00244ABB" w:rsidP="00244ABB">
      <w:pPr>
        <w:pStyle w:val="SingleTxt"/>
        <w:rPr>
          <w:lang w:bidi="ru-RU"/>
        </w:rPr>
      </w:pPr>
      <w:r>
        <w:rPr>
          <w:lang w:bidi="ru-RU"/>
        </w:rPr>
        <w:t>28.</w:t>
      </w:r>
      <w:r>
        <w:rPr>
          <w:lang w:bidi="ru-RU"/>
        </w:rPr>
        <w:tab/>
        <w:t>Применительно к индивидуальному гидравлическому испытанию под давлением согласно подпункту d) пункта 6.2.1.6.1, проводимому каждые 10 или 15</w:t>
      </w:r>
      <w:r w:rsidR="003A04F4">
        <w:rPr>
          <w:lang w:bidi="ru-RU"/>
        </w:rPr>
        <w:t> </w:t>
      </w:r>
      <w:r>
        <w:rPr>
          <w:lang w:bidi="ru-RU"/>
        </w:rPr>
        <w:t xml:space="preserve">лет, которое дает качественную характеристику каждого баллона, данное предложение предполагает заменить его разрушающим испытанием на разрыв, проводимым повторно после 3 лет эксплуатации, а затем – каждые 5 лет. </w:t>
      </w:r>
    </w:p>
    <w:p w:rsidR="00244ABB" w:rsidRDefault="00244ABB" w:rsidP="00244ABB">
      <w:pPr>
        <w:pStyle w:val="SingleTxt"/>
        <w:rPr>
          <w:lang w:bidi="ru-RU"/>
        </w:rPr>
      </w:pPr>
      <w:r>
        <w:rPr>
          <w:lang w:bidi="ru-RU"/>
        </w:rPr>
        <w:t>29.</w:t>
      </w:r>
      <w:r>
        <w:rPr>
          <w:lang w:bidi="ru-RU"/>
        </w:rPr>
        <w:tab/>
        <w:t>Настоящий метод предусматривает и обеспечивает:</w:t>
      </w:r>
    </w:p>
    <w:p w:rsidR="00244ABB" w:rsidRDefault="003A04F4" w:rsidP="003A04F4">
      <w:pPr>
        <w:pStyle w:val="SingleTxt"/>
        <w:ind w:left="2218" w:hanging="476"/>
        <w:rPr>
          <w:lang w:bidi="ru-RU"/>
        </w:rPr>
      </w:pPr>
      <w:r>
        <w:rPr>
          <w:lang w:bidi="ru-RU"/>
        </w:rPr>
        <w:t>–</w:t>
      </w:r>
      <w:r w:rsidR="00244ABB">
        <w:rPr>
          <w:lang w:bidi="ru-RU"/>
        </w:rPr>
        <w:t xml:space="preserve"> </w:t>
      </w:r>
      <w:r>
        <w:rPr>
          <w:lang w:bidi="ru-RU"/>
        </w:rPr>
        <w:tab/>
      </w:r>
      <w:r w:rsidR="00244ABB">
        <w:rPr>
          <w:lang w:bidi="ru-RU"/>
        </w:rPr>
        <w:t>техническую оценку количественного характера эксплуатационных характеристик механической и структурной целостности внутреннего сосуда для каждой партии с момента его изготовления и в течение всего периода эксплуатации;</w:t>
      </w:r>
    </w:p>
    <w:p w:rsidR="00244ABB" w:rsidRDefault="003A04F4" w:rsidP="003A04F4">
      <w:pPr>
        <w:pStyle w:val="SingleTxt"/>
        <w:ind w:left="2218" w:hanging="476"/>
        <w:rPr>
          <w:lang w:bidi="ru-RU"/>
        </w:rPr>
      </w:pPr>
      <w:r>
        <w:rPr>
          <w:lang w:bidi="ru-RU"/>
        </w:rPr>
        <w:lastRenderedPageBreak/>
        <w:t>–</w:t>
      </w:r>
      <w:r w:rsidR="00244ABB">
        <w:rPr>
          <w:lang w:bidi="ru-RU"/>
        </w:rPr>
        <w:t xml:space="preserve"> </w:t>
      </w:r>
      <w:r>
        <w:rPr>
          <w:lang w:bidi="ru-RU"/>
        </w:rPr>
        <w:tab/>
      </w:r>
      <w:r w:rsidR="00244ABB">
        <w:rPr>
          <w:lang w:bidi="ru-RU"/>
        </w:rPr>
        <w:t>отсутствие рисков, обусловленных наличием остаточной воды после испытаний под давлением (основной источник внутренней коррозии).</w:t>
      </w:r>
    </w:p>
    <w:p w:rsidR="00244ABB" w:rsidRDefault="00244ABB" w:rsidP="00244ABB">
      <w:pPr>
        <w:pStyle w:val="SingleTxt"/>
        <w:rPr>
          <w:lang w:bidi="ru-RU"/>
        </w:rPr>
      </w:pPr>
      <w:r>
        <w:rPr>
          <w:lang w:bidi="ru-RU"/>
        </w:rPr>
        <w:t>30.</w:t>
      </w:r>
      <w:r>
        <w:rPr>
          <w:lang w:bidi="ru-RU"/>
        </w:rPr>
        <w:tab/>
        <w:t>Такой сбор количественной информации об опыте эксплуатации в плане свойств материала и старения позволяет следить за эксплуатационными характеристиками таких баллонов в течение всего периода их службы.</w:t>
      </w:r>
    </w:p>
    <w:p w:rsidR="00244ABB" w:rsidRDefault="00244ABB" w:rsidP="00244ABB">
      <w:pPr>
        <w:pStyle w:val="SingleTxt"/>
        <w:rPr>
          <w:lang w:bidi="ru-RU"/>
        </w:rPr>
      </w:pPr>
      <w:r>
        <w:rPr>
          <w:lang w:bidi="ru-RU"/>
        </w:rPr>
        <w:t>31.</w:t>
      </w:r>
      <w:r>
        <w:rPr>
          <w:lang w:bidi="ru-RU"/>
        </w:rPr>
        <w:tab/>
        <w:t xml:space="preserve">Данное предложение предполагает, что в случае непрохождения периодической проверки будет обеспечено гарантированное выявление всех потенциально бракованных баллонов с использованием электронного устройства идентификации и базы данных. Такое выявление должно производиться автоматически на заправочной станции в момент возвращения баллонов клиентами. </w:t>
      </w:r>
    </w:p>
    <w:p w:rsidR="00244ABB" w:rsidRDefault="00244ABB" w:rsidP="00244ABB">
      <w:pPr>
        <w:pStyle w:val="SingleTxt"/>
        <w:rPr>
          <w:lang w:bidi="ru-RU"/>
        </w:rPr>
      </w:pPr>
      <w:r>
        <w:rPr>
          <w:lang w:bidi="ru-RU"/>
        </w:rPr>
        <w:t>32.</w:t>
      </w:r>
      <w:r>
        <w:rPr>
          <w:lang w:bidi="ru-RU"/>
        </w:rPr>
        <w:tab/>
        <w:t>Анализ рисков, проведенный в отношении данного предложения, сравнение со стандартными средствами периодического контроля на обычных стальных баллонах, наличие регулярно собираемых количественных технических данных, которые позволяют заблаговременно изымать потенциально дефектные баллоны,</w:t>
      </w:r>
      <w:r w:rsidR="003A04F4">
        <w:rPr>
          <w:lang w:bidi="ru-RU"/>
        </w:rPr>
        <w:t> </w:t>
      </w:r>
      <w:r>
        <w:rPr>
          <w:lang w:bidi="ru-RU"/>
        </w:rPr>
        <w:t>– таковы те элементы, которые способствуют обеспечению эквивалентности уровня безопасности, уже принятому французским органом. В настоящее время согласно подпункту h) предлагаемого общего положения проводится дополнительная оценка.</w:t>
      </w:r>
    </w:p>
    <w:p w:rsidR="00244ABB" w:rsidRDefault="00244ABB" w:rsidP="00244ABB">
      <w:pPr>
        <w:pStyle w:val="SingleTxt"/>
        <w:rPr>
          <w:lang w:bidi="ru-RU"/>
        </w:rPr>
      </w:pPr>
      <w:r>
        <w:rPr>
          <w:lang w:bidi="ru-RU"/>
        </w:rPr>
        <w:t>33.</w:t>
      </w:r>
      <w:r>
        <w:rPr>
          <w:lang w:bidi="ru-RU"/>
        </w:rPr>
        <w:tab/>
        <w:t>В заключение необходимо отметить, что − по сравнению со стандартными средствами периодического контроля обыкновенных стальных баллонов − ужесточение требований в отношении конструкции, изготовления, специальных операционных процедур, средств, позволяющих однозначно определять, к какой партии относится данный баллон, и сочетание более широкого использования регулярной индивидуальной визуальной проверки и разрушающих испытаний применительно к выборке баллонов с формованным защитным кожухом и предложенная постепенная (поэтапно согласованная с французскими компетентными органами) схема проверки предполагают эквивалентный уровень безопасности в течение всего периода их эксплуатации, хотя и не предусматривают проведение индивидуальных испытаний под давлением каждые 10 или 15 лет.</w:t>
      </w:r>
    </w:p>
    <w:p w:rsidR="005C1757" w:rsidRPr="005C1757" w:rsidRDefault="00244ABB" w:rsidP="00244ABB">
      <w:pPr>
        <w:pStyle w:val="SingleTxt"/>
        <w:rPr>
          <w:lang w:bidi="ru-RU"/>
        </w:rPr>
      </w:pPr>
      <w:r>
        <w:rPr>
          <w:lang w:bidi="ru-RU"/>
        </w:rPr>
        <w:t>34.</w:t>
      </w:r>
      <w:r>
        <w:rPr>
          <w:lang w:bidi="ru-RU"/>
        </w:rPr>
        <w:tab/>
        <w:t>Кроме того, схема проверки БФЗК предполагает получение количественных сведений, которые позволяют заблаговременно решать вопрос об окончании срока эксплуатации любой партии.</w:t>
      </w:r>
    </w:p>
    <w:p w:rsidR="00FA7113" w:rsidRPr="00244ABB" w:rsidRDefault="001442B7" w:rsidP="00244ABB">
      <w:pPr>
        <w:pStyle w:val="SingleTxt"/>
        <w:spacing w:after="0" w:line="240" w:lineRule="auto"/>
        <w:rPr>
          <w:lang w:bidi="ru-RU"/>
        </w:rPr>
      </w:pPr>
      <w:r w:rsidRPr="001442B7">
        <w:rPr>
          <w:noProof/>
          <w:w w:val="100"/>
          <w:lang w:eastAsia="ru-RU"/>
        </w:rPr>
        <w:pict>
          <v:line id="Straight Connector 4" o:spid="_x0000_s1026" style="position:absolute;left:0;text-align:left;z-index:251659264;visibility:visible"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w:r>
    </w:p>
    <w:sectPr w:rsidR="00FA7113" w:rsidRPr="00244ABB" w:rsidSect="00F77B8D">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F54" w:rsidRDefault="008F7F54" w:rsidP="008A1A7A">
      <w:pPr>
        <w:spacing w:line="240" w:lineRule="auto"/>
      </w:pPr>
      <w:r>
        <w:separator/>
      </w:r>
    </w:p>
  </w:endnote>
  <w:endnote w:type="continuationSeparator" w:id="0">
    <w:p w:rsidR="008F7F54" w:rsidRDefault="008F7F54" w:rsidP="008A1A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000"/>
    </w:tblPr>
    <w:tblGrid>
      <w:gridCol w:w="5126"/>
      <w:gridCol w:w="5127"/>
    </w:tblGrid>
    <w:tr w:rsidR="0040700D" w:rsidTr="00F77B8D">
      <w:trPr>
        <w:jc w:val="center"/>
      </w:trPr>
      <w:tc>
        <w:tcPr>
          <w:tcW w:w="5126" w:type="dxa"/>
          <w:shd w:val="clear" w:color="auto" w:fill="auto"/>
          <w:vAlign w:val="bottom"/>
        </w:tcPr>
        <w:p w:rsidR="0040700D" w:rsidRPr="00F77B8D" w:rsidRDefault="001442B7" w:rsidP="00F77B8D">
          <w:pPr>
            <w:pStyle w:val="Pieddepage"/>
            <w:rPr>
              <w:color w:val="000000"/>
            </w:rPr>
          </w:pPr>
          <w:r>
            <w:fldChar w:fldCharType="begin"/>
          </w:r>
          <w:r w:rsidR="0040700D">
            <w:instrText xml:space="preserve"> PAGE  \* Arabic  \* MERGEFORMAT </w:instrText>
          </w:r>
          <w:r>
            <w:fldChar w:fldCharType="separate"/>
          </w:r>
          <w:r w:rsidR="00602116">
            <w:rPr>
              <w:noProof/>
            </w:rPr>
            <w:t>16</w:t>
          </w:r>
          <w:r>
            <w:fldChar w:fldCharType="end"/>
          </w:r>
          <w:r w:rsidR="0040700D">
            <w:t>/</w:t>
          </w:r>
          <w:fldSimple w:instr=" NUMPAGES  \* Arabic  \* MERGEFORMAT ">
            <w:r w:rsidR="00602116">
              <w:rPr>
                <w:noProof/>
              </w:rPr>
              <w:t>16</w:t>
            </w:r>
          </w:fldSimple>
        </w:p>
      </w:tc>
      <w:tc>
        <w:tcPr>
          <w:tcW w:w="5127" w:type="dxa"/>
          <w:shd w:val="clear" w:color="auto" w:fill="auto"/>
          <w:vAlign w:val="bottom"/>
        </w:tcPr>
        <w:p w:rsidR="0040700D" w:rsidRPr="00F77B8D" w:rsidRDefault="001442B7" w:rsidP="00F77B8D">
          <w:pPr>
            <w:pStyle w:val="Pieddepage"/>
            <w:jc w:val="right"/>
            <w:rPr>
              <w:b w:val="0"/>
              <w:color w:val="000000"/>
              <w:sz w:val="14"/>
            </w:rPr>
          </w:pPr>
          <w:fldSimple w:instr=" DOCVARIABLE &quot;FooterJN&quot; \* MERGEFORMAT ">
            <w:r w:rsidR="008510C5">
              <w:rPr>
                <w:b w:val="0"/>
                <w:color w:val="000000"/>
                <w:sz w:val="14"/>
              </w:rPr>
              <w:t>GE.15-10999</w:t>
            </w:r>
          </w:fldSimple>
        </w:p>
      </w:tc>
    </w:tr>
  </w:tbl>
  <w:p w:rsidR="0040700D" w:rsidRPr="00F77B8D" w:rsidRDefault="0040700D" w:rsidP="00F77B8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000"/>
    </w:tblPr>
    <w:tblGrid>
      <w:gridCol w:w="5126"/>
      <w:gridCol w:w="5127"/>
    </w:tblGrid>
    <w:tr w:rsidR="0040700D" w:rsidTr="00F77B8D">
      <w:trPr>
        <w:jc w:val="center"/>
      </w:trPr>
      <w:tc>
        <w:tcPr>
          <w:tcW w:w="5126" w:type="dxa"/>
          <w:shd w:val="clear" w:color="auto" w:fill="auto"/>
          <w:vAlign w:val="bottom"/>
        </w:tcPr>
        <w:p w:rsidR="0040700D" w:rsidRPr="00F77B8D" w:rsidRDefault="001442B7" w:rsidP="00F77B8D">
          <w:pPr>
            <w:pStyle w:val="Pieddepage"/>
            <w:rPr>
              <w:b w:val="0"/>
              <w:color w:val="000000"/>
              <w:sz w:val="14"/>
            </w:rPr>
          </w:pPr>
          <w:fldSimple w:instr=" DOCVARIABLE &quot;FooterJN&quot; \* MERGEFORMAT ">
            <w:r w:rsidR="008510C5">
              <w:rPr>
                <w:b w:val="0"/>
                <w:color w:val="000000"/>
                <w:sz w:val="14"/>
              </w:rPr>
              <w:t>GE.15-10999</w:t>
            </w:r>
          </w:fldSimple>
        </w:p>
      </w:tc>
      <w:tc>
        <w:tcPr>
          <w:tcW w:w="5127" w:type="dxa"/>
          <w:shd w:val="clear" w:color="auto" w:fill="auto"/>
          <w:vAlign w:val="bottom"/>
        </w:tcPr>
        <w:p w:rsidR="0040700D" w:rsidRPr="00F77B8D" w:rsidRDefault="001442B7" w:rsidP="00F77B8D">
          <w:pPr>
            <w:pStyle w:val="Pieddepage"/>
            <w:jc w:val="right"/>
          </w:pPr>
          <w:r>
            <w:fldChar w:fldCharType="begin"/>
          </w:r>
          <w:r w:rsidR="0040700D">
            <w:instrText xml:space="preserve"> PAGE  \* Arabic  \* MERGEFORMAT </w:instrText>
          </w:r>
          <w:r>
            <w:fldChar w:fldCharType="separate"/>
          </w:r>
          <w:r w:rsidR="00602116">
            <w:rPr>
              <w:noProof/>
            </w:rPr>
            <w:t>15</w:t>
          </w:r>
          <w:r>
            <w:fldChar w:fldCharType="end"/>
          </w:r>
          <w:r w:rsidR="0040700D">
            <w:t>/</w:t>
          </w:r>
          <w:fldSimple w:instr=" NUMPAGES  \* Arabic  \* MERGEFORMAT ">
            <w:r w:rsidR="00602116">
              <w:rPr>
                <w:noProof/>
              </w:rPr>
              <w:t>15</w:t>
            </w:r>
          </w:fldSimple>
        </w:p>
      </w:tc>
    </w:tr>
  </w:tbl>
  <w:p w:rsidR="0040700D" w:rsidRPr="00F77B8D" w:rsidRDefault="0040700D" w:rsidP="00F77B8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73"/>
      <w:gridCol w:w="5127"/>
    </w:tblGrid>
    <w:tr w:rsidR="0040700D" w:rsidTr="00F77B8D">
      <w:tc>
        <w:tcPr>
          <w:tcW w:w="3873" w:type="dxa"/>
        </w:tcPr>
        <w:p w:rsidR="0040700D" w:rsidRDefault="0040700D" w:rsidP="00F77B8D">
          <w:pPr>
            <w:pStyle w:val="ReleaseDate"/>
            <w:rPr>
              <w:color w:val="010000"/>
            </w:rPr>
          </w:pPr>
          <w:r>
            <w:rPr>
              <w:noProof/>
              <w:lang w:val="fr-FR" w:eastAsia="fr-FR"/>
            </w:rPr>
            <w:drawing>
              <wp:anchor distT="0" distB="0" distL="114300" distR="114300" simplePos="0" relativeHeight="251658240" behindDoc="0" locked="0" layoutInCell="1" allowOverlap="1">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15/AC.1/2015/48&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5/48&amp;Size =1&amp;Lang = 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noFill/>
                        <a:ln>
                          <a:noFill/>
                        </a:ln>
                      </pic:spPr>
                    </pic:pic>
                  </a:graphicData>
                </a:graphic>
              </wp:anchor>
            </w:drawing>
          </w:r>
          <w:r>
            <w:t>GE.15-10999 (R)</w:t>
          </w:r>
          <w:r>
            <w:rPr>
              <w:color w:val="010000"/>
            </w:rPr>
            <w:t xml:space="preserve">    040815    050815</w:t>
          </w:r>
        </w:p>
        <w:p w:rsidR="0040700D" w:rsidRPr="00F77B8D" w:rsidRDefault="0040700D" w:rsidP="00F77B8D">
          <w:pPr>
            <w:spacing w:before="80" w:line="210" w:lineRule="exact"/>
            <w:rPr>
              <w:rFonts w:ascii="Barcode 3 of 9 by request" w:hAnsi="Barcode 3 of 9 by request"/>
              <w:w w:val="100"/>
              <w:sz w:val="24"/>
            </w:rPr>
          </w:pPr>
          <w:r>
            <w:rPr>
              <w:rFonts w:ascii="Barcode 3 of 9 by request" w:hAnsi="Barcode 3 of 9 by request"/>
              <w:w w:val="100"/>
              <w:sz w:val="24"/>
            </w:rPr>
            <w:t>*1510999*</w:t>
          </w:r>
        </w:p>
      </w:tc>
      <w:tc>
        <w:tcPr>
          <w:tcW w:w="5127" w:type="dxa"/>
        </w:tcPr>
        <w:p w:rsidR="0040700D" w:rsidRDefault="0040700D" w:rsidP="00F77B8D">
          <w:pPr>
            <w:pStyle w:val="Pieddepage"/>
            <w:spacing w:line="240" w:lineRule="atLeast"/>
            <w:jc w:val="right"/>
            <w:rPr>
              <w:b w:val="0"/>
              <w:sz w:val="20"/>
            </w:rPr>
          </w:pPr>
          <w:r>
            <w:rPr>
              <w:b w:val="0"/>
              <w:noProof/>
              <w:sz w:val="20"/>
              <w:lang w:val="fr-FR" w:eastAsia="fr-FR"/>
            </w:rPr>
            <w:drawing>
              <wp:inline distT="0" distB="0" distL="0" distR="0">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40700D" w:rsidRPr="00F77B8D" w:rsidRDefault="0040700D" w:rsidP="00F77B8D">
    <w:pPr>
      <w:pStyle w:val="Pieddepage"/>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F54" w:rsidRPr="00B078FC" w:rsidRDefault="008F7F54" w:rsidP="00B078FC">
      <w:pPr>
        <w:pStyle w:val="Pieddepage"/>
        <w:spacing w:after="80"/>
        <w:ind w:left="792"/>
        <w:rPr>
          <w:sz w:val="16"/>
        </w:rPr>
      </w:pPr>
      <w:r w:rsidRPr="00B078FC">
        <w:rPr>
          <w:sz w:val="16"/>
        </w:rPr>
        <w:t>__________________</w:t>
      </w:r>
    </w:p>
  </w:footnote>
  <w:footnote w:type="continuationSeparator" w:id="0">
    <w:p w:rsidR="008F7F54" w:rsidRPr="00B078FC" w:rsidRDefault="008F7F54" w:rsidP="00B078FC">
      <w:pPr>
        <w:pStyle w:val="Pieddepage"/>
        <w:spacing w:after="80"/>
        <w:ind w:left="792"/>
        <w:rPr>
          <w:sz w:val="16"/>
        </w:rPr>
      </w:pPr>
      <w:r w:rsidRPr="00B078FC">
        <w:rPr>
          <w:sz w:val="16"/>
        </w:rPr>
        <w:t>__________________</w:t>
      </w:r>
    </w:p>
  </w:footnote>
  <w:footnote w:type="continuationNotice" w:id="1">
    <w:p w:rsidR="008F7F54" w:rsidRPr="00B078FC" w:rsidRDefault="008F7F54" w:rsidP="00B078FC">
      <w:pPr>
        <w:pStyle w:val="Pieddepage"/>
      </w:pPr>
    </w:p>
  </w:footnote>
  <w:footnote w:id="2">
    <w:p w:rsidR="0040700D" w:rsidRDefault="0040700D" w:rsidP="00B078FC">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Appelnotedebasdep"/>
        </w:rPr>
        <w:footnoteRef/>
      </w:r>
      <w:r>
        <w:tab/>
      </w:r>
      <w:r w:rsidRPr="00FF04B5">
        <w:t xml:space="preserve">В соответствии с программой работы Комитета по внутреннему транспорту на период </w:t>
      </w:r>
      <w:r>
        <w:br/>
      </w:r>
      <w:r w:rsidRPr="00FF04B5">
        <w:t>2014</w:t>
      </w:r>
      <w:r w:rsidRPr="0040700D">
        <w:t>–</w:t>
      </w:r>
      <w:r w:rsidRPr="00FF04B5">
        <w:t>2015 годов (ECE/TRANS/240, пункт 100, ECE/TRANS/2014/23, направление деятельности 9, пункт 9.2).</w:t>
      </w:r>
    </w:p>
  </w:footnote>
  <w:footnote w:id="3">
    <w:p w:rsidR="0040700D" w:rsidRDefault="0040700D" w:rsidP="00B078FC">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Appelnotedebasdep"/>
        </w:rPr>
        <w:footnoteRef/>
      </w:r>
      <w:r>
        <w:tab/>
      </w:r>
      <w:r w:rsidRPr="00FF04B5">
        <w:t>Распространено Меж</w:t>
      </w:r>
      <w:bookmarkStart w:id="0" w:name="_GoBack"/>
      <w:bookmarkEnd w:id="0"/>
      <w:r w:rsidRPr="00FF04B5">
        <w:t>правительственной организацией по международным железнодорожным перевозкам (ОТИФ) под символом OTIF/RID/RC/2015/48.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Layout w:type="fixed"/>
      <w:tblCellMar>
        <w:left w:w="0" w:type="dxa"/>
        <w:right w:w="0" w:type="dxa"/>
      </w:tblCellMar>
      <w:tblLook w:val="0000"/>
    </w:tblPr>
    <w:tblGrid>
      <w:gridCol w:w="4882"/>
      <w:gridCol w:w="5127"/>
    </w:tblGrid>
    <w:tr w:rsidR="0040700D" w:rsidTr="00F77B8D">
      <w:trPr>
        <w:trHeight w:hRule="exact" w:val="864"/>
        <w:jc w:val="center"/>
      </w:trPr>
      <w:tc>
        <w:tcPr>
          <w:tcW w:w="4882" w:type="dxa"/>
          <w:shd w:val="clear" w:color="auto" w:fill="auto"/>
          <w:vAlign w:val="bottom"/>
        </w:tcPr>
        <w:p w:rsidR="0040700D" w:rsidRPr="00F77B8D" w:rsidRDefault="001442B7" w:rsidP="00F77B8D">
          <w:pPr>
            <w:pStyle w:val="En-tte"/>
            <w:spacing w:after="80"/>
            <w:rPr>
              <w:b/>
            </w:rPr>
          </w:pPr>
          <w:fldSimple w:instr=" DOCVARIABLE &quot;sss1&quot; \* MERGEFORMAT ">
            <w:r w:rsidR="008510C5">
              <w:rPr>
                <w:b/>
              </w:rPr>
              <w:t>ECE/TRANS/WP.15/AC.1/2015/48</w:t>
            </w:r>
          </w:fldSimple>
        </w:p>
      </w:tc>
      <w:tc>
        <w:tcPr>
          <w:tcW w:w="5127" w:type="dxa"/>
          <w:shd w:val="clear" w:color="auto" w:fill="auto"/>
          <w:vAlign w:val="bottom"/>
        </w:tcPr>
        <w:p w:rsidR="0040700D" w:rsidRDefault="0040700D" w:rsidP="00F77B8D">
          <w:pPr>
            <w:pStyle w:val="En-tte"/>
          </w:pPr>
        </w:p>
      </w:tc>
    </w:tr>
  </w:tbl>
  <w:p w:rsidR="0040700D" w:rsidRPr="00F77B8D" w:rsidRDefault="0040700D" w:rsidP="00F77B8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Layout w:type="fixed"/>
      <w:tblCellMar>
        <w:left w:w="0" w:type="dxa"/>
        <w:right w:w="0" w:type="dxa"/>
      </w:tblCellMar>
      <w:tblLook w:val="0000"/>
    </w:tblPr>
    <w:tblGrid>
      <w:gridCol w:w="4882"/>
      <w:gridCol w:w="5127"/>
    </w:tblGrid>
    <w:tr w:rsidR="0040700D" w:rsidTr="00F77B8D">
      <w:trPr>
        <w:trHeight w:hRule="exact" w:val="864"/>
        <w:jc w:val="center"/>
      </w:trPr>
      <w:tc>
        <w:tcPr>
          <w:tcW w:w="4882" w:type="dxa"/>
          <w:shd w:val="clear" w:color="auto" w:fill="auto"/>
          <w:vAlign w:val="bottom"/>
        </w:tcPr>
        <w:p w:rsidR="0040700D" w:rsidRDefault="0040700D" w:rsidP="00F77B8D">
          <w:pPr>
            <w:pStyle w:val="En-tte"/>
          </w:pPr>
        </w:p>
      </w:tc>
      <w:tc>
        <w:tcPr>
          <w:tcW w:w="5127" w:type="dxa"/>
          <w:shd w:val="clear" w:color="auto" w:fill="auto"/>
          <w:vAlign w:val="bottom"/>
        </w:tcPr>
        <w:p w:rsidR="0040700D" w:rsidRPr="00F77B8D" w:rsidRDefault="001442B7" w:rsidP="00F77B8D">
          <w:pPr>
            <w:pStyle w:val="En-tte"/>
            <w:spacing w:after="80"/>
            <w:jc w:val="right"/>
            <w:rPr>
              <w:b/>
            </w:rPr>
          </w:pPr>
          <w:fldSimple w:instr=" DOCVARIABLE &quot;sss1&quot; \* MERGEFORMAT ">
            <w:r w:rsidR="008510C5">
              <w:rPr>
                <w:b/>
              </w:rPr>
              <w:t>ECE/TRANS/WP.15/AC.1/2015/48</w:t>
            </w:r>
          </w:fldSimple>
        </w:p>
      </w:tc>
    </w:tr>
  </w:tbl>
  <w:p w:rsidR="0040700D" w:rsidRPr="00F77B8D" w:rsidRDefault="0040700D" w:rsidP="00F77B8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23" w:type="dxa"/>
      <w:tblLayout w:type="fixed"/>
      <w:tblCellMar>
        <w:left w:w="0" w:type="dxa"/>
        <w:right w:w="0" w:type="dxa"/>
      </w:tblCellMar>
      <w:tblLook w:val="0000"/>
    </w:tblPr>
    <w:tblGrid>
      <w:gridCol w:w="1267"/>
      <w:gridCol w:w="3154"/>
      <w:gridCol w:w="245"/>
      <w:gridCol w:w="1828"/>
      <w:gridCol w:w="245"/>
      <w:gridCol w:w="3284"/>
    </w:tblGrid>
    <w:tr w:rsidR="0040700D" w:rsidTr="00F77B8D">
      <w:trPr>
        <w:trHeight w:hRule="exact" w:val="864"/>
      </w:trPr>
      <w:tc>
        <w:tcPr>
          <w:tcW w:w="4421" w:type="dxa"/>
          <w:gridSpan w:val="2"/>
          <w:tcBorders>
            <w:bottom w:val="single" w:sz="4" w:space="0" w:color="auto"/>
          </w:tcBorders>
          <w:shd w:val="clear" w:color="auto" w:fill="auto"/>
          <w:vAlign w:val="bottom"/>
        </w:tcPr>
        <w:p w:rsidR="0040700D" w:rsidRPr="00F77B8D" w:rsidRDefault="0040700D" w:rsidP="00F77B8D">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40700D" w:rsidRDefault="0040700D" w:rsidP="00F77B8D">
          <w:pPr>
            <w:pStyle w:val="En-tte"/>
            <w:spacing w:after="120"/>
          </w:pPr>
        </w:p>
      </w:tc>
      <w:tc>
        <w:tcPr>
          <w:tcW w:w="5357" w:type="dxa"/>
          <w:gridSpan w:val="3"/>
          <w:tcBorders>
            <w:bottom w:val="single" w:sz="4" w:space="0" w:color="auto"/>
          </w:tcBorders>
          <w:shd w:val="clear" w:color="auto" w:fill="auto"/>
          <w:vAlign w:val="bottom"/>
        </w:tcPr>
        <w:p w:rsidR="0040700D" w:rsidRPr="00F77B8D" w:rsidRDefault="0040700D" w:rsidP="00F77B8D">
          <w:pPr>
            <w:pStyle w:val="En-tte"/>
            <w:spacing w:after="20"/>
            <w:jc w:val="right"/>
            <w:rPr>
              <w:sz w:val="20"/>
            </w:rPr>
          </w:pPr>
          <w:r>
            <w:rPr>
              <w:sz w:val="40"/>
            </w:rPr>
            <w:t>ECE</w:t>
          </w:r>
          <w:r>
            <w:rPr>
              <w:sz w:val="20"/>
            </w:rPr>
            <w:t>/TRANS/WP.15/AC.1/2015/48</w:t>
          </w:r>
        </w:p>
      </w:tc>
    </w:tr>
    <w:tr w:rsidR="0040700D" w:rsidRPr="0040700D" w:rsidTr="00F77B8D">
      <w:trPr>
        <w:trHeight w:hRule="exact" w:val="2880"/>
      </w:trPr>
      <w:tc>
        <w:tcPr>
          <w:tcW w:w="1267" w:type="dxa"/>
          <w:tcBorders>
            <w:top w:val="single" w:sz="4" w:space="0" w:color="auto"/>
            <w:bottom w:val="single" w:sz="12" w:space="0" w:color="auto"/>
          </w:tcBorders>
          <w:shd w:val="clear" w:color="auto" w:fill="auto"/>
        </w:tcPr>
        <w:p w:rsidR="0040700D" w:rsidRPr="00F77B8D" w:rsidRDefault="0040700D" w:rsidP="00F77B8D">
          <w:pPr>
            <w:pStyle w:val="En-tte"/>
            <w:spacing w:before="120"/>
            <w:jc w:val="center"/>
          </w:pPr>
          <w:r>
            <w:t xml:space="preserve"> </w:t>
          </w:r>
          <w:r>
            <w:rPr>
              <w:noProof/>
              <w:lang w:val="fr-FR" w:eastAsia="fr-FR"/>
            </w:rPr>
            <w:drawing>
              <wp:inline distT="0" distB="0" distL="0" distR="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0700D" w:rsidRPr="00F77B8D" w:rsidRDefault="0040700D" w:rsidP="00F77B8D">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40700D" w:rsidRPr="00F77B8D" w:rsidRDefault="0040700D" w:rsidP="00F77B8D">
          <w:pPr>
            <w:pStyle w:val="En-tte"/>
            <w:spacing w:before="109"/>
          </w:pPr>
        </w:p>
      </w:tc>
      <w:tc>
        <w:tcPr>
          <w:tcW w:w="3280" w:type="dxa"/>
          <w:tcBorders>
            <w:top w:val="single" w:sz="4" w:space="0" w:color="auto"/>
            <w:bottom w:val="single" w:sz="12" w:space="0" w:color="auto"/>
          </w:tcBorders>
          <w:shd w:val="clear" w:color="auto" w:fill="auto"/>
        </w:tcPr>
        <w:p w:rsidR="0040700D" w:rsidRPr="00FA7113" w:rsidRDefault="0040700D" w:rsidP="00F77B8D">
          <w:pPr>
            <w:pStyle w:val="Distribution"/>
            <w:rPr>
              <w:color w:val="000000"/>
              <w:lang w:val="en-US"/>
            </w:rPr>
          </w:pPr>
          <w:r w:rsidRPr="00FA7113">
            <w:rPr>
              <w:color w:val="000000"/>
              <w:lang w:val="en-US"/>
            </w:rPr>
            <w:t>Distr.: General</w:t>
          </w:r>
        </w:p>
        <w:p w:rsidR="0040700D" w:rsidRPr="00FA7113" w:rsidRDefault="0040700D" w:rsidP="00F77B8D">
          <w:pPr>
            <w:pStyle w:val="Publication"/>
            <w:rPr>
              <w:color w:val="000000"/>
              <w:lang w:val="en-US"/>
            </w:rPr>
          </w:pPr>
          <w:r w:rsidRPr="00FA7113">
            <w:rPr>
              <w:color w:val="000000"/>
              <w:lang w:val="en-US"/>
            </w:rPr>
            <w:t>2 July 2015</w:t>
          </w:r>
        </w:p>
        <w:p w:rsidR="0040700D" w:rsidRPr="00FA7113" w:rsidRDefault="0040700D" w:rsidP="00F77B8D">
          <w:pPr>
            <w:rPr>
              <w:color w:val="000000"/>
              <w:lang w:val="en-US"/>
            </w:rPr>
          </w:pPr>
          <w:r w:rsidRPr="00FA7113">
            <w:rPr>
              <w:color w:val="000000"/>
              <w:lang w:val="en-US"/>
            </w:rPr>
            <w:t>Russian</w:t>
          </w:r>
        </w:p>
        <w:p w:rsidR="0040700D" w:rsidRPr="00FA7113" w:rsidRDefault="0040700D" w:rsidP="00F77B8D">
          <w:pPr>
            <w:pStyle w:val="Original"/>
            <w:rPr>
              <w:color w:val="000000"/>
              <w:lang w:val="en-US"/>
            </w:rPr>
          </w:pPr>
          <w:r w:rsidRPr="00FA7113">
            <w:rPr>
              <w:color w:val="000000"/>
              <w:lang w:val="en-US"/>
            </w:rPr>
            <w:t>Original: English</w:t>
          </w:r>
        </w:p>
        <w:p w:rsidR="0040700D" w:rsidRPr="00FA7113" w:rsidRDefault="0040700D" w:rsidP="00F77B8D">
          <w:pPr>
            <w:rPr>
              <w:lang w:val="en-US"/>
            </w:rPr>
          </w:pPr>
        </w:p>
      </w:tc>
    </w:tr>
  </w:tbl>
  <w:p w:rsidR="0040700D" w:rsidRPr="00FA7113" w:rsidRDefault="0040700D" w:rsidP="00F77B8D">
    <w:pPr>
      <w:pStyle w:val="En-tte"/>
      <w:spacing w:line="20" w:lineRule="exact"/>
      <w:rPr>
        <w:sz w:val="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0274CA"/>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enumros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enumros"/>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e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475"/>
  <w:autoHyphenation/>
  <w:hyphenationZone w:val="220"/>
  <w:doNotHyphenateCaps/>
  <w:evenAndOddHeaders/>
  <w:drawingGridHorizontalSpacing w:val="209"/>
  <w:displayVerticalDrawingGridEvery w:val="2"/>
  <w:characterSpacingControl w:val="doNotCompress"/>
  <w:hdrShapeDefaults>
    <o:shapedefaults v:ext="edit" spidmax="7170"/>
  </w:hdrShapeDefaults>
  <w:footnotePr>
    <w:footnote w:id="-1"/>
    <w:footnote w:id="0"/>
    <w:footnote w:id="1"/>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10999*"/>
    <w:docVar w:name="CreationDt" w:val="8/4/2015 1:51: PM"/>
    <w:docVar w:name="DocCategory" w:val="Doc"/>
    <w:docVar w:name="DocType" w:val="Final"/>
    <w:docVar w:name="DutyStation" w:val="Geneva"/>
    <w:docVar w:name="FooterJN" w:val="GE.15-10999"/>
    <w:docVar w:name="jobn" w:val="GE.15-10999 (R)"/>
    <w:docVar w:name="jobnDT" w:val="GE.15-10999 (R)   040815"/>
    <w:docVar w:name="jobnDTDT" w:val="GE.15-10999 (R)   040815   040815"/>
    <w:docVar w:name="JobNo" w:val="GE.1510999R"/>
    <w:docVar w:name="JobNo2" w:val="1514196R"/>
    <w:docVar w:name="LocalDrive" w:val="0"/>
    <w:docVar w:name="OandT" w:val=" "/>
    <w:docVar w:name="PaperSize" w:val="A4"/>
    <w:docVar w:name="sss1" w:val="ECE/TRANS/WP.15/AC.1/2015/48"/>
    <w:docVar w:name="sss2" w:val="-"/>
    <w:docVar w:name="Symbol1" w:val="ECE/TRANS/WP.15/AC.1/2015/48"/>
    <w:docVar w:name="Symbol2" w:val="-"/>
  </w:docVars>
  <w:rsids>
    <w:rsidRoot w:val="00894478"/>
    <w:rsid w:val="00004615"/>
    <w:rsid w:val="00004756"/>
    <w:rsid w:val="0001060E"/>
    <w:rsid w:val="00013E03"/>
    <w:rsid w:val="00015201"/>
    <w:rsid w:val="00024A67"/>
    <w:rsid w:val="00025CF3"/>
    <w:rsid w:val="0002669B"/>
    <w:rsid w:val="00033C1F"/>
    <w:rsid w:val="000513EF"/>
    <w:rsid w:val="0005420D"/>
    <w:rsid w:val="00055EA2"/>
    <w:rsid w:val="00067A5A"/>
    <w:rsid w:val="00067A90"/>
    <w:rsid w:val="00070C37"/>
    <w:rsid w:val="000738BD"/>
    <w:rsid w:val="00076F88"/>
    <w:rsid w:val="0008067C"/>
    <w:rsid w:val="00092464"/>
    <w:rsid w:val="000A111E"/>
    <w:rsid w:val="000A4A11"/>
    <w:rsid w:val="000B02B7"/>
    <w:rsid w:val="000C069D"/>
    <w:rsid w:val="000C67BC"/>
    <w:rsid w:val="000D64CF"/>
    <w:rsid w:val="000E0F08"/>
    <w:rsid w:val="000E30BA"/>
    <w:rsid w:val="000E35C6"/>
    <w:rsid w:val="000E3712"/>
    <w:rsid w:val="000E4411"/>
    <w:rsid w:val="000F12A5"/>
    <w:rsid w:val="000F1ACD"/>
    <w:rsid w:val="000F5D07"/>
    <w:rsid w:val="00105B0E"/>
    <w:rsid w:val="00113678"/>
    <w:rsid w:val="001235FD"/>
    <w:rsid w:val="001442B7"/>
    <w:rsid w:val="001444A3"/>
    <w:rsid w:val="00153645"/>
    <w:rsid w:val="00153E8C"/>
    <w:rsid w:val="00160648"/>
    <w:rsid w:val="00161F29"/>
    <w:rsid w:val="00162E88"/>
    <w:rsid w:val="001726A4"/>
    <w:rsid w:val="00175AC4"/>
    <w:rsid w:val="00177361"/>
    <w:rsid w:val="001802BD"/>
    <w:rsid w:val="00193822"/>
    <w:rsid w:val="0019704E"/>
    <w:rsid w:val="001A39EE"/>
    <w:rsid w:val="001A4338"/>
    <w:rsid w:val="001A6777"/>
    <w:rsid w:val="001C54CE"/>
    <w:rsid w:val="001D1749"/>
    <w:rsid w:val="001D2679"/>
    <w:rsid w:val="001D60ED"/>
    <w:rsid w:val="001E21CE"/>
    <w:rsid w:val="001E25A2"/>
    <w:rsid w:val="001E61AD"/>
    <w:rsid w:val="001E639C"/>
    <w:rsid w:val="001F4353"/>
    <w:rsid w:val="001F639D"/>
    <w:rsid w:val="00206603"/>
    <w:rsid w:val="002078A2"/>
    <w:rsid w:val="00211A7E"/>
    <w:rsid w:val="00215955"/>
    <w:rsid w:val="00217A24"/>
    <w:rsid w:val="00223C57"/>
    <w:rsid w:val="00240ED7"/>
    <w:rsid w:val="00242477"/>
    <w:rsid w:val="00244051"/>
    <w:rsid w:val="00244ABB"/>
    <w:rsid w:val="002524D1"/>
    <w:rsid w:val="002535D8"/>
    <w:rsid w:val="00254046"/>
    <w:rsid w:val="00261386"/>
    <w:rsid w:val="00261C41"/>
    <w:rsid w:val="00264124"/>
    <w:rsid w:val="00264A43"/>
    <w:rsid w:val="002726BA"/>
    <w:rsid w:val="00277697"/>
    <w:rsid w:val="00281B96"/>
    <w:rsid w:val="002853F1"/>
    <w:rsid w:val="002A04A3"/>
    <w:rsid w:val="002A0BAE"/>
    <w:rsid w:val="002A2DD8"/>
    <w:rsid w:val="002A7921"/>
    <w:rsid w:val="002B1213"/>
    <w:rsid w:val="002B6501"/>
    <w:rsid w:val="002B6E2A"/>
    <w:rsid w:val="002C0A4B"/>
    <w:rsid w:val="002C3DE6"/>
    <w:rsid w:val="002C66D0"/>
    <w:rsid w:val="002D396F"/>
    <w:rsid w:val="002D4606"/>
    <w:rsid w:val="002D666D"/>
    <w:rsid w:val="002E1F79"/>
    <w:rsid w:val="002F5C45"/>
    <w:rsid w:val="002F6149"/>
    <w:rsid w:val="00326F5F"/>
    <w:rsid w:val="00332D90"/>
    <w:rsid w:val="00333B06"/>
    <w:rsid w:val="00336DBC"/>
    <w:rsid w:val="00337D91"/>
    <w:rsid w:val="00346BFB"/>
    <w:rsid w:val="00350756"/>
    <w:rsid w:val="003542EE"/>
    <w:rsid w:val="00362FFE"/>
    <w:rsid w:val="003658B0"/>
    <w:rsid w:val="0038044D"/>
    <w:rsid w:val="00384AEE"/>
    <w:rsid w:val="0038527A"/>
    <w:rsid w:val="00391367"/>
    <w:rsid w:val="0039505F"/>
    <w:rsid w:val="003A04F4"/>
    <w:rsid w:val="003A150E"/>
    <w:rsid w:val="003A2730"/>
    <w:rsid w:val="003B16B4"/>
    <w:rsid w:val="003B5A03"/>
    <w:rsid w:val="003C12AC"/>
    <w:rsid w:val="003C2842"/>
    <w:rsid w:val="003D0825"/>
    <w:rsid w:val="003D2003"/>
    <w:rsid w:val="003D5DA2"/>
    <w:rsid w:val="003E5193"/>
    <w:rsid w:val="00402244"/>
    <w:rsid w:val="0040700D"/>
    <w:rsid w:val="00427FE5"/>
    <w:rsid w:val="00433222"/>
    <w:rsid w:val="00436A23"/>
    <w:rsid w:val="00436F13"/>
    <w:rsid w:val="004420FB"/>
    <w:rsid w:val="00445A4E"/>
    <w:rsid w:val="004502EC"/>
    <w:rsid w:val="004504A6"/>
    <w:rsid w:val="0045271D"/>
    <w:rsid w:val="00460D23"/>
    <w:rsid w:val="004645DD"/>
    <w:rsid w:val="0047759D"/>
    <w:rsid w:val="00487893"/>
    <w:rsid w:val="0049612D"/>
    <w:rsid w:val="004964B8"/>
    <w:rsid w:val="004A21EE"/>
    <w:rsid w:val="004A36EE"/>
    <w:rsid w:val="004A7499"/>
    <w:rsid w:val="004B1314"/>
    <w:rsid w:val="004B16C7"/>
    <w:rsid w:val="004B722C"/>
    <w:rsid w:val="004C1B79"/>
    <w:rsid w:val="004C6A2C"/>
    <w:rsid w:val="004D275F"/>
    <w:rsid w:val="004D474D"/>
    <w:rsid w:val="004D6276"/>
    <w:rsid w:val="004D656E"/>
    <w:rsid w:val="004E6443"/>
    <w:rsid w:val="004E7743"/>
    <w:rsid w:val="00504669"/>
    <w:rsid w:val="005058E0"/>
    <w:rsid w:val="00511EAC"/>
    <w:rsid w:val="005121DC"/>
    <w:rsid w:val="00513113"/>
    <w:rsid w:val="00515869"/>
    <w:rsid w:val="005214BA"/>
    <w:rsid w:val="00522E6D"/>
    <w:rsid w:val="00524A24"/>
    <w:rsid w:val="005251C4"/>
    <w:rsid w:val="00526E12"/>
    <w:rsid w:val="00532578"/>
    <w:rsid w:val="00533411"/>
    <w:rsid w:val="00533DAB"/>
    <w:rsid w:val="005427EA"/>
    <w:rsid w:val="00545562"/>
    <w:rsid w:val="0054563F"/>
    <w:rsid w:val="005469E1"/>
    <w:rsid w:val="0055087F"/>
    <w:rsid w:val="00552E08"/>
    <w:rsid w:val="005625AB"/>
    <w:rsid w:val="005635F7"/>
    <w:rsid w:val="00563A41"/>
    <w:rsid w:val="0056579C"/>
    <w:rsid w:val="00567706"/>
    <w:rsid w:val="00572298"/>
    <w:rsid w:val="005734C2"/>
    <w:rsid w:val="00574AA1"/>
    <w:rsid w:val="0057633B"/>
    <w:rsid w:val="00577545"/>
    <w:rsid w:val="00585859"/>
    <w:rsid w:val="00590EDF"/>
    <w:rsid w:val="005933CB"/>
    <w:rsid w:val="00593E2F"/>
    <w:rsid w:val="00595A74"/>
    <w:rsid w:val="005A002C"/>
    <w:rsid w:val="005A1D01"/>
    <w:rsid w:val="005A5601"/>
    <w:rsid w:val="005A62A9"/>
    <w:rsid w:val="005A7964"/>
    <w:rsid w:val="005B064E"/>
    <w:rsid w:val="005B4979"/>
    <w:rsid w:val="005B499C"/>
    <w:rsid w:val="005C0440"/>
    <w:rsid w:val="005C1757"/>
    <w:rsid w:val="005D38B6"/>
    <w:rsid w:val="005D45FA"/>
    <w:rsid w:val="005D7642"/>
    <w:rsid w:val="005E0A46"/>
    <w:rsid w:val="005E3D0D"/>
    <w:rsid w:val="005E7DCF"/>
    <w:rsid w:val="005F02E0"/>
    <w:rsid w:val="005F6E5C"/>
    <w:rsid w:val="00602116"/>
    <w:rsid w:val="00602F9D"/>
    <w:rsid w:val="0060593E"/>
    <w:rsid w:val="00616B8D"/>
    <w:rsid w:val="006261A6"/>
    <w:rsid w:val="0062751F"/>
    <w:rsid w:val="00632AFD"/>
    <w:rsid w:val="0063491E"/>
    <w:rsid w:val="00634A27"/>
    <w:rsid w:val="00635AF8"/>
    <w:rsid w:val="006409EF"/>
    <w:rsid w:val="006459C6"/>
    <w:rsid w:val="00646363"/>
    <w:rsid w:val="00647668"/>
    <w:rsid w:val="00655212"/>
    <w:rsid w:val="00657EE4"/>
    <w:rsid w:val="006816AA"/>
    <w:rsid w:val="00682A27"/>
    <w:rsid w:val="00684FCA"/>
    <w:rsid w:val="0069689E"/>
    <w:rsid w:val="006A1698"/>
    <w:rsid w:val="006A1D06"/>
    <w:rsid w:val="006A3F10"/>
    <w:rsid w:val="006A71EB"/>
    <w:rsid w:val="006B34CB"/>
    <w:rsid w:val="006B452C"/>
    <w:rsid w:val="006B590B"/>
    <w:rsid w:val="006C44B7"/>
    <w:rsid w:val="006C5365"/>
    <w:rsid w:val="006C59D5"/>
    <w:rsid w:val="006D58BE"/>
    <w:rsid w:val="006E1418"/>
    <w:rsid w:val="006F3683"/>
    <w:rsid w:val="00700738"/>
    <w:rsid w:val="00705549"/>
    <w:rsid w:val="0071210D"/>
    <w:rsid w:val="00716BC5"/>
    <w:rsid w:val="007170E5"/>
    <w:rsid w:val="00723115"/>
    <w:rsid w:val="00724550"/>
    <w:rsid w:val="00730859"/>
    <w:rsid w:val="00731830"/>
    <w:rsid w:val="00736A19"/>
    <w:rsid w:val="00741D9E"/>
    <w:rsid w:val="00743C8D"/>
    <w:rsid w:val="00745258"/>
    <w:rsid w:val="0077374B"/>
    <w:rsid w:val="007746A3"/>
    <w:rsid w:val="007766E6"/>
    <w:rsid w:val="00780E3A"/>
    <w:rsid w:val="00781ACA"/>
    <w:rsid w:val="00785F8F"/>
    <w:rsid w:val="00787B44"/>
    <w:rsid w:val="00790CD9"/>
    <w:rsid w:val="00791F20"/>
    <w:rsid w:val="00795A5A"/>
    <w:rsid w:val="00796EC3"/>
    <w:rsid w:val="007A0441"/>
    <w:rsid w:val="007B098D"/>
    <w:rsid w:val="007B1DE5"/>
    <w:rsid w:val="007B5785"/>
    <w:rsid w:val="007B5CF3"/>
    <w:rsid w:val="007B67AE"/>
    <w:rsid w:val="007C62D1"/>
    <w:rsid w:val="007C706F"/>
    <w:rsid w:val="007C7320"/>
    <w:rsid w:val="007E0E39"/>
    <w:rsid w:val="007E2B60"/>
    <w:rsid w:val="007F0E54"/>
    <w:rsid w:val="007F5107"/>
    <w:rsid w:val="00803EC5"/>
    <w:rsid w:val="008040BA"/>
    <w:rsid w:val="008042D6"/>
    <w:rsid w:val="00806380"/>
    <w:rsid w:val="008208E3"/>
    <w:rsid w:val="00821CE2"/>
    <w:rsid w:val="00830FF8"/>
    <w:rsid w:val="00833A04"/>
    <w:rsid w:val="00833B8D"/>
    <w:rsid w:val="00843750"/>
    <w:rsid w:val="00844407"/>
    <w:rsid w:val="008510C5"/>
    <w:rsid w:val="00853E2A"/>
    <w:rsid w:val="008541E9"/>
    <w:rsid w:val="00856EEB"/>
    <w:rsid w:val="008739EB"/>
    <w:rsid w:val="008776BB"/>
    <w:rsid w:val="00880540"/>
    <w:rsid w:val="0088396E"/>
    <w:rsid w:val="00884EB1"/>
    <w:rsid w:val="00894478"/>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8F7F54"/>
    <w:rsid w:val="00904F3C"/>
    <w:rsid w:val="0090623F"/>
    <w:rsid w:val="00906702"/>
    <w:rsid w:val="00907EDB"/>
    <w:rsid w:val="009110C5"/>
    <w:rsid w:val="00912FB5"/>
    <w:rsid w:val="00915944"/>
    <w:rsid w:val="009228D9"/>
    <w:rsid w:val="009327BF"/>
    <w:rsid w:val="00934047"/>
    <w:rsid w:val="00935F33"/>
    <w:rsid w:val="0094745A"/>
    <w:rsid w:val="00952B5F"/>
    <w:rsid w:val="00953546"/>
    <w:rsid w:val="0095649D"/>
    <w:rsid w:val="009565AD"/>
    <w:rsid w:val="00963BDB"/>
    <w:rsid w:val="00984EE4"/>
    <w:rsid w:val="00990168"/>
    <w:rsid w:val="0099354F"/>
    <w:rsid w:val="009B16EA"/>
    <w:rsid w:val="009B3444"/>
    <w:rsid w:val="009B5DCD"/>
    <w:rsid w:val="009B5EE6"/>
    <w:rsid w:val="009B7193"/>
    <w:rsid w:val="009C20B9"/>
    <w:rsid w:val="009C382E"/>
    <w:rsid w:val="009D28B9"/>
    <w:rsid w:val="009D6E3D"/>
    <w:rsid w:val="009E5E58"/>
    <w:rsid w:val="009F0808"/>
    <w:rsid w:val="00A070E6"/>
    <w:rsid w:val="00A13CEF"/>
    <w:rsid w:val="00A1426A"/>
    <w:rsid w:val="00A14F1D"/>
    <w:rsid w:val="00A1703F"/>
    <w:rsid w:val="00A2180A"/>
    <w:rsid w:val="00A22293"/>
    <w:rsid w:val="00A344D5"/>
    <w:rsid w:val="00A46574"/>
    <w:rsid w:val="00A471A3"/>
    <w:rsid w:val="00A47B1B"/>
    <w:rsid w:val="00A63339"/>
    <w:rsid w:val="00A90E47"/>
    <w:rsid w:val="00A90F41"/>
    <w:rsid w:val="00A910E7"/>
    <w:rsid w:val="00A93B3B"/>
    <w:rsid w:val="00A951DD"/>
    <w:rsid w:val="00A9600A"/>
    <w:rsid w:val="00A96C80"/>
    <w:rsid w:val="00AA0ABF"/>
    <w:rsid w:val="00AA27C2"/>
    <w:rsid w:val="00AB2CCF"/>
    <w:rsid w:val="00AB49FD"/>
    <w:rsid w:val="00AC271B"/>
    <w:rsid w:val="00AD12DB"/>
    <w:rsid w:val="00AD6322"/>
    <w:rsid w:val="00AD6752"/>
    <w:rsid w:val="00AD78B1"/>
    <w:rsid w:val="00AF0B91"/>
    <w:rsid w:val="00AF1A65"/>
    <w:rsid w:val="00AF3B70"/>
    <w:rsid w:val="00B03D42"/>
    <w:rsid w:val="00B078FC"/>
    <w:rsid w:val="00B11766"/>
    <w:rsid w:val="00B17439"/>
    <w:rsid w:val="00B17940"/>
    <w:rsid w:val="00B17A11"/>
    <w:rsid w:val="00B20AC4"/>
    <w:rsid w:val="00B2296A"/>
    <w:rsid w:val="00B2472B"/>
    <w:rsid w:val="00B2753B"/>
    <w:rsid w:val="00B33139"/>
    <w:rsid w:val="00B36652"/>
    <w:rsid w:val="00B47187"/>
    <w:rsid w:val="00B5129B"/>
    <w:rsid w:val="00B56376"/>
    <w:rsid w:val="00B5741E"/>
    <w:rsid w:val="00B606B7"/>
    <w:rsid w:val="00B62C69"/>
    <w:rsid w:val="00B666EC"/>
    <w:rsid w:val="00B77560"/>
    <w:rsid w:val="00B77FC0"/>
    <w:rsid w:val="00BB052D"/>
    <w:rsid w:val="00BB1F92"/>
    <w:rsid w:val="00BB46C6"/>
    <w:rsid w:val="00BB5B7F"/>
    <w:rsid w:val="00BB7E8A"/>
    <w:rsid w:val="00BC20A0"/>
    <w:rsid w:val="00BC75AA"/>
    <w:rsid w:val="00BD0770"/>
    <w:rsid w:val="00BD2F16"/>
    <w:rsid w:val="00BE2488"/>
    <w:rsid w:val="00BE2D25"/>
    <w:rsid w:val="00BE448A"/>
    <w:rsid w:val="00BE531D"/>
    <w:rsid w:val="00BF2725"/>
    <w:rsid w:val="00BF3D60"/>
    <w:rsid w:val="00BF5FCB"/>
    <w:rsid w:val="00C00290"/>
    <w:rsid w:val="00C007D7"/>
    <w:rsid w:val="00C05FFF"/>
    <w:rsid w:val="00C16B93"/>
    <w:rsid w:val="00C2210E"/>
    <w:rsid w:val="00C2524E"/>
    <w:rsid w:val="00C32802"/>
    <w:rsid w:val="00C35DFA"/>
    <w:rsid w:val="00C40B0B"/>
    <w:rsid w:val="00C41B6F"/>
    <w:rsid w:val="00C42BBF"/>
    <w:rsid w:val="00C44979"/>
    <w:rsid w:val="00C45525"/>
    <w:rsid w:val="00C45A45"/>
    <w:rsid w:val="00C47EFE"/>
    <w:rsid w:val="00C50728"/>
    <w:rsid w:val="00C56B0F"/>
    <w:rsid w:val="00C60105"/>
    <w:rsid w:val="00C609B6"/>
    <w:rsid w:val="00C61789"/>
    <w:rsid w:val="00C623BF"/>
    <w:rsid w:val="00C62B8D"/>
    <w:rsid w:val="00C6396F"/>
    <w:rsid w:val="00C640D1"/>
    <w:rsid w:val="00C64551"/>
    <w:rsid w:val="00C65540"/>
    <w:rsid w:val="00C7011D"/>
    <w:rsid w:val="00C70D59"/>
    <w:rsid w:val="00C7432F"/>
    <w:rsid w:val="00C74A37"/>
    <w:rsid w:val="00C77473"/>
    <w:rsid w:val="00C856F4"/>
    <w:rsid w:val="00C91210"/>
    <w:rsid w:val="00C96443"/>
    <w:rsid w:val="00CA2CF3"/>
    <w:rsid w:val="00CB519E"/>
    <w:rsid w:val="00CB65AD"/>
    <w:rsid w:val="00CC3D89"/>
    <w:rsid w:val="00CC5B37"/>
    <w:rsid w:val="00CD2ED3"/>
    <w:rsid w:val="00CD3C62"/>
    <w:rsid w:val="00CE4211"/>
    <w:rsid w:val="00CF021B"/>
    <w:rsid w:val="00CF066B"/>
    <w:rsid w:val="00CF07BE"/>
    <w:rsid w:val="00CF4412"/>
    <w:rsid w:val="00CF5B33"/>
    <w:rsid w:val="00D01748"/>
    <w:rsid w:val="00D028FF"/>
    <w:rsid w:val="00D03ECD"/>
    <w:rsid w:val="00D05963"/>
    <w:rsid w:val="00D07231"/>
    <w:rsid w:val="00D11640"/>
    <w:rsid w:val="00D1470E"/>
    <w:rsid w:val="00D20AA4"/>
    <w:rsid w:val="00D25A7B"/>
    <w:rsid w:val="00D32157"/>
    <w:rsid w:val="00D434AF"/>
    <w:rsid w:val="00D44FA6"/>
    <w:rsid w:val="00D554C9"/>
    <w:rsid w:val="00D61BB7"/>
    <w:rsid w:val="00D62DA9"/>
    <w:rsid w:val="00D70D97"/>
    <w:rsid w:val="00D7165D"/>
    <w:rsid w:val="00D75705"/>
    <w:rsid w:val="00D961D6"/>
    <w:rsid w:val="00D97B17"/>
    <w:rsid w:val="00DA1A4A"/>
    <w:rsid w:val="00DA4AFE"/>
    <w:rsid w:val="00DA4BD0"/>
    <w:rsid w:val="00DB058E"/>
    <w:rsid w:val="00DB326E"/>
    <w:rsid w:val="00DC1E7E"/>
    <w:rsid w:val="00DC31D2"/>
    <w:rsid w:val="00DC7A5F"/>
    <w:rsid w:val="00DD6A66"/>
    <w:rsid w:val="00DE0D15"/>
    <w:rsid w:val="00DF1CF0"/>
    <w:rsid w:val="00DF6656"/>
    <w:rsid w:val="00DF7388"/>
    <w:rsid w:val="00E04C73"/>
    <w:rsid w:val="00E079A3"/>
    <w:rsid w:val="00E12674"/>
    <w:rsid w:val="00E132AC"/>
    <w:rsid w:val="00E15CCC"/>
    <w:rsid w:val="00E15D7D"/>
    <w:rsid w:val="00E17234"/>
    <w:rsid w:val="00E23ABA"/>
    <w:rsid w:val="00E261F5"/>
    <w:rsid w:val="00E34A5B"/>
    <w:rsid w:val="00E4741B"/>
    <w:rsid w:val="00E478DE"/>
    <w:rsid w:val="00E5226F"/>
    <w:rsid w:val="00E53135"/>
    <w:rsid w:val="00E54D94"/>
    <w:rsid w:val="00E6111E"/>
    <w:rsid w:val="00E616D0"/>
    <w:rsid w:val="00E62CCE"/>
    <w:rsid w:val="00E64F51"/>
    <w:rsid w:val="00E65C07"/>
    <w:rsid w:val="00E72DEB"/>
    <w:rsid w:val="00E8225E"/>
    <w:rsid w:val="00E847AF"/>
    <w:rsid w:val="00E86497"/>
    <w:rsid w:val="00E90547"/>
    <w:rsid w:val="00E970B0"/>
    <w:rsid w:val="00EA1656"/>
    <w:rsid w:val="00EA1819"/>
    <w:rsid w:val="00EA255B"/>
    <w:rsid w:val="00EA265D"/>
    <w:rsid w:val="00EA4CD6"/>
    <w:rsid w:val="00EA7BEB"/>
    <w:rsid w:val="00EB1F66"/>
    <w:rsid w:val="00EB646E"/>
    <w:rsid w:val="00EC34C1"/>
    <w:rsid w:val="00EC6F5D"/>
    <w:rsid w:val="00EC7A61"/>
    <w:rsid w:val="00ED1C96"/>
    <w:rsid w:val="00ED66F5"/>
    <w:rsid w:val="00EE3586"/>
    <w:rsid w:val="00EE63A7"/>
    <w:rsid w:val="00EE7954"/>
    <w:rsid w:val="00EF1FBD"/>
    <w:rsid w:val="00EF29BE"/>
    <w:rsid w:val="00EF34BA"/>
    <w:rsid w:val="00F07943"/>
    <w:rsid w:val="00F07DDF"/>
    <w:rsid w:val="00F16256"/>
    <w:rsid w:val="00F231E8"/>
    <w:rsid w:val="00F26EA8"/>
    <w:rsid w:val="00F30632"/>
    <w:rsid w:val="00F33544"/>
    <w:rsid w:val="00F35ACF"/>
    <w:rsid w:val="00F51C87"/>
    <w:rsid w:val="00F5214D"/>
    <w:rsid w:val="00F56777"/>
    <w:rsid w:val="00F624BD"/>
    <w:rsid w:val="00F62A5E"/>
    <w:rsid w:val="00F631B9"/>
    <w:rsid w:val="00F634A6"/>
    <w:rsid w:val="00F6634F"/>
    <w:rsid w:val="00F72CD1"/>
    <w:rsid w:val="00F74A39"/>
    <w:rsid w:val="00F77B8D"/>
    <w:rsid w:val="00F8138E"/>
    <w:rsid w:val="00F85203"/>
    <w:rsid w:val="00F87D5A"/>
    <w:rsid w:val="00F87EF6"/>
    <w:rsid w:val="00F92676"/>
    <w:rsid w:val="00F94262"/>
    <w:rsid w:val="00F94BA8"/>
    <w:rsid w:val="00F9616B"/>
    <w:rsid w:val="00F979A8"/>
    <w:rsid w:val="00FA1B93"/>
    <w:rsid w:val="00FA5551"/>
    <w:rsid w:val="00FA7113"/>
    <w:rsid w:val="00FA7C7A"/>
    <w:rsid w:val="00FC1C00"/>
    <w:rsid w:val="00FC6C42"/>
    <w:rsid w:val="00FD213B"/>
    <w:rsid w:val="00FD3CE8"/>
    <w:rsid w:val="00FD5B91"/>
    <w:rsid w:val="00FD7513"/>
    <w:rsid w:val="00FE179A"/>
    <w:rsid w:val="00FE2684"/>
    <w:rsid w:val="00FF04B5"/>
    <w:rsid w:val="00FF07F5"/>
    <w:rsid w:val="00FF12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Titre1">
    <w:name w:val="heading 1"/>
    <w:basedOn w:val="Normal"/>
    <w:next w:val="Normal"/>
    <w:link w:val="Titre1Car"/>
    <w:uiPriority w:val="9"/>
    <w:rsid w:val="0088396E"/>
    <w:pPr>
      <w:keepNext/>
      <w:spacing w:before="240" w:after="60"/>
      <w:outlineLvl w:val="0"/>
    </w:pPr>
    <w:rPr>
      <w:rFonts w:ascii="Arial" w:eastAsiaTheme="majorEastAsia" w:hAnsi="Arial" w:cstheme="majorBidi"/>
      <w:b/>
      <w:bCs/>
      <w:sz w:val="32"/>
      <w:szCs w:val="28"/>
    </w:rPr>
  </w:style>
  <w:style w:type="paragraph" w:styleId="Titre2">
    <w:name w:val="heading 2"/>
    <w:basedOn w:val="Normal"/>
    <w:next w:val="Normal"/>
    <w:link w:val="Titre2Car"/>
    <w:uiPriority w:val="9"/>
    <w:rsid w:val="0088396E"/>
    <w:pPr>
      <w:keepNext/>
      <w:spacing w:before="240" w:after="60"/>
      <w:outlineLvl w:val="1"/>
    </w:pPr>
    <w:rPr>
      <w:rFonts w:ascii="Arial" w:eastAsiaTheme="majorEastAsia" w:hAnsi="Arial" w:cstheme="majorBidi"/>
      <w:b/>
      <w:bCs/>
      <w:i/>
      <w:sz w:val="28"/>
      <w:szCs w:val="26"/>
    </w:rPr>
  </w:style>
  <w:style w:type="paragraph" w:styleId="Titre3">
    <w:name w:val="heading 3"/>
    <w:basedOn w:val="Normal"/>
    <w:next w:val="Normal"/>
    <w:link w:val="Titre3Car"/>
    <w:uiPriority w:val="9"/>
    <w:qFormat/>
    <w:rsid w:val="0071210D"/>
    <w:pPr>
      <w:keepNext/>
      <w:spacing w:before="240" w:after="60"/>
      <w:outlineLvl w:val="2"/>
    </w:pPr>
    <w:rPr>
      <w:rFonts w:ascii="Arial" w:eastAsiaTheme="majorEastAsia" w:hAnsi="Arial" w:cstheme="majorBidi"/>
      <w:b/>
      <w:bC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SingleTxt"/>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Pieddepage">
    <w:name w:val="footer"/>
    <w:basedOn w:val="Normal"/>
    <w:link w:val="PieddepageCar"/>
    <w:uiPriority w:val="2"/>
    <w:unhideWhenUsed/>
    <w:rsid w:val="0056579C"/>
    <w:pPr>
      <w:tabs>
        <w:tab w:val="center" w:pos="4320"/>
        <w:tab w:val="right" w:pos="8640"/>
      </w:tabs>
      <w:spacing w:line="240" w:lineRule="auto"/>
    </w:pPr>
    <w:rPr>
      <w:b/>
      <w:spacing w:val="0"/>
      <w:w w:val="100"/>
      <w:kern w:val="0"/>
      <w:sz w:val="17"/>
    </w:rPr>
  </w:style>
  <w:style w:type="character" w:customStyle="1" w:styleId="PieddepageCar">
    <w:name w:val="Pied de page Car"/>
    <w:basedOn w:val="Policepardfaut"/>
    <w:link w:val="Pieddepage"/>
    <w:uiPriority w:val="2"/>
    <w:rsid w:val="00BE531D"/>
    <w:rPr>
      <w:rFonts w:ascii="Times New Roman" w:hAnsi="Times New Roman"/>
      <w:b/>
      <w:sz w:val="17"/>
      <w:lang w:val="ru-RU"/>
    </w:rPr>
  </w:style>
  <w:style w:type="paragraph" w:styleId="En-tte">
    <w:name w:val="header"/>
    <w:basedOn w:val="Normal"/>
    <w:link w:val="En-tteCar"/>
    <w:uiPriority w:val="2"/>
    <w:rsid w:val="0056579C"/>
    <w:pPr>
      <w:tabs>
        <w:tab w:val="center" w:pos="4320"/>
        <w:tab w:val="right" w:pos="8640"/>
      </w:tabs>
      <w:spacing w:line="240" w:lineRule="auto"/>
    </w:pPr>
    <w:rPr>
      <w:spacing w:val="0"/>
      <w:w w:val="100"/>
      <w:kern w:val="0"/>
      <w:sz w:val="17"/>
    </w:rPr>
  </w:style>
  <w:style w:type="character" w:customStyle="1" w:styleId="En-tteCar">
    <w:name w:val="En-tête Car"/>
    <w:basedOn w:val="Policepardfaut"/>
    <w:link w:val="En-tte"/>
    <w:uiPriority w:val="2"/>
    <w:rsid w:val="00BE531D"/>
    <w:rPr>
      <w:rFonts w:ascii="Times New Roman" w:hAnsi="Times New Roman"/>
      <w:sz w:val="17"/>
      <w:lang w:val="ru-RU"/>
    </w:rPr>
  </w:style>
  <w:style w:type="character" w:customStyle="1" w:styleId="Titre1Car">
    <w:name w:val="Titre 1 Car"/>
    <w:basedOn w:val="Policepardfaut"/>
    <w:link w:val="Titre1"/>
    <w:uiPriority w:val="9"/>
    <w:rsid w:val="0088396E"/>
    <w:rPr>
      <w:rFonts w:ascii="Arial" w:eastAsiaTheme="majorEastAsia" w:hAnsi="Arial" w:cstheme="majorBidi"/>
      <w:b/>
      <w:bCs/>
      <w:spacing w:val="4"/>
      <w:w w:val="103"/>
      <w:kern w:val="14"/>
      <w:sz w:val="32"/>
      <w:szCs w:val="28"/>
    </w:rPr>
  </w:style>
  <w:style w:type="character" w:customStyle="1" w:styleId="Titre2Car">
    <w:name w:val="Titre 2 Car"/>
    <w:basedOn w:val="Policepardfaut"/>
    <w:link w:val="Titre2"/>
    <w:uiPriority w:val="9"/>
    <w:rsid w:val="0088396E"/>
    <w:rPr>
      <w:rFonts w:ascii="Arial" w:eastAsiaTheme="majorEastAsia" w:hAnsi="Arial" w:cstheme="majorBidi"/>
      <w:b/>
      <w:bCs/>
      <w:i/>
      <w:spacing w:val="4"/>
      <w:w w:val="103"/>
      <w:kern w:val="14"/>
      <w:sz w:val="28"/>
      <w:szCs w:val="26"/>
    </w:rPr>
  </w:style>
  <w:style w:type="character" w:customStyle="1" w:styleId="Titre3Car">
    <w:name w:val="Titre 3 Car"/>
    <w:basedOn w:val="Policepardfaut"/>
    <w:link w:val="Titre3"/>
    <w:uiPriority w:val="9"/>
    <w:rsid w:val="0071210D"/>
    <w:rPr>
      <w:rFonts w:ascii="Arial" w:eastAsiaTheme="majorEastAsia" w:hAnsi="Arial" w:cstheme="majorBidi"/>
      <w:b/>
      <w:bCs/>
      <w:spacing w:val="4"/>
      <w:w w:val="103"/>
      <w:kern w:val="14"/>
      <w:sz w:val="26"/>
    </w:rPr>
  </w:style>
  <w:style w:type="paragraph" w:styleId="Listecontinue">
    <w:name w:val="List Continue"/>
    <w:basedOn w:val="Normal"/>
    <w:uiPriority w:val="99"/>
    <w:semiHidden/>
    <w:rsid w:val="00DA1A4A"/>
    <w:pPr>
      <w:spacing w:after="120"/>
      <w:ind w:left="360"/>
      <w:contextualSpacing/>
    </w:pPr>
  </w:style>
  <w:style w:type="paragraph" w:styleId="Listecontinue2">
    <w:name w:val="List Continue 2"/>
    <w:basedOn w:val="Normal"/>
    <w:next w:val="Normal"/>
    <w:uiPriority w:val="99"/>
    <w:rsid w:val="00DA1A4A"/>
    <w:pPr>
      <w:numPr>
        <w:numId w:val="2"/>
      </w:numPr>
      <w:tabs>
        <w:tab w:val="left" w:pos="792"/>
      </w:tabs>
      <w:spacing w:after="120"/>
    </w:pPr>
  </w:style>
  <w:style w:type="paragraph" w:styleId="Listenumros">
    <w:name w:val="List Number"/>
    <w:basedOn w:val="H1"/>
    <w:next w:val="Normal"/>
    <w:uiPriority w:val="99"/>
    <w:rsid w:val="00DA1A4A"/>
    <w:pPr>
      <w:numPr>
        <w:numId w:val="3"/>
      </w:numPr>
      <w:contextualSpacing/>
    </w:pPr>
  </w:style>
  <w:style w:type="paragraph" w:styleId="Listenumros2">
    <w:name w:val="List Number 2"/>
    <w:basedOn w:val="H23"/>
    <w:next w:val="Normal"/>
    <w:uiPriority w:val="99"/>
    <w:rsid w:val="00004756"/>
    <w:pPr>
      <w:numPr>
        <w:numId w:val="4"/>
      </w:numPr>
      <w:tabs>
        <w:tab w:val="clear" w:pos="720"/>
        <w:tab w:val="left" w:pos="648"/>
      </w:tabs>
      <w:ind w:left="648"/>
      <w:contextualSpacing/>
    </w:pPr>
  </w:style>
  <w:style w:type="paragraph" w:styleId="Listenumros3">
    <w:name w:val="List Number 3"/>
    <w:basedOn w:val="H23"/>
    <w:next w:val="Normal"/>
    <w:uiPriority w:val="99"/>
    <w:rsid w:val="00004756"/>
    <w:pPr>
      <w:numPr>
        <w:numId w:val="5"/>
      </w:numPr>
      <w:tabs>
        <w:tab w:val="clear" w:pos="1080"/>
        <w:tab w:val="left" w:pos="922"/>
      </w:tabs>
      <w:ind w:left="922"/>
      <w:contextualSpacing/>
    </w:pPr>
  </w:style>
  <w:style w:type="paragraph" w:styleId="Listenumros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enumros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Notedebasdepage">
    <w:name w:val="footnote text"/>
    <w:basedOn w:val="Normal"/>
    <w:link w:val="NotedebasdepageCar"/>
    <w:uiPriority w:val="1"/>
    <w:unhideWhenUsed/>
    <w:rsid w:val="00CF07BE"/>
    <w:pPr>
      <w:suppressAutoHyphens/>
      <w:spacing w:line="210" w:lineRule="exact"/>
      <w:ind w:left="475" w:hanging="475"/>
    </w:pPr>
    <w:rPr>
      <w:spacing w:val="5"/>
      <w:w w:val="104"/>
      <w:sz w:val="17"/>
      <w:szCs w:val="20"/>
    </w:rPr>
  </w:style>
  <w:style w:type="character" w:customStyle="1" w:styleId="NotedebasdepageCar">
    <w:name w:val="Note de bas de page Car"/>
    <w:basedOn w:val="Policepardfaut"/>
    <w:link w:val="Notedebasdepage"/>
    <w:uiPriority w:val="1"/>
    <w:rsid w:val="00CF07BE"/>
    <w:rPr>
      <w:rFonts w:ascii="Times New Roman" w:hAnsi="Times New Roman"/>
      <w:spacing w:val="5"/>
      <w:w w:val="104"/>
      <w:kern w:val="14"/>
      <w:sz w:val="17"/>
      <w:szCs w:val="20"/>
      <w:lang w:val="ru-RU"/>
    </w:rPr>
  </w:style>
  <w:style w:type="character" w:styleId="Appelnotedebasdep">
    <w:name w:val="footnote reference"/>
    <w:basedOn w:val="Policepardfaut"/>
    <w:uiPriority w:val="1"/>
    <w:semiHidden/>
    <w:rsid w:val="00BB46C6"/>
    <w:rPr>
      <w:color w:val="943634" w:themeColor="accent2" w:themeShade="BF"/>
      <w:spacing w:val="5"/>
      <w:w w:val="103"/>
      <w:kern w:val="14"/>
      <w:position w:val="0"/>
      <w:vertAlign w:val="superscript"/>
    </w:rPr>
  </w:style>
  <w:style w:type="paragraph" w:styleId="Notedefin">
    <w:name w:val="endnote text"/>
    <w:basedOn w:val="Normal"/>
    <w:link w:val="NotedefinCar"/>
    <w:uiPriority w:val="1"/>
    <w:semiHidden/>
    <w:unhideWhenUsed/>
    <w:rsid w:val="00515869"/>
    <w:pPr>
      <w:suppressAutoHyphens/>
      <w:spacing w:line="240" w:lineRule="auto"/>
    </w:pPr>
    <w:rPr>
      <w:spacing w:val="5"/>
      <w:w w:val="104"/>
      <w:szCs w:val="20"/>
    </w:rPr>
  </w:style>
  <w:style w:type="character" w:customStyle="1" w:styleId="NotedefinCar">
    <w:name w:val="Note de fin Car"/>
    <w:basedOn w:val="Policepardfaut"/>
    <w:link w:val="Notedefin"/>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Appeldenotedefin">
    <w:name w:val="endnote reference"/>
    <w:basedOn w:val="Policepardfaut"/>
    <w:uiPriority w:val="1"/>
    <w:semiHidden/>
    <w:rsid w:val="00BB46C6"/>
    <w:rPr>
      <w:color w:val="943634" w:themeColor="accent2" w:themeShade="BF"/>
      <w:spacing w:val="5"/>
      <w:w w:val="103"/>
      <w:kern w:val="14"/>
      <w:position w:val="0"/>
      <w:vertAlign w:val="superscript"/>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Marquedecommentaire">
    <w:name w:val="annotation reference"/>
    <w:basedOn w:val="Policepardfaut"/>
    <w:uiPriority w:val="1"/>
    <w:semiHidden/>
    <w:unhideWhenUsed/>
    <w:rsid w:val="00F77B8D"/>
    <w:rPr>
      <w:sz w:val="16"/>
      <w:szCs w:val="16"/>
    </w:rPr>
  </w:style>
  <w:style w:type="paragraph" w:styleId="Commentaire">
    <w:name w:val="annotation text"/>
    <w:basedOn w:val="Normal"/>
    <w:link w:val="CommentaireCar"/>
    <w:uiPriority w:val="99"/>
    <w:semiHidden/>
    <w:unhideWhenUsed/>
    <w:rsid w:val="00F77B8D"/>
    <w:pPr>
      <w:spacing w:line="240" w:lineRule="auto"/>
    </w:pPr>
    <w:rPr>
      <w:szCs w:val="20"/>
    </w:rPr>
  </w:style>
  <w:style w:type="character" w:customStyle="1" w:styleId="CommentaireCar">
    <w:name w:val="Commentaire Car"/>
    <w:basedOn w:val="Policepardfaut"/>
    <w:link w:val="Commentaire"/>
    <w:uiPriority w:val="99"/>
    <w:semiHidden/>
    <w:rsid w:val="00F77B8D"/>
    <w:rPr>
      <w:rFonts w:ascii="Times New Roman" w:hAnsi="Times New Roman" w:cs="Times New Roman"/>
      <w:spacing w:val="4"/>
      <w:w w:val="103"/>
      <w:kern w:val="14"/>
      <w:sz w:val="20"/>
      <w:szCs w:val="20"/>
      <w:lang w:val="ru-RU"/>
    </w:rPr>
  </w:style>
  <w:style w:type="paragraph" w:styleId="Objetducommentaire">
    <w:name w:val="annotation subject"/>
    <w:basedOn w:val="Commentaire"/>
    <w:next w:val="Commentaire"/>
    <w:link w:val="ObjetducommentaireCar"/>
    <w:uiPriority w:val="99"/>
    <w:semiHidden/>
    <w:unhideWhenUsed/>
    <w:rsid w:val="00F77B8D"/>
    <w:rPr>
      <w:b/>
      <w:bCs/>
    </w:rPr>
  </w:style>
  <w:style w:type="character" w:customStyle="1" w:styleId="ObjetducommentaireCar">
    <w:name w:val="Objet du commentaire Car"/>
    <w:basedOn w:val="CommentaireCar"/>
    <w:link w:val="Objetducommentaire"/>
    <w:uiPriority w:val="99"/>
    <w:semiHidden/>
    <w:rsid w:val="00F77B8D"/>
    <w:rPr>
      <w:rFonts w:ascii="Times New Roman" w:hAnsi="Times New Roman" w:cs="Times New Roman"/>
      <w:b/>
      <w:bCs/>
      <w:spacing w:val="4"/>
      <w:w w:val="103"/>
      <w:kern w:val="14"/>
      <w:sz w:val="20"/>
      <w:szCs w:val="20"/>
      <w:lang w:val="ru-RU"/>
    </w:rPr>
  </w:style>
  <w:style w:type="character" w:customStyle="1" w:styleId="SingleTxtGChar">
    <w:name w:val="_ Single Txt_G Char"/>
    <w:link w:val="SingleTxtG"/>
    <w:locked/>
    <w:rsid w:val="00E72DEB"/>
  </w:style>
  <w:style w:type="paragraph" w:customStyle="1" w:styleId="SingleTxtG">
    <w:name w:val="_ Single Txt_G"/>
    <w:basedOn w:val="Normal"/>
    <w:link w:val="SingleTxtGChar"/>
    <w:rsid w:val="00E72DEB"/>
    <w:pPr>
      <w:suppressAutoHyphens/>
      <w:spacing w:after="120" w:line="240" w:lineRule="atLeast"/>
      <w:ind w:left="1134" w:right="1134"/>
      <w:jc w:val="both"/>
    </w:pPr>
    <w:rPr>
      <w:rFonts w:asciiTheme="minorHAnsi" w:hAnsiTheme="minorHAnsi" w:cstheme="minorBidi"/>
      <w:spacing w:val="0"/>
      <w:w w:val="100"/>
      <w:kern w:val="0"/>
      <w:sz w:val="22"/>
      <w:lang w:val="en-US"/>
    </w:rPr>
  </w:style>
  <w:style w:type="paragraph" w:customStyle="1" w:styleId="Tabletext9">
    <w:name w:val="Table text (9)"/>
    <w:basedOn w:val="Normal"/>
    <w:rsid w:val="005C1757"/>
    <w:pPr>
      <w:spacing w:before="60" w:after="60" w:line="210" w:lineRule="atLeast"/>
      <w:jc w:val="both"/>
    </w:pPr>
    <w:rPr>
      <w:rFonts w:ascii="Arial" w:eastAsia="MS Mincho" w:hAnsi="Arial"/>
      <w:spacing w:val="0"/>
      <w:w w:val="100"/>
      <w:kern w:val="0"/>
      <w:sz w:val="18"/>
      <w:szCs w:val="20"/>
      <w:lang w:val="en-GB" w:eastAsia="fr-FR"/>
    </w:rPr>
  </w:style>
  <w:style w:type="paragraph" w:styleId="Textedebulles">
    <w:name w:val="Balloon Text"/>
    <w:basedOn w:val="Normal"/>
    <w:link w:val="TextedebullesCar"/>
    <w:uiPriority w:val="99"/>
    <w:semiHidden/>
    <w:unhideWhenUsed/>
    <w:rsid w:val="0060211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2116"/>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SingleTxt"/>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F77B8D"/>
    <w:rPr>
      <w:sz w:val="16"/>
      <w:szCs w:val="16"/>
    </w:rPr>
  </w:style>
  <w:style w:type="paragraph" w:styleId="CommentText">
    <w:name w:val="annotation text"/>
    <w:basedOn w:val="Normal"/>
    <w:link w:val="CommentTextChar"/>
    <w:uiPriority w:val="99"/>
    <w:semiHidden/>
    <w:unhideWhenUsed/>
    <w:rsid w:val="00F77B8D"/>
    <w:pPr>
      <w:spacing w:line="240" w:lineRule="auto"/>
    </w:pPr>
    <w:rPr>
      <w:szCs w:val="20"/>
    </w:rPr>
  </w:style>
  <w:style w:type="character" w:customStyle="1" w:styleId="CommentTextChar">
    <w:name w:val="Comment Text Char"/>
    <w:basedOn w:val="DefaultParagraphFont"/>
    <w:link w:val="CommentText"/>
    <w:uiPriority w:val="99"/>
    <w:semiHidden/>
    <w:rsid w:val="00F77B8D"/>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F77B8D"/>
    <w:rPr>
      <w:b/>
      <w:bCs/>
    </w:rPr>
  </w:style>
  <w:style w:type="character" w:customStyle="1" w:styleId="CommentSubjectChar">
    <w:name w:val="Comment Subject Char"/>
    <w:basedOn w:val="CommentTextChar"/>
    <w:link w:val="CommentSubject"/>
    <w:uiPriority w:val="99"/>
    <w:semiHidden/>
    <w:rsid w:val="00F77B8D"/>
    <w:rPr>
      <w:rFonts w:ascii="Times New Roman" w:hAnsi="Times New Roman" w:cs="Times New Roman"/>
      <w:b/>
      <w:bCs/>
      <w:spacing w:val="4"/>
      <w:w w:val="103"/>
      <w:kern w:val="14"/>
      <w:sz w:val="20"/>
      <w:szCs w:val="20"/>
      <w:lang w:val="ru-RU"/>
    </w:rPr>
  </w:style>
  <w:style w:type="character" w:customStyle="1" w:styleId="SingleTxtGChar">
    <w:name w:val="_ Single Txt_G Char"/>
    <w:link w:val="SingleTxtG"/>
    <w:locked/>
    <w:rsid w:val="00E72DEB"/>
  </w:style>
  <w:style w:type="paragraph" w:customStyle="1" w:styleId="SingleTxtG">
    <w:name w:val="_ Single Txt_G"/>
    <w:basedOn w:val="Normal"/>
    <w:link w:val="SingleTxtGChar"/>
    <w:rsid w:val="00E72DEB"/>
    <w:pPr>
      <w:suppressAutoHyphens/>
      <w:spacing w:after="120" w:line="240" w:lineRule="atLeast"/>
      <w:ind w:left="1134" w:right="1134"/>
      <w:jc w:val="both"/>
    </w:pPr>
    <w:rPr>
      <w:rFonts w:asciiTheme="minorHAnsi" w:hAnsiTheme="minorHAnsi" w:cstheme="minorBidi"/>
      <w:spacing w:val="0"/>
      <w:w w:val="100"/>
      <w:kern w:val="0"/>
      <w:sz w:val="22"/>
      <w:lang w:val="en-US"/>
    </w:rPr>
  </w:style>
  <w:style w:type="paragraph" w:customStyle="1" w:styleId="Tabletext9">
    <w:name w:val="Table text (9)"/>
    <w:basedOn w:val="Normal"/>
    <w:rsid w:val="005C1757"/>
    <w:pPr>
      <w:spacing w:before="60" w:after="60" w:line="210" w:lineRule="atLeast"/>
      <w:jc w:val="both"/>
    </w:pPr>
    <w:rPr>
      <w:rFonts w:ascii="Arial" w:eastAsia="MS Mincho" w:hAnsi="Arial"/>
      <w:spacing w:val="0"/>
      <w:w w:val="100"/>
      <w:kern w:val="0"/>
      <w:sz w:val="18"/>
      <w:szCs w:val="20"/>
      <w:lang w:val="en-GB" w:eastAsia="fr-FR"/>
    </w:rPr>
  </w:style>
</w:styles>
</file>

<file path=word/webSettings.xml><?xml version="1.0" encoding="utf-8"?>
<w:webSettings xmlns:r="http://schemas.openxmlformats.org/officeDocument/2006/relationships" xmlns:w="http://schemas.openxmlformats.org/wordprocessingml/2006/main">
  <w:divs>
    <w:div w:id="46540558">
      <w:bodyDiv w:val="1"/>
      <w:marLeft w:val="0"/>
      <w:marRight w:val="0"/>
      <w:marTop w:val="0"/>
      <w:marBottom w:val="0"/>
      <w:divBdr>
        <w:top w:val="none" w:sz="0" w:space="0" w:color="auto"/>
        <w:left w:val="none" w:sz="0" w:space="0" w:color="auto"/>
        <w:bottom w:val="none" w:sz="0" w:space="0" w:color="auto"/>
        <w:right w:val="none" w:sz="0" w:space="0" w:color="auto"/>
      </w:divBdr>
    </w:div>
    <w:div w:id="267587452">
      <w:bodyDiv w:val="1"/>
      <w:marLeft w:val="0"/>
      <w:marRight w:val="0"/>
      <w:marTop w:val="0"/>
      <w:marBottom w:val="0"/>
      <w:divBdr>
        <w:top w:val="none" w:sz="0" w:space="0" w:color="auto"/>
        <w:left w:val="none" w:sz="0" w:space="0" w:color="auto"/>
        <w:bottom w:val="none" w:sz="0" w:space="0" w:color="auto"/>
        <w:right w:val="none" w:sz="0" w:space="0" w:color="auto"/>
      </w:divBdr>
    </w:div>
    <w:div w:id="328869562">
      <w:bodyDiv w:val="1"/>
      <w:marLeft w:val="0"/>
      <w:marRight w:val="0"/>
      <w:marTop w:val="0"/>
      <w:marBottom w:val="0"/>
      <w:divBdr>
        <w:top w:val="none" w:sz="0" w:space="0" w:color="auto"/>
        <w:left w:val="none" w:sz="0" w:space="0" w:color="auto"/>
        <w:bottom w:val="none" w:sz="0" w:space="0" w:color="auto"/>
        <w:right w:val="none" w:sz="0" w:space="0" w:color="auto"/>
      </w:divBdr>
    </w:div>
    <w:div w:id="512456530">
      <w:bodyDiv w:val="1"/>
      <w:marLeft w:val="0"/>
      <w:marRight w:val="0"/>
      <w:marTop w:val="0"/>
      <w:marBottom w:val="0"/>
      <w:divBdr>
        <w:top w:val="none" w:sz="0" w:space="0" w:color="auto"/>
        <w:left w:val="none" w:sz="0" w:space="0" w:color="auto"/>
        <w:bottom w:val="none" w:sz="0" w:space="0" w:color="auto"/>
        <w:right w:val="none" w:sz="0" w:space="0" w:color="auto"/>
      </w:divBdr>
    </w:div>
    <w:div w:id="533034085">
      <w:bodyDiv w:val="1"/>
      <w:marLeft w:val="0"/>
      <w:marRight w:val="0"/>
      <w:marTop w:val="0"/>
      <w:marBottom w:val="0"/>
      <w:divBdr>
        <w:top w:val="none" w:sz="0" w:space="0" w:color="auto"/>
        <w:left w:val="none" w:sz="0" w:space="0" w:color="auto"/>
        <w:bottom w:val="none" w:sz="0" w:space="0" w:color="auto"/>
        <w:right w:val="none" w:sz="0" w:space="0" w:color="auto"/>
      </w:divBdr>
    </w:div>
    <w:div w:id="592860227">
      <w:bodyDiv w:val="1"/>
      <w:marLeft w:val="0"/>
      <w:marRight w:val="0"/>
      <w:marTop w:val="0"/>
      <w:marBottom w:val="0"/>
      <w:divBdr>
        <w:top w:val="none" w:sz="0" w:space="0" w:color="auto"/>
        <w:left w:val="none" w:sz="0" w:space="0" w:color="auto"/>
        <w:bottom w:val="none" w:sz="0" w:space="0" w:color="auto"/>
        <w:right w:val="none" w:sz="0" w:space="0" w:color="auto"/>
      </w:divBdr>
    </w:div>
    <w:div w:id="647367731">
      <w:bodyDiv w:val="1"/>
      <w:marLeft w:val="0"/>
      <w:marRight w:val="0"/>
      <w:marTop w:val="0"/>
      <w:marBottom w:val="0"/>
      <w:divBdr>
        <w:top w:val="none" w:sz="0" w:space="0" w:color="auto"/>
        <w:left w:val="none" w:sz="0" w:space="0" w:color="auto"/>
        <w:bottom w:val="none" w:sz="0" w:space="0" w:color="auto"/>
        <w:right w:val="none" w:sz="0" w:space="0" w:color="auto"/>
      </w:divBdr>
    </w:div>
    <w:div w:id="1356812629">
      <w:bodyDiv w:val="1"/>
      <w:marLeft w:val="0"/>
      <w:marRight w:val="0"/>
      <w:marTop w:val="0"/>
      <w:marBottom w:val="0"/>
      <w:divBdr>
        <w:top w:val="none" w:sz="0" w:space="0" w:color="auto"/>
        <w:left w:val="none" w:sz="0" w:space="0" w:color="auto"/>
        <w:bottom w:val="none" w:sz="0" w:space="0" w:color="auto"/>
        <w:right w:val="none" w:sz="0" w:space="0" w:color="auto"/>
      </w:divBdr>
    </w:div>
    <w:div w:id="1441100146">
      <w:bodyDiv w:val="1"/>
      <w:marLeft w:val="0"/>
      <w:marRight w:val="0"/>
      <w:marTop w:val="0"/>
      <w:marBottom w:val="0"/>
      <w:divBdr>
        <w:top w:val="none" w:sz="0" w:space="0" w:color="auto"/>
        <w:left w:val="none" w:sz="0" w:space="0" w:color="auto"/>
        <w:bottom w:val="none" w:sz="0" w:space="0" w:color="auto"/>
        <w:right w:val="none" w:sz="0" w:space="0" w:color="auto"/>
      </w:divBdr>
    </w:div>
    <w:div w:id="150616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w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87718-61FA-4C2A-877C-E8766C16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5474</Words>
  <Characters>30112</Characters>
  <Application>Microsoft Office Word</Application>
  <DocSecurity>0</DocSecurity>
  <Lines>250</Lines>
  <Paragraphs>71</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35515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Prokoudina S.</dc:creator>
  <cp:lastModifiedBy>Maison</cp:lastModifiedBy>
  <cp:revision>2</cp:revision>
  <cp:lastPrinted>2015-08-05T09:15:00Z</cp:lastPrinted>
  <dcterms:created xsi:type="dcterms:W3CDTF">2015-08-19T14:40:00Z</dcterms:created>
  <dcterms:modified xsi:type="dcterms:W3CDTF">2015-08-19T14:40:00Z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1510999R</vt:lpwstr>
  </property>
  <property fmtid="{D5CDD505-2E9C-101B-9397-08002B2CF9AE}" pid="3" name="ODSRefJobNo">
    <vt:lpwstr>1514196R</vt:lpwstr>
  </property>
  <property fmtid="{D5CDD505-2E9C-101B-9397-08002B2CF9AE}" pid="4" name="Symbol1">
    <vt:lpwstr>ECE/TRANS/WP.15/AC.1/2015/48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 July 2015</vt:lpwstr>
  </property>
  <property fmtid="{D5CDD505-2E9C-101B-9397-08002B2CF9AE}" pid="12" name="Original">
    <vt:lpwstr>English</vt:lpwstr>
  </property>
  <property fmtid="{D5CDD505-2E9C-101B-9397-08002B2CF9AE}" pid="13" name="Release Date">
    <vt:lpwstr>040815</vt:lpwstr>
  </property>
</Properties>
</file>