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9E323B" w:rsidTr="00B11BB4">
        <w:trPr>
          <w:cantSplit/>
          <w:trHeight w:hRule="exact" w:val="851"/>
        </w:trPr>
        <w:tc>
          <w:tcPr>
            <w:tcW w:w="1276" w:type="dxa"/>
            <w:tcBorders>
              <w:bottom w:val="single" w:sz="4" w:space="0" w:color="auto"/>
            </w:tcBorders>
            <w:shd w:val="clear" w:color="auto" w:fill="auto"/>
            <w:vAlign w:val="bottom"/>
          </w:tcPr>
          <w:p w:rsidR="00B56E9C" w:rsidRPr="009E323B" w:rsidRDefault="00B56E9C" w:rsidP="00B11BB4">
            <w:pPr>
              <w:spacing w:after="80"/>
              <w:rPr>
                <w:i/>
              </w:rPr>
            </w:pPr>
          </w:p>
        </w:tc>
        <w:tc>
          <w:tcPr>
            <w:tcW w:w="2268" w:type="dxa"/>
            <w:tcBorders>
              <w:bottom w:val="single" w:sz="4" w:space="0" w:color="auto"/>
            </w:tcBorders>
            <w:shd w:val="clear" w:color="auto" w:fill="auto"/>
            <w:vAlign w:val="bottom"/>
          </w:tcPr>
          <w:p w:rsidR="00B56E9C" w:rsidRPr="009E323B" w:rsidRDefault="00B56E9C" w:rsidP="00B11BB4">
            <w:pPr>
              <w:spacing w:after="80" w:line="300" w:lineRule="exact"/>
              <w:rPr>
                <w:b/>
                <w:sz w:val="24"/>
                <w:szCs w:val="24"/>
              </w:rPr>
            </w:pPr>
            <w:r w:rsidRPr="009E323B">
              <w:rPr>
                <w:sz w:val="28"/>
                <w:szCs w:val="28"/>
              </w:rPr>
              <w:t>United Nations</w:t>
            </w:r>
          </w:p>
        </w:tc>
        <w:tc>
          <w:tcPr>
            <w:tcW w:w="6095" w:type="dxa"/>
            <w:gridSpan w:val="2"/>
            <w:tcBorders>
              <w:bottom w:val="single" w:sz="4" w:space="0" w:color="auto"/>
            </w:tcBorders>
            <w:shd w:val="clear" w:color="auto" w:fill="auto"/>
            <w:vAlign w:val="bottom"/>
          </w:tcPr>
          <w:p w:rsidR="00B56E9C" w:rsidRPr="009E323B" w:rsidRDefault="009D2A5B" w:rsidP="00D831E3">
            <w:pPr>
              <w:suppressAutoHyphens w:val="0"/>
              <w:spacing w:after="20"/>
              <w:jc w:val="right"/>
            </w:pPr>
            <w:r w:rsidRPr="009E323B">
              <w:rPr>
                <w:sz w:val="40"/>
              </w:rPr>
              <w:t>ECE</w:t>
            </w:r>
            <w:r w:rsidRPr="009E323B">
              <w:t>/TRANS/WP.15/AC.1/201</w:t>
            </w:r>
            <w:r w:rsidR="00297267" w:rsidRPr="009E323B">
              <w:t>5</w:t>
            </w:r>
            <w:r w:rsidR="00BF7313" w:rsidRPr="009E323B">
              <w:t>/</w:t>
            </w:r>
            <w:r w:rsidR="00D831E3" w:rsidRPr="009E323B">
              <w:t>48</w:t>
            </w:r>
          </w:p>
        </w:tc>
      </w:tr>
      <w:tr w:rsidR="00B56E9C" w:rsidRPr="009E323B" w:rsidTr="00B11BB4">
        <w:trPr>
          <w:cantSplit/>
          <w:trHeight w:hRule="exact" w:val="2835"/>
        </w:trPr>
        <w:tc>
          <w:tcPr>
            <w:tcW w:w="1276" w:type="dxa"/>
            <w:tcBorders>
              <w:top w:val="single" w:sz="4" w:space="0" w:color="auto"/>
              <w:bottom w:val="single" w:sz="12" w:space="0" w:color="auto"/>
            </w:tcBorders>
            <w:shd w:val="clear" w:color="auto" w:fill="auto"/>
          </w:tcPr>
          <w:p w:rsidR="00B56E9C" w:rsidRPr="009E323B" w:rsidRDefault="002E58AD" w:rsidP="00B11BB4">
            <w:pPr>
              <w:spacing w:before="120"/>
            </w:pPr>
            <w:r w:rsidRPr="009E323B">
              <w:rPr>
                <w:noProof/>
                <w:lang w:eastAsia="en-GB"/>
              </w:rPr>
              <w:drawing>
                <wp:inline distT="0" distB="0" distL="0" distR="0" wp14:anchorId="3946962F" wp14:editId="63FC6289">
                  <wp:extent cx="714375" cy="590550"/>
                  <wp:effectExtent l="0" t="0" r="9525"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9E323B" w:rsidRDefault="00D773DF" w:rsidP="00B11BB4">
            <w:pPr>
              <w:spacing w:before="120" w:line="420" w:lineRule="exact"/>
              <w:rPr>
                <w:sz w:val="40"/>
                <w:szCs w:val="40"/>
              </w:rPr>
            </w:pPr>
            <w:r w:rsidRPr="009E323B">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Pr="009E323B" w:rsidRDefault="009D2A5B" w:rsidP="00B11BB4">
            <w:pPr>
              <w:suppressAutoHyphens w:val="0"/>
              <w:spacing w:before="240" w:line="240" w:lineRule="exact"/>
            </w:pPr>
            <w:r w:rsidRPr="009E323B">
              <w:t>Distr.: General</w:t>
            </w:r>
          </w:p>
          <w:p w:rsidR="007A08B6" w:rsidRPr="009E323B" w:rsidRDefault="003528F0" w:rsidP="00B11BB4">
            <w:pPr>
              <w:suppressAutoHyphens w:val="0"/>
            </w:pPr>
            <w:r>
              <w:t>2 July</w:t>
            </w:r>
            <w:r w:rsidR="007A08B6" w:rsidRPr="009E323B">
              <w:t xml:space="preserve"> </w:t>
            </w:r>
            <w:r w:rsidR="001C774B" w:rsidRPr="009E323B">
              <w:t>201</w:t>
            </w:r>
            <w:r w:rsidR="00297267" w:rsidRPr="009E323B">
              <w:t>5</w:t>
            </w:r>
          </w:p>
          <w:p w:rsidR="001A69F3" w:rsidRPr="009E323B" w:rsidRDefault="001A69F3" w:rsidP="00B11BB4">
            <w:pPr>
              <w:suppressAutoHyphens w:val="0"/>
            </w:pPr>
          </w:p>
          <w:p w:rsidR="001A69F3" w:rsidRPr="009E323B" w:rsidRDefault="009D2A5B" w:rsidP="001A69F3">
            <w:pPr>
              <w:suppressAutoHyphens w:val="0"/>
            </w:pPr>
            <w:r w:rsidRPr="009E323B">
              <w:t xml:space="preserve">Original: </w:t>
            </w:r>
            <w:r w:rsidR="001A69F3" w:rsidRPr="009E323B">
              <w:t xml:space="preserve"> English</w:t>
            </w:r>
          </w:p>
          <w:p w:rsidR="00B56E9C" w:rsidRPr="009E323B" w:rsidRDefault="00B56E9C" w:rsidP="00B11BB4">
            <w:pPr>
              <w:suppressAutoHyphens w:val="0"/>
            </w:pPr>
          </w:p>
        </w:tc>
      </w:tr>
    </w:tbl>
    <w:p w:rsidR="00EC106A" w:rsidRPr="009E323B" w:rsidRDefault="00EC106A">
      <w:pPr>
        <w:spacing w:before="120"/>
        <w:rPr>
          <w:b/>
          <w:sz w:val="28"/>
          <w:szCs w:val="28"/>
        </w:rPr>
      </w:pPr>
      <w:r w:rsidRPr="009E323B">
        <w:rPr>
          <w:b/>
          <w:sz w:val="28"/>
          <w:szCs w:val="28"/>
        </w:rPr>
        <w:t>Economic Commission for Europe</w:t>
      </w:r>
    </w:p>
    <w:p w:rsidR="00EC106A" w:rsidRPr="009E323B" w:rsidRDefault="00EC106A">
      <w:pPr>
        <w:spacing w:before="120"/>
        <w:rPr>
          <w:sz w:val="28"/>
          <w:szCs w:val="28"/>
        </w:rPr>
      </w:pPr>
      <w:r w:rsidRPr="009E323B">
        <w:rPr>
          <w:sz w:val="28"/>
          <w:szCs w:val="28"/>
        </w:rPr>
        <w:t>Inland Transport Committee</w:t>
      </w:r>
    </w:p>
    <w:p w:rsidR="00EC106A" w:rsidRPr="009E323B" w:rsidRDefault="00EC106A" w:rsidP="00EC106A">
      <w:pPr>
        <w:spacing w:before="120" w:after="120"/>
        <w:rPr>
          <w:b/>
          <w:sz w:val="24"/>
          <w:szCs w:val="24"/>
        </w:rPr>
      </w:pPr>
      <w:r w:rsidRPr="009E323B">
        <w:rPr>
          <w:b/>
          <w:sz w:val="24"/>
          <w:szCs w:val="24"/>
        </w:rPr>
        <w:t>Working Party on the Transport of Dangerous Goods</w:t>
      </w:r>
    </w:p>
    <w:p w:rsidR="009D2A5B" w:rsidRPr="009E323B" w:rsidRDefault="009D2A5B" w:rsidP="009D2A5B">
      <w:pPr>
        <w:rPr>
          <w:b/>
        </w:rPr>
      </w:pPr>
      <w:r w:rsidRPr="009E323B">
        <w:rPr>
          <w:b/>
        </w:rPr>
        <w:t>Joint Meeting of the RID Committee of Experts and the</w:t>
      </w:r>
    </w:p>
    <w:p w:rsidR="009D2A5B" w:rsidRPr="009E323B" w:rsidRDefault="009D2A5B" w:rsidP="009D2A5B">
      <w:pPr>
        <w:rPr>
          <w:b/>
        </w:rPr>
      </w:pPr>
      <w:r w:rsidRPr="009E323B">
        <w:rPr>
          <w:b/>
        </w:rPr>
        <w:t>Working Party on the Transport of Dangerous Goods</w:t>
      </w:r>
    </w:p>
    <w:p w:rsidR="009D2A5B" w:rsidRPr="009E323B" w:rsidRDefault="00BA6884" w:rsidP="00BB7CD1">
      <w:r w:rsidRPr="009E323B">
        <w:t>Geneva</w:t>
      </w:r>
      <w:r w:rsidR="00DF1ADF" w:rsidRPr="009E323B">
        <w:t xml:space="preserve">, </w:t>
      </w:r>
      <w:r w:rsidR="003C27FB" w:rsidRPr="009E323B">
        <w:t>15</w:t>
      </w:r>
      <w:r w:rsidR="00611E5F" w:rsidRPr="009E323B">
        <w:t>-</w:t>
      </w:r>
      <w:r w:rsidR="003C27FB" w:rsidRPr="009E323B">
        <w:t>25</w:t>
      </w:r>
      <w:r w:rsidR="00BB7CD1" w:rsidRPr="009E323B">
        <w:t xml:space="preserve"> </w:t>
      </w:r>
      <w:r w:rsidR="002B18A1" w:rsidRPr="009E323B">
        <w:t>September</w:t>
      </w:r>
      <w:r w:rsidR="002F2240" w:rsidRPr="009E323B">
        <w:t xml:space="preserve"> 201</w:t>
      </w:r>
      <w:r w:rsidR="00297267" w:rsidRPr="009E323B">
        <w:t>5</w:t>
      </w:r>
    </w:p>
    <w:p w:rsidR="00D831E3" w:rsidRPr="009E323B" w:rsidRDefault="00D831E3" w:rsidP="00D831E3">
      <w:r w:rsidRPr="009E323B">
        <w:t>Item 3 (a) of the provisional agenda</w:t>
      </w:r>
    </w:p>
    <w:p w:rsidR="00D831E3" w:rsidRPr="009E323B" w:rsidRDefault="00D831E3" w:rsidP="00D831E3">
      <w:pPr>
        <w:rPr>
          <w:b/>
        </w:rPr>
      </w:pPr>
      <w:r w:rsidRPr="009E323B">
        <w:rPr>
          <w:b/>
        </w:rPr>
        <w:t>Proposals for amendment to RID/ADR/ADN:</w:t>
      </w:r>
    </w:p>
    <w:p w:rsidR="00BF7313" w:rsidRPr="009E323B" w:rsidRDefault="00D831E3" w:rsidP="00D831E3">
      <w:pPr>
        <w:rPr>
          <w:b/>
        </w:rPr>
      </w:pPr>
      <w:proofErr w:type="gramStart"/>
      <w:r w:rsidRPr="009E323B">
        <w:rPr>
          <w:b/>
        </w:rPr>
        <w:t>pending</w:t>
      </w:r>
      <w:proofErr w:type="gramEnd"/>
      <w:r w:rsidRPr="009E323B">
        <w:rPr>
          <w:b/>
        </w:rPr>
        <w:t xml:space="preserve"> issues</w:t>
      </w:r>
    </w:p>
    <w:p w:rsidR="002F2240" w:rsidRPr="009E323B" w:rsidRDefault="009B1518" w:rsidP="002F2240">
      <w:pPr>
        <w:pStyle w:val="HChG"/>
        <w:rPr>
          <w:lang w:val="en-GB"/>
        </w:rPr>
      </w:pPr>
      <w:r w:rsidRPr="009E323B">
        <w:rPr>
          <w:lang w:val="en-GB"/>
        </w:rPr>
        <w:tab/>
      </w:r>
      <w:r w:rsidRPr="009E323B">
        <w:rPr>
          <w:lang w:val="en-GB"/>
        </w:rPr>
        <w:tab/>
      </w:r>
      <w:r w:rsidR="00E24363" w:rsidRPr="009E323B">
        <w:rPr>
          <w:lang w:val="en-GB"/>
        </w:rPr>
        <w:t>Periodic inspection and test of some transportable</w:t>
      </w:r>
      <w:r w:rsidR="00AF67FA" w:rsidRPr="009E323B">
        <w:rPr>
          <w:lang w:val="en-GB"/>
        </w:rPr>
        <w:t xml:space="preserve"> refillable LPG steel cylinders</w:t>
      </w:r>
    </w:p>
    <w:p w:rsidR="002F2240" w:rsidRPr="009E323B" w:rsidRDefault="002F2240" w:rsidP="002F2240">
      <w:pPr>
        <w:pStyle w:val="H1G"/>
      </w:pPr>
      <w:r w:rsidRPr="009E323B">
        <w:tab/>
      </w:r>
      <w:r w:rsidRPr="009E323B">
        <w:tab/>
      </w:r>
      <w:r w:rsidR="00E24363" w:rsidRPr="009E323B">
        <w:t>Transmitted by the European Liquefied Petroleum Gas Association (AEGPL</w:t>
      </w:r>
      <w:r w:rsidR="009814DB" w:rsidRPr="009E323B">
        <w:t>)</w:t>
      </w:r>
      <w:r w:rsidR="009814DB" w:rsidRPr="009814DB">
        <w:t xml:space="preserve"> </w:t>
      </w:r>
      <w:r w:rsidR="009814DB" w:rsidRPr="009E323B">
        <w:t xml:space="preserve">on behalf of the </w:t>
      </w:r>
      <w:r w:rsidR="009814DB">
        <w:t>informal working g</w:t>
      </w:r>
      <w:r w:rsidR="009814DB" w:rsidRPr="009E323B">
        <w:t xml:space="preserve">roup on </w:t>
      </w:r>
      <w:r w:rsidR="009814DB">
        <w:t>a</w:t>
      </w:r>
      <w:r w:rsidR="009814DB" w:rsidRPr="009E323B">
        <w:t xml:space="preserve">lternative </w:t>
      </w:r>
      <w:r w:rsidR="009814DB">
        <w:t>m</w:t>
      </w:r>
      <w:r w:rsidR="009814DB" w:rsidRPr="009E323B">
        <w:t xml:space="preserve">ethods for </w:t>
      </w:r>
      <w:r w:rsidR="009814DB">
        <w:t>p</w:t>
      </w:r>
      <w:r w:rsidR="009814DB" w:rsidRPr="009E323B">
        <w:t xml:space="preserve">eriodic </w:t>
      </w:r>
      <w:proofErr w:type="gramStart"/>
      <w:r w:rsidR="009814DB">
        <w:t>i</w:t>
      </w:r>
      <w:r w:rsidR="009814DB" w:rsidRPr="009E323B">
        <w:t>nspections</w:t>
      </w:r>
      <w:r w:rsidR="009814DB">
        <w:t xml:space="preserve"> </w:t>
      </w:r>
      <w:proofErr w:type="gramEnd"/>
      <w:r w:rsidR="00D831E3" w:rsidRPr="009E323B">
        <w:rPr>
          <w:rStyle w:val="FootnoteReference"/>
          <w:b w:val="0"/>
        </w:rPr>
        <w:footnoteReference w:id="2"/>
      </w:r>
      <w:r w:rsidR="00D831E3" w:rsidRPr="009E323B">
        <w:rPr>
          <w:b w:val="0"/>
          <w:sz w:val="18"/>
          <w:szCs w:val="18"/>
          <w:vertAlign w:val="superscript"/>
        </w:rPr>
        <w:t>,</w:t>
      </w:r>
      <w:r w:rsidR="00D831E3" w:rsidRPr="009E323B">
        <w:rPr>
          <w:b w:val="0"/>
          <w:sz w:val="18"/>
          <w:szCs w:val="18"/>
        </w:rPr>
        <w:t xml:space="preserve"> </w:t>
      </w:r>
      <w:r w:rsidR="00D831E3" w:rsidRPr="009E323B">
        <w:rPr>
          <w:rStyle w:val="FootnoteReference"/>
          <w:b w:val="0"/>
        </w:rPr>
        <w:footnoteReference w:id="3"/>
      </w:r>
      <w:r w:rsidR="0055613B" w:rsidRPr="009E323B">
        <w:t xml:space="preserve"> </w:t>
      </w:r>
    </w:p>
    <w:p w:rsidR="00FB091C" w:rsidRPr="009E323B" w:rsidRDefault="00FB091C" w:rsidP="00FB091C">
      <w:r w:rsidRPr="009E323B">
        <w:rPr>
          <w:b/>
          <w:sz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2F2240" w:rsidRPr="009E323B" w:rsidTr="00515740">
        <w:trPr>
          <w:jc w:val="center"/>
        </w:trPr>
        <w:tc>
          <w:tcPr>
            <w:tcW w:w="9637" w:type="dxa"/>
            <w:tcBorders>
              <w:bottom w:val="nil"/>
            </w:tcBorders>
            <w:shd w:val="clear" w:color="auto" w:fill="auto"/>
          </w:tcPr>
          <w:p w:rsidR="002F2240" w:rsidRPr="009E323B" w:rsidRDefault="002F2240" w:rsidP="00515740">
            <w:pPr>
              <w:tabs>
                <w:tab w:val="left" w:pos="255"/>
              </w:tabs>
              <w:suppressAutoHyphens w:val="0"/>
              <w:spacing w:before="240" w:after="120"/>
              <w:rPr>
                <w:sz w:val="24"/>
              </w:rPr>
            </w:pPr>
            <w:r w:rsidRPr="009E323B">
              <w:lastRenderedPageBreak/>
              <w:tab/>
            </w:r>
            <w:r w:rsidRPr="009E323B">
              <w:rPr>
                <w:i/>
                <w:sz w:val="24"/>
              </w:rPr>
              <w:t>Summary</w:t>
            </w:r>
          </w:p>
        </w:tc>
      </w:tr>
      <w:tr w:rsidR="002F2240" w:rsidRPr="009E323B" w:rsidTr="00515740">
        <w:trPr>
          <w:jc w:val="center"/>
        </w:trPr>
        <w:tc>
          <w:tcPr>
            <w:tcW w:w="9637" w:type="dxa"/>
            <w:tcBorders>
              <w:top w:val="nil"/>
              <w:bottom w:val="nil"/>
            </w:tcBorders>
            <w:shd w:val="clear" w:color="auto" w:fill="auto"/>
          </w:tcPr>
          <w:p w:rsidR="005E4D6C" w:rsidRPr="009E323B" w:rsidRDefault="002F2240" w:rsidP="00FB091C">
            <w:pPr>
              <w:pStyle w:val="SingleTxtG"/>
              <w:ind w:left="3401" w:hanging="2267"/>
              <w:rPr>
                <w:lang w:val="en-GB"/>
              </w:rPr>
            </w:pPr>
            <w:r w:rsidRPr="009E323B">
              <w:rPr>
                <w:b/>
                <w:lang w:val="en-GB"/>
              </w:rPr>
              <w:t>Executive summary</w:t>
            </w:r>
            <w:r w:rsidRPr="009E323B">
              <w:rPr>
                <w:lang w:val="en-GB"/>
              </w:rPr>
              <w:t>:</w:t>
            </w:r>
            <w:r w:rsidRPr="009E323B">
              <w:rPr>
                <w:lang w:val="en-GB"/>
              </w:rPr>
              <w:tab/>
            </w:r>
            <w:r w:rsidR="00D540F6" w:rsidRPr="009E323B">
              <w:rPr>
                <w:color w:val="000000"/>
                <w:lang w:val="en-GB"/>
              </w:rPr>
              <w:t>This submission is the outcome of work of the “Working Group on Alternative Methods for Periodic Inspections ». It  requests to i</w:t>
            </w:r>
            <w:r w:rsidR="005E4D6C" w:rsidRPr="009E323B">
              <w:rPr>
                <w:lang w:val="en-GB"/>
              </w:rPr>
              <w:t>ntroduce into RID/ADR:</w:t>
            </w:r>
          </w:p>
          <w:p w:rsidR="005E4D6C" w:rsidRPr="009E323B" w:rsidRDefault="00D831E3" w:rsidP="00D831E3">
            <w:pPr>
              <w:pStyle w:val="SingleTxtG"/>
              <w:ind w:left="3968" w:hanging="567"/>
              <w:rPr>
                <w:lang w:val="en-GB"/>
              </w:rPr>
            </w:pPr>
            <w:r w:rsidRPr="009E323B">
              <w:rPr>
                <w:lang w:val="en-GB"/>
              </w:rPr>
              <w:t>-</w:t>
            </w:r>
            <w:r w:rsidRPr="009E323B">
              <w:rPr>
                <w:lang w:val="en-GB"/>
              </w:rPr>
              <w:tab/>
            </w:r>
            <w:r w:rsidR="005E4D6C" w:rsidRPr="009E323B">
              <w:rPr>
                <w:lang w:val="en-GB"/>
              </w:rPr>
              <w:t>A general provision describing the requirements to create and pro</w:t>
            </w:r>
            <w:r w:rsidR="00AF67FA" w:rsidRPr="009E323B">
              <w:rPr>
                <w:lang w:val="en-GB"/>
              </w:rPr>
              <w:t>pose an alternative method for periodic i</w:t>
            </w:r>
            <w:r w:rsidR="005E4D6C" w:rsidRPr="009E323B">
              <w:rPr>
                <w:lang w:val="en-GB"/>
              </w:rPr>
              <w:t>nspection of pressure receptacles.</w:t>
            </w:r>
          </w:p>
          <w:p w:rsidR="002F2240" w:rsidRPr="009E323B" w:rsidRDefault="00D831E3" w:rsidP="00D831E3">
            <w:pPr>
              <w:pStyle w:val="SingleTxtG"/>
              <w:ind w:left="3968" w:hanging="567"/>
              <w:rPr>
                <w:lang w:val="en-GB"/>
              </w:rPr>
            </w:pPr>
            <w:r w:rsidRPr="009E323B">
              <w:rPr>
                <w:lang w:val="en-GB"/>
              </w:rPr>
              <w:t>-</w:t>
            </w:r>
            <w:r w:rsidRPr="009E323B">
              <w:rPr>
                <w:lang w:val="en-GB"/>
              </w:rPr>
              <w:tab/>
            </w:r>
            <w:r w:rsidR="005E4D6C" w:rsidRPr="009E323B">
              <w:rPr>
                <w:lang w:val="en-GB"/>
              </w:rPr>
              <w:t>T</w:t>
            </w:r>
            <w:r w:rsidR="00FB091C" w:rsidRPr="009E323B">
              <w:rPr>
                <w:lang w:val="en-GB"/>
              </w:rPr>
              <w:t>he possibility of using a specific procedure for periodic inspection and testing of over-moulded liquefied petroleum gas (LPG) cylinders.</w:t>
            </w:r>
          </w:p>
        </w:tc>
      </w:tr>
      <w:tr w:rsidR="002F2240" w:rsidRPr="009E323B" w:rsidTr="00515740">
        <w:trPr>
          <w:jc w:val="center"/>
        </w:trPr>
        <w:tc>
          <w:tcPr>
            <w:tcW w:w="9637" w:type="dxa"/>
            <w:tcBorders>
              <w:top w:val="nil"/>
              <w:bottom w:val="nil"/>
            </w:tcBorders>
            <w:shd w:val="clear" w:color="auto" w:fill="auto"/>
          </w:tcPr>
          <w:p w:rsidR="005E4D6C" w:rsidRPr="009E323B" w:rsidRDefault="002F2240" w:rsidP="00FB091C">
            <w:pPr>
              <w:pStyle w:val="SingleTxtG"/>
              <w:ind w:left="3401" w:hanging="2267"/>
              <w:rPr>
                <w:lang w:val="en-GB"/>
              </w:rPr>
            </w:pPr>
            <w:r w:rsidRPr="009E323B">
              <w:rPr>
                <w:b/>
                <w:lang w:val="en-GB"/>
              </w:rPr>
              <w:t>Action to be taken</w:t>
            </w:r>
            <w:r w:rsidRPr="009E323B">
              <w:rPr>
                <w:lang w:val="en-GB"/>
              </w:rPr>
              <w:t>:</w:t>
            </w:r>
            <w:r w:rsidRPr="009E323B">
              <w:rPr>
                <w:lang w:val="en-GB"/>
              </w:rPr>
              <w:tab/>
            </w:r>
            <w:r w:rsidR="00414A12" w:rsidRPr="009E323B">
              <w:rPr>
                <w:lang w:val="en-GB"/>
              </w:rPr>
              <w:tab/>
            </w:r>
            <w:r w:rsidR="005E4D6C" w:rsidRPr="009E323B">
              <w:rPr>
                <w:lang w:val="en-GB"/>
              </w:rPr>
              <w:t xml:space="preserve">To add a new </w:t>
            </w:r>
            <w:r w:rsidR="00AF67FA" w:rsidRPr="009E323B">
              <w:rPr>
                <w:lang w:val="en-GB"/>
              </w:rPr>
              <w:t>sub-section</w:t>
            </w:r>
            <w:r w:rsidR="005E4D6C" w:rsidRPr="009E323B">
              <w:rPr>
                <w:lang w:val="en-GB"/>
              </w:rPr>
              <w:t xml:space="preserve"> 6.2.3.5.3</w:t>
            </w:r>
          </w:p>
          <w:p w:rsidR="002F2240" w:rsidRPr="009E323B" w:rsidRDefault="00FB091C" w:rsidP="00D831E3">
            <w:pPr>
              <w:pStyle w:val="SingleTxtG"/>
              <w:ind w:left="3402"/>
              <w:rPr>
                <w:lang w:val="en-GB"/>
              </w:rPr>
            </w:pPr>
            <w:r w:rsidRPr="009E323B">
              <w:rPr>
                <w:lang w:val="en-GB"/>
              </w:rPr>
              <w:t xml:space="preserve">To add a definition in 1.2.1, </w:t>
            </w:r>
            <w:r w:rsidR="006064AF" w:rsidRPr="009E323B">
              <w:rPr>
                <w:lang w:val="en-GB"/>
              </w:rPr>
              <w:t xml:space="preserve">a special provision in 3.3.1 </w:t>
            </w:r>
            <w:r w:rsidR="00A72C55" w:rsidRPr="009E323B">
              <w:rPr>
                <w:color w:val="000000"/>
                <w:lang w:val="en-GB"/>
              </w:rPr>
              <w:t>and</w:t>
            </w:r>
            <w:r w:rsidRPr="009E323B">
              <w:rPr>
                <w:color w:val="000000"/>
                <w:lang w:val="en-GB"/>
              </w:rPr>
              <w:t xml:space="preserve"> </w:t>
            </w:r>
            <w:r w:rsidRPr="009E323B">
              <w:rPr>
                <w:lang w:val="en-GB"/>
              </w:rPr>
              <w:t xml:space="preserve">a </w:t>
            </w:r>
            <w:r w:rsidR="00AF67FA" w:rsidRPr="009E323B">
              <w:rPr>
                <w:lang w:val="en-GB"/>
              </w:rPr>
              <w:t xml:space="preserve">sub-section </w:t>
            </w:r>
            <w:r w:rsidRPr="009E323B">
              <w:rPr>
                <w:lang w:val="en-GB"/>
              </w:rPr>
              <w:t>6.2.3.</w:t>
            </w:r>
            <w:r w:rsidR="00742369" w:rsidRPr="009E323B">
              <w:rPr>
                <w:lang w:val="en-GB"/>
              </w:rPr>
              <w:t>5</w:t>
            </w:r>
            <w:r w:rsidR="00321D0C" w:rsidRPr="009E323B">
              <w:rPr>
                <w:lang w:val="en-GB"/>
              </w:rPr>
              <w:t>.</w:t>
            </w:r>
            <w:r w:rsidR="00742369" w:rsidRPr="009E323B">
              <w:rPr>
                <w:lang w:val="en-GB"/>
              </w:rPr>
              <w:t>4</w:t>
            </w:r>
            <w:r w:rsidRPr="009E323B">
              <w:rPr>
                <w:lang w:val="en-GB"/>
              </w:rPr>
              <w:t>.</w:t>
            </w:r>
          </w:p>
          <w:p w:rsidR="00FB091C" w:rsidRPr="009E323B" w:rsidRDefault="00FB091C" w:rsidP="00BF11CB">
            <w:pPr>
              <w:pStyle w:val="SingleTxtG"/>
              <w:ind w:left="3401" w:hanging="2267"/>
              <w:rPr>
                <w:lang w:val="en-GB"/>
              </w:rPr>
            </w:pPr>
            <w:r w:rsidRPr="009E323B">
              <w:rPr>
                <w:lang w:val="en-GB"/>
              </w:rPr>
              <w:tab/>
              <w:t xml:space="preserve">To </w:t>
            </w:r>
            <w:r w:rsidR="00706DF1" w:rsidRPr="009E323B">
              <w:rPr>
                <w:lang w:val="en-GB"/>
              </w:rPr>
              <w:t>add EN1672</w:t>
            </w:r>
            <w:r w:rsidR="00BE0F9A" w:rsidRPr="009E323B">
              <w:rPr>
                <w:lang w:val="en-GB"/>
              </w:rPr>
              <w:t>8 reference</w:t>
            </w:r>
            <w:r w:rsidRPr="009E323B">
              <w:rPr>
                <w:lang w:val="en-GB"/>
              </w:rPr>
              <w:t xml:space="preserve"> in table in </w:t>
            </w:r>
            <w:r w:rsidR="00AF67FA" w:rsidRPr="009E323B">
              <w:rPr>
                <w:lang w:val="en-GB"/>
              </w:rPr>
              <w:t xml:space="preserve">sub-section </w:t>
            </w:r>
            <w:r w:rsidRPr="009E323B">
              <w:rPr>
                <w:lang w:val="en-GB"/>
              </w:rPr>
              <w:t xml:space="preserve">6.2.4.2 and </w:t>
            </w:r>
            <w:r w:rsidR="00BE0F9A" w:rsidRPr="009E323B">
              <w:rPr>
                <w:lang w:val="en-GB"/>
              </w:rPr>
              <w:t xml:space="preserve">to remove </w:t>
            </w:r>
            <w:r w:rsidRPr="009E323B">
              <w:rPr>
                <w:lang w:val="en-GB"/>
              </w:rPr>
              <w:t xml:space="preserve">the exclusion of annex G for EN 1439:2008 in the table in item 11) of </w:t>
            </w:r>
            <w:r w:rsidR="00AF67FA" w:rsidRPr="009E323B">
              <w:rPr>
                <w:lang w:val="en-GB"/>
              </w:rPr>
              <w:t xml:space="preserve">packing instruction </w:t>
            </w:r>
            <w:r w:rsidRPr="009E323B">
              <w:rPr>
                <w:lang w:val="en-GB"/>
              </w:rPr>
              <w:t>P200.</w:t>
            </w:r>
          </w:p>
        </w:tc>
      </w:tr>
      <w:tr w:rsidR="002F2240" w:rsidRPr="009E323B" w:rsidTr="00414A12">
        <w:trPr>
          <w:jc w:val="center"/>
        </w:trPr>
        <w:tc>
          <w:tcPr>
            <w:tcW w:w="9637" w:type="dxa"/>
            <w:tcBorders>
              <w:top w:val="nil"/>
              <w:bottom w:val="nil"/>
            </w:tcBorders>
            <w:shd w:val="clear" w:color="auto" w:fill="auto"/>
          </w:tcPr>
          <w:p w:rsidR="00103978" w:rsidRPr="009E323B" w:rsidRDefault="00DC228E" w:rsidP="00801941">
            <w:pPr>
              <w:pStyle w:val="SingleTxtG"/>
              <w:ind w:left="3401" w:hanging="2267"/>
              <w:rPr>
                <w:lang w:val="en-GB"/>
              </w:rPr>
            </w:pPr>
            <w:r w:rsidRPr="009E323B">
              <w:rPr>
                <w:b/>
                <w:lang w:val="en-GB"/>
              </w:rPr>
              <w:t>Related documents:</w:t>
            </w:r>
            <w:r w:rsidR="00414A12" w:rsidRPr="009E323B">
              <w:rPr>
                <w:lang w:val="en-GB"/>
              </w:rPr>
              <w:tab/>
            </w:r>
            <w:r w:rsidR="00103978" w:rsidRPr="009E323B">
              <w:rPr>
                <w:lang w:val="en-GB"/>
              </w:rPr>
              <w:t>ECE/TRANS/WP.15/AC.1/138</w:t>
            </w:r>
            <w:r w:rsidR="00801941" w:rsidRPr="009E323B">
              <w:rPr>
                <w:lang w:val="en-GB"/>
              </w:rPr>
              <w:t xml:space="preserve"> and informal document INF.23</w:t>
            </w:r>
            <w:r w:rsidR="001D2F24" w:rsidRPr="009E323B">
              <w:rPr>
                <w:lang w:val="en-GB"/>
              </w:rPr>
              <w:t xml:space="preserve"> submitted at the spring 2015 session</w:t>
            </w:r>
            <w:r w:rsidR="009E323B" w:rsidRPr="009E323B">
              <w:rPr>
                <w:lang w:val="en-GB"/>
              </w:rPr>
              <w:t>;</w:t>
            </w:r>
          </w:p>
          <w:p w:rsidR="001D2F24" w:rsidRPr="009E323B" w:rsidRDefault="00706DF1" w:rsidP="00D831E3">
            <w:pPr>
              <w:pStyle w:val="SingleTxtG"/>
              <w:ind w:left="3401"/>
              <w:rPr>
                <w:lang w:val="en-GB"/>
              </w:rPr>
            </w:pPr>
            <w:r w:rsidRPr="009E323B">
              <w:rPr>
                <w:lang w:val="en-GB"/>
              </w:rPr>
              <w:t>ECE/TRANS/WP.15/AC.1/2014/48</w:t>
            </w:r>
            <w:r w:rsidR="009E323B" w:rsidRPr="009E323B">
              <w:rPr>
                <w:lang w:val="en-GB"/>
              </w:rPr>
              <w:t>;</w:t>
            </w:r>
          </w:p>
          <w:p w:rsidR="00706DF1" w:rsidRPr="009E323B" w:rsidRDefault="001D2F24" w:rsidP="00D831E3">
            <w:pPr>
              <w:pStyle w:val="SingleTxtG"/>
              <w:ind w:left="3401"/>
              <w:rPr>
                <w:lang w:val="en-GB"/>
              </w:rPr>
            </w:pPr>
            <w:r w:rsidRPr="009E323B">
              <w:rPr>
                <w:lang w:val="en-GB"/>
              </w:rPr>
              <w:t>I</w:t>
            </w:r>
            <w:r w:rsidR="00706DF1" w:rsidRPr="009E323B">
              <w:rPr>
                <w:lang w:val="en-GB"/>
              </w:rPr>
              <w:t>nformal document</w:t>
            </w:r>
            <w:r w:rsidRPr="009E323B">
              <w:rPr>
                <w:lang w:val="en-GB"/>
              </w:rPr>
              <w:t>s</w:t>
            </w:r>
            <w:r w:rsidR="00706DF1" w:rsidRPr="009E323B">
              <w:rPr>
                <w:lang w:val="en-GB"/>
              </w:rPr>
              <w:t xml:space="preserve"> INF.5</w:t>
            </w:r>
            <w:r w:rsidRPr="009E323B">
              <w:rPr>
                <w:lang w:val="en-GB"/>
              </w:rPr>
              <w:t xml:space="preserve"> and INF.52 submitted at the autumn 2014 session</w:t>
            </w:r>
            <w:r w:rsidR="00706DF1" w:rsidRPr="009E323B">
              <w:rPr>
                <w:lang w:val="en-GB"/>
              </w:rPr>
              <w:t>;</w:t>
            </w:r>
          </w:p>
          <w:p w:rsidR="00B14430" w:rsidRPr="009E323B" w:rsidRDefault="00B14430" w:rsidP="00D831E3">
            <w:pPr>
              <w:pStyle w:val="SingleTxtG"/>
              <w:ind w:left="3401"/>
              <w:rPr>
                <w:lang w:val="en-GB"/>
              </w:rPr>
            </w:pPr>
            <w:r w:rsidRPr="009E323B">
              <w:rPr>
                <w:lang w:val="en-GB"/>
              </w:rPr>
              <w:t>ECE/TRANS/WP.15/AC.1/2014/31 and informal document INF.</w:t>
            </w:r>
            <w:r w:rsidR="001C774B" w:rsidRPr="009E323B">
              <w:rPr>
                <w:lang w:val="en-GB"/>
              </w:rPr>
              <w:t>4</w:t>
            </w:r>
            <w:r w:rsidR="001D2F24" w:rsidRPr="009E323B">
              <w:rPr>
                <w:lang w:val="en-GB"/>
              </w:rPr>
              <w:t xml:space="preserve"> submitted at the spring 2014 session</w:t>
            </w:r>
            <w:r w:rsidRPr="009E323B">
              <w:rPr>
                <w:lang w:val="en-GB"/>
              </w:rPr>
              <w:t>;</w:t>
            </w:r>
          </w:p>
          <w:p w:rsidR="00AA78CE" w:rsidRPr="009E323B" w:rsidRDefault="00DC228E" w:rsidP="00B14430">
            <w:pPr>
              <w:pStyle w:val="SingleTxtG"/>
              <w:ind w:left="3401" w:hanging="2267"/>
              <w:rPr>
                <w:lang w:val="en-GB"/>
              </w:rPr>
            </w:pPr>
            <w:r w:rsidRPr="009E323B">
              <w:rPr>
                <w:lang w:val="en-GB"/>
              </w:rPr>
              <w:tab/>
            </w:r>
            <w:r w:rsidR="00FB091C" w:rsidRPr="009E323B">
              <w:rPr>
                <w:lang w:val="en-GB"/>
              </w:rPr>
              <w:t xml:space="preserve">Informal document INF.50 submitted by AEGPL and </w:t>
            </w:r>
            <w:r w:rsidR="00AF67FA" w:rsidRPr="009E323B">
              <w:rPr>
                <w:lang w:val="en-GB"/>
              </w:rPr>
              <w:t>i</w:t>
            </w:r>
            <w:r w:rsidR="00FB091C" w:rsidRPr="009E323B">
              <w:rPr>
                <w:lang w:val="en-GB"/>
              </w:rPr>
              <w:t>nformal document INF.45 submitted by Germany at the autumn 2013 session;</w:t>
            </w:r>
          </w:p>
          <w:p w:rsidR="002F2240" w:rsidRPr="009E323B" w:rsidRDefault="00FB091C" w:rsidP="00FB091C">
            <w:pPr>
              <w:pStyle w:val="SingleTxtG"/>
              <w:ind w:left="3401"/>
              <w:rPr>
                <w:lang w:val="en-GB"/>
              </w:rPr>
            </w:pPr>
            <w:r w:rsidRPr="009E323B">
              <w:rPr>
                <w:lang w:val="en-GB"/>
              </w:rPr>
              <w:tab/>
              <w:t>ECE/TRANS/WP.15/AC.1/2013/43 and its informal document INF. 6</w:t>
            </w:r>
            <w:r w:rsidR="009E323B" w:rsidRPr="009E323B">
              <w:rPr>
                <w:lang w:val="en-GB"/>
              </w:rPr>
              <w:t xml:space="preserve"> submitted at the autumn 2013 session</w:t>
            </w:r>
            <w:r w:rsidRPr="009E323B">
              <w:rPr>
                <w:lang w:val="en-GB"/>
              </w:rPr>
              <w:t>;</w:t>
            </w:r>
          </w:p>
          <w:p w:rsidR="00FB091C" w:rsidRPr="009E323B" w:rsidRDefault="00FB091C" w:rsidP="00FB091C">
            <w:pPr>
              <w:pStyle w:val="SingleTxtG"/>
              <w:ind w:left="3401"/>
              <w:rPr>
                <w:lang w:val="en-GB"/>
              </w:rPr>
            </w:pPr>
            <w:r w:rsidRPr="009E323B">
              <w:rPr>
                <w:lang w:val="en-GB"/>
              </w:rPr>
              <w:t>Informal document INF.39 submitted at the spring 2013 session;</w:t>
            </w:r>
          </w:p>
          <w:p w:rsidR="00FB091C" w:rsidRPr="009E323B" w:rsidRDefault="00FB091C" w:rsidP="00FB091C">
            <w:pPr>
              <w:pStyle w:val="SingleTxtG"/>
              <w:ind w:left="3401"/>
              <w:rPr>
                <w:lang w:val="en-GB"/>
              </w:rPr>
            </w:pPr>
            <w:r w:rsidRPr="009E323B">
              <w:rPr>
                <w:lang w:val="en-GB"/>
              </w:rPr>
              <w:t>ECE/TRANS/WP.15/AC.1/2013/16;</w:t>
            </w:r>
          </w:p>
          <w:p w:rsidR="00FB091C" w:rsidRPr="009E323B" w:rsidRDefault="00FB091C" w:rsidP="00FB091C">
            <w:pPr>
              <w:pStyle w:val="SingleTxtG"/>
              <w:ind w:left="3401"/>
              <w:rPr>
                <w:lang w:val="en-GB"/>
              </w:rPr>
            </w:pPr>
            <w:r w:rsidRPr="009E323B">
              <w:rPr>
                <w:lang w:val="en-GB"/>
              </w:rPr>
              <w:t>Multilateral agreement M247;</w:t>
            </w:r>
          </w:p>
          <w:p w:rsidR="00FB091C" w:rsidRPr="009E323B" w:rsidRDefault="00FB091C" w:rsidP="00FB091C">
            <w:pPr>
              <w:pStyle w:val="SingleTxtG"/>
              <w:ind w:left="3401"/>
              <w:rPr>
                <w:lang w:val="en-GB"/>
              </w:rPr>
            </w:pPr>
            <w:r w:rsidRPr="009E323B">
              <w:rPr>
                <w:lang w:val="en-GB"/>
              </w:rPr>
              <w:t>prEN</w:t>
            </w:r>
            <w:r w:rsidR="001C774B" w:rsidRPr="009E323B">
              <w:rPr>
                <w:lang w:val="en-GB"/>
              </w:rPr>
              <w:t>16728</w:t>
            </w:r>
            <w:r w:rsidRPr="009E323B">
              <w:rPr>
                <w:lang w:val="en-GB"/>
              </w:rPr>
              <w:t>, LPG equipment and accessories - Transportable refillable LPG cylinders other than welded and brazed steel cylinders: periodic inspection;</w:t>
            </w:r>
          </w:p>
          <w:p w:rsidR="00FB091C" w:rsidRPr="009E323B" w:rsidRDefault="00FB091C" w:rsidP="00FB091C">
            <w:pPr>
              <w:pStyle w:val="SingleTxtG"/>
              <w:ind w:left="3401"/>
              <w:rPr>
                <w:lang w:val="en-GB"/>
              </w:rPr>
            </w:pPr>
            <w:r w:rsidRPr="009E323B">
              <w:rPr>
                <w:lang w:val="en-GB"/>
              </w:rPr>
              <w:t>EN 1440:2008 + A1:2012, LPG equipment and accessories. Periodic inspection of transportable refillable LPG cylinders.</w:t>
            </w:r>
          </w:p>
        </w:tc>
      </w:tr>
      <w:tr w:rsidR="00414A12" w:rsidRPr="009E323B" w:rsidTr="00515740">
        <w:trPr>
          <w:jc w:val="center"/>
        </w:trPr>
        <w:tc>
          <w:tcPr>
            <w:tcW w:w="9637" w:type="dxa"/>
            <w:tcBorders>
              <w:top w:val="nil"/>
            </w:tcBorders>
            <w:shd w:val="clear" w:color="auto" w:fill="auto"/>
          </w:tcPr>
          <w:p w:rsidR="00414A12" w:rsidRPr="009E323B" w:rsidRDefault="00414A12" w:rsidP="00414A12">
            <w:pPr>
              <w:pStyle w:val="SingleTxtG"/>
              <w:spacing w:after="0"/>
              <w:rPr>
                <w:b/>
                <w:lang w:val="en-GB"/>
              </w:rPr>
            </w:pPr>
          </w:p>
        </w:tc>
      </w:tr>
    </w:tbl>
    <w:p w:rsidR="002F2240" w:rsidRPr="009E323B" w:rsidRDefault="002F2240" w:rsidP="002F2240"/>
    <w:p w:rsidR="00FB091C" w:rsidRPr="009E323B" w:rsidRDefault="001242DA" w:rsidP="00FB091C">
      <w:pPr>
        <w:pStyle w:val="HChG"/>
        <w:rPr>
          <w:sz w:val="32"/>
          <w:szCs w:val="32"/>
          <w:lang w:val="en-GB"/>
        </w:rPr>
      </w:pPr>
      <w:r w:rsidRPr="009E323B">
        <w:rPr>
          <w:lang w:val="en-GB"/>
        </w:rPr>
        <w:lastRenderedPageBreak/>
        <w:tab/>
      </w:r>
      <w:r w:rsidRPr="009E323B">
        <w:rPr>
          <w:lang w:val="en-GB"/>
        </w:rPr>
        <w:tab/>
      </w:r>
      <w:r w:rsidR="00FB091C" w:rsidRPr="009E323B">
        <w:rPr>
          <w:sz w:val="32"/>
          <w:szCs w:val="32"/>
          <w:lang w:val="en-GB"/>
        </w:rPr>
        <w:t>General</w:t>
      </w:r>
    </w:p>
    <w:p w:rsidR="001668B4" w:rsidRPr="009E323B" w:rsidRDefault="00D831E3" w:rsidP="00D831E3">
      <w:pPr>
        <w:pStyle w:val="SingleTxtG"/>
        <w:rPr>
          <w:lang w:val="en-GB"/>
        </w:rPr>
      </w:pPr>
      <w:r w:rsidRPr="009E323B">
        <w:rPr>
          <w:lang w:val="en-GB"/>
        </w:rPr>
        <w:t>1.</w:t>
      </w:r>
      <w:r w:rsidRPr="009E323B">
        <w:rPr>
          <w:lang w:val="en-GB"/>
        </w:rPr>
        <w:tab/>
      </w:r>
      <w:r w:rsidR="009125E4" w:rsidRPr="009E323B">
        <w:rPr>
          <w:lang w:val="en-GB"/>
        </w:rPr>
        <w:t>O</w:t>
      </w:r>
      <w:r w:rsidR="001668B4" w:rsidRPr="009E323B">
        <w:rPr>
          <w:lang w:val="en-GB"/>
        </w:rPr>
        <w:t>ver-moulded cylinders have a coated welded steel inner pressure rec</w:t>
      </w:r>
      <w:r w:rsidR="003A513D" w:rsidRPr="009E323B">
        <w:rPr>
          <w:lang w:val="en-GB"/>
        </w:rPr>
        <w:t>eptacle over-moulded with a non-</w:t>
      </w:r>
      <w:r w:rsidR="001668B4" w:rsidRPr="009E323B">
        <w:rPr>
          <w:lang w:val="en-GB"/>
        </w:rPr>
        <w:t xml:space="preserve">porous material, which is fully bonded to the pressure receptacle and whose integrity ensures the integrity of the metallic inner pressure receptacle. They are designed for carriage of LPG (UN1011, UN1965, UN1969 and UN1975). Due to their specific design, the pressure test and the external check of the pressure receptacle, required by RID/ADR in 6.2.1.6 a) and d) for the periodic inspection, are not </w:t>
      </w:r>
      <w:r w:rsidR="000B6C64" w:rsidRPr="009E323B">
        <w:rPr>
          <w:lang w:val="en-GB"/>
        </w:rPr>
        <w:t>applicable</w:t>
      </w:r>
      <w:r w:rsidR="001668B4" w:rsidRPr="009E323B">
        <w:rPr>
          <w:lang w:val="en-GB"/>
        </w:rPr>
        <w:t>. An alternative way of inspecting the cylinders has been developed.</w:t>
      </w:r>
    </w:p>
    <w:p w:rsidR="001668B4" w:rsidRPr="009E323B" w:rsidRDefault="00D831E3" w:rsidP="00D831E3">
      <w:pPr>
        <w:pStyle w:val="SingleTxtG"/>
        <w:rPr>
          <w:lang w:val="en-GB"/>
        </w:rPr>
      </w:pPr>
      <w:r w:rsidRPr="009E323B">
        <w:rPr>
          <w:lang w:val="en-GB"/>
        </w:rPr>
        <w:t>2.</w:t>
      </w:r>
      <w:r w:rsidRPr="009E323B">
        <w:rPr>
          <w:lang w:val="en-GB"/>
        </w:rPr>
        <w:tab/>
      </w:r>
      <w:r w:rsidR="001668B4" w:rsidRPr="009E323B">
        <w:rPr>
          <w:lang w:val="en-GB"/>
        </w:rPr>
        <w:t xml:space="preserve">This subject has been already discussed during several previous </w:t>
      </w:r>
      <w:r w:rsidR="009E323B">
        <w:rPr>
          <w:lang w:val="en-GB"/>
        </w:rPr>
        <w:t>sessions of the</w:t>
      </w:r>
      <w:r w:rsidR="009E323B" w:rsidRPr="009E323B">
        <w:rPr>
          <w:lang w:val="en-GB"/>
        </w:rPr>
        <w:t xml:space="preserve"> </w:t>
      </w:r>
      <w:r w:rsidR="001668B4" w:rsidRPr="009E323B">
        <w:rPr>
          <w:lang w:val="en-GB"/>
        </w:rPr>
        <w:t xml:space="preserve">Joint Meeting, and general information has already been given in the previous working document ECE/TRANS/WP.15/AC.1/2014/48. At the </w:t>
      </w:r>
      <w:r w:rsidR="009E323B">
        <w:rPr>
          <w:lang w:val="en-GB"/>
        </w:rPr>
        <w:t xml:space="preserve">autumn 2014 session of the </w:t>
      </w:r>
      <w:r w:rsidR="001668B4" w:rsidRPr="009E323B">
        <w:rPr>
          <w:lang w:val="en-GB"/>
        </w:rPr>
        <w:t xml:space="preserve">Joint Meeting, it </w:t>
      </w:r>
      <w:r w:rsidR="009E323B">
        <w:rPr>
          <w:lang w:val="en-GB"/>
        </w:rPr>
        <w:t>was</w:t>
      </w:r>
      <w:r w:rsidR="001668B4" w:rsidRPr="009E323B">
        <w:rPr>
          <w:lang w:val="en-GB"/>
        </w:rPr>
        <w:t xml:space="preserve"> decided to create a working group on alternative methods for </w:t>
      </w:r>
      <w:r w:rsidR="009E323B">
        <w:rPr>
          <w:lang w:val="en-GB"/>
        </w:rPr>
        <w:t>p</w:t>
      </w:r>
      <w:r w:rsidR="001668B4" w:rsidRPr="009E323B">
        <w:rPr>
          <w:lang w:val="en-GB"/>
        </w:rPr>
        <w:t xml:space="preserve">eriodic </w:t>
      </w:r>
      <w:r w:rsidR="009E323B">
        <w:rPr>
          <w:lang w:val="en-GB"/>
        </w:rPr>
        <w:t>i</w:t>
      </w:r>
      <w:r w:rsidR="001668B4" w:rsidRPr="009E323B">
        <w:rPr>
          <w:lang w:val="en-GB"/>
        </w:rPr>
        <w:t>nspection.</w:t>
      </w:r>
    </w:p>
    <w:p w:rsidR="001668B4" w:rsidRPr="009E323B" w:rsidRDefault="009E323B" w:rsidP="00D831E3">
      <w:pPr>
        <w:pStyle w:val="SingleTxtG"/>
        <w:rPr>
          <w:lang w:val="en-GB"/>
        </w:rPr>
      </w:pPr>
      <w:r>
        <w:rPr>
          <w:lang w:val="en-GB"/>
        </w:rPr>
        <w:t>3.</w:t>
      </w:r>
      <w:r>
        <w:rPr>
          <w:lang w:val="en-GB"/>
        </w:rPr>
        <w:tab/>
      </w:r>
      <w:r w:rsidR="001668B4" w:rsidRPr="009E323B">
        <w:rPr>
          <w:lang w:val="en-GB"/>
        </w:rPr>
        <w:t xml:space="preserve">The mandate </w:t>
      </w:r>
      <w:r w:rsidR="003C4B0B" w:rsidRPr="009E323B">
        <w:rPr>
          <w:lang w:val="en-GB"/>
        </w:rPr>
        <w:t xml:space="preserve">given to </w:t>
      </w:r>
      <w:r w:rsidR="001668B4" w:rsidRPr="009E323B">
        <w:rPr>
          <w:lang w:val="en-GB"/>
        </w:rPr>
        <w:t>the group w</w:t>
      </w:r>
      <w:r w:rsidR="003C4B0B" w:rsidRPr="009E323B">
        <w:rPr>
          <w:lang w:val="en-GB"/>
        </w:rPr>
        <w:t>as</w:t>
      </w:r>
      <w:r w:rsidR="001668B4" w:rsidRPr="009E323B">
        <w:rPr>
          <w:lang w:val="en-GB"/>
        </w:rPr>
        <w:t>: “to examine alternative methods for the periodic inspection that guaranteed a safety level equivalent to that for the methods in 6.2.1.6.1 of RID/ADR on the basis of test results and risk assessment and to explore the possibility of a method combining tests for each cylinder individually and tests by sampling and statistical evaluation. The group would work in the first instance on the case of over-moulded LPG cylinders, and further on other cases</w:t>
      </w:r>
      <w:r>
        <w:rPr>
          <w:lang w:val="en-GB"/>
        </w:rPr>
        <w:t>.</w:t>
      </w:r>
      <w:proofErr w:type="gramStart"/>
      <w:r>
        <w:rPr>
          <w:lang w:val="en-GB"/>
        </w:rPr>
        <w:t>”.</w:t>
      </w:r>
      <w:proofErr w:type="gramEnd"/>
    </w:p>
    <w:p w:rsidR="001668B4" w:rsidRPr="009E323B" w:rsidRDefault="009E323B" w:rsidP="00D831E3">
      <w:pPr>
        <w:pStyle w:val="SingleTxtG"/>
        <w:rPr>
          <w:lang w:val="en-GB"/>
        </w:rPr>
      </w:pPr>
      <w:r>
        <w:rPr>
          <w:lang w:val="en-GB"/>
        </w:rPr>
        <w:t>4</w:t>
      </w:r>
      <w:r w:rsidR="00D831E3" w:rsidRPr="009E323B">
        <w:rPr>
          <w:lang w:val="en-GB"/>
        </w:rPr>
        <w:t>.</w:t>
      </w:r>
      <w:r w:rsidR="00D831E3" w:rsidRPr="009E323B">
        <w:rPr>
          <w:lang w:val="en-GB"/>
        </w:rPr>
        <w:tab/>
      </w:r>
      <w:r w:rsidR="001668B4" w:rsidRPr="009E323B">
        <w:rPr>
          <w:lang w:val="en-GB"/>
        </w:rPr>
        <w:t>As agreed, a first session took place in Paris on the 7 and 8 January 2015, in physical presence of Austria, France, Germany, Switzerland and AEGPL, but as well in virtual presence by conference call of Belgium and Spain.</w:t>
      </w:r>
    </w:p>
    <w:p w:rsidR="001668B4" w:rsidRPr="009E323B" w:rsidRDefault="009E323B" w:rsidP="00D831E3">
      <w:pPr>
        <w:pStyle w:val="SingleTxtG"/>
        <w:rPr>
          <w:lang w:val="en-GB"/>
        </w:rPr>
      </w:pPr>
      <w:r>
        <w:rPr>
          <w:lang w:val="en-GB"/>
        </w:rPr>
        <w:t>5.</w:t>
      </w:r>
      <w:r>
        <w:rPr>
          <w:lang w:val="en-GB"/>
        </w:rPr>
        <w:tab/>
      </w:r>
      <w:r w:rsidR="001668B4" w:rsidRPr="009E323B">
        <w:rPr>
          <w:lang w:val="en-GB"/>
        </w:rPr>
        <w:t xml:space="preserve">During the session, AEGPL introduced the step by step study and the risk assessment that lead to the alternative method for </w:t>
      </w:r>
      <w:r w:rsidR="00375F7D" w:rsidRPr="00375F7D">
        <w:rPr>
          <w:lang w:val="en-GB"/>
        </w:rPr>
        <w:t xml:space="preserve">over-moulded cylinders </w:t>
      </w:r>
      <w:r w:rsidR="00375F7D">
        <w:rPr>
          <w:lang w:val="en-GB"/>
        </w:rPr>
        <w:t>(</w:t>
      </w:r>
      <w:r w:rsidR="001668B4" w:rsidRPr="009E323B">
        <w:rPr>
          <w:lang w:val="en-GB"/>
        </w:rPr>
        <w:t>OMCs</w:t>
      </w:r>
      <w:r w:rsidR="00375F7D">
        <w:rPr>
          <w:lang w:val="en-GB"/>
        </w:rPr>
        <w:t>)</w:t>
      </w:r>
      <w:r w:rsidR="001668B4" w:rsidRPr="009E323B">
        <w:rPr>
          <w:lang w:val="en-GB"/>
        </w:rPr>
        <w:t xml:space="preserve">, and the working group worked on a first wording for a proposal of amendment. Some pending points like for example </w:t>
      </w:r>
      <w:r>
        <w:rPr>
          <w:lang w:val="en-GB"/>
        </w:rPr>
        <w:t>d</w:t>
      </w:r>
      <w:r w:rsidR="001668B4" w:rsidRPr="009E323B">
        <w:rPr>
          <w:lang w:val="en-GB"/>
        </w:rPr>
        <w:t xml:space="preserve">atabase, </w:t>
      </w:r>
      <w:r>
        <w:rPr>
          <w:lang w:val="en-GB"/>
        </w:rPr>
        <w:t>o</w:t>
      </w:r>
      <w:r w:rsidR="001668B4" w:rsidRPr="009E323B">
        <w:rPr>
          <w:lang w:val="en-GB"/>
        </w:rPr>
        <w:t xml:space="preserve">wnership and </w:t>
      </w:r>
      <w:r>
        <w:rPr>
          <w:lang w:val="en-GB"/>
        </w:rPr>
        <w:t>r</w:t>
      </w:r>
      <w:r w:rsidR="001668B4" w:rsidRPr="009E323B">
        <w:rPr>
          <w:lang w:val="en-GB"/>
        </w:rPr>
        <w:t xml:space="preserve">andom </w:t>
      </w:r>
      <w:r>
        <w:rPr>
          <w:lang w:val="en-GB"/>
        </w:rPr>
        <w:t>s</w:t>
      </w:r>
      <w:r w:rsidR="001668B4" w:rsidRPr="009E323B">
        <w:rPr>
          <w:lang w:val="en-GB"/>
        </w:rPr>
        <w:t>ampling were still remaining.</w:t>
      </w:r>
    </w:p>
    <w:p w:rsidR="001668B4" w:rsidRPr="009E323B" w:rsidRDefault="00375F7D" w:rsidP="00D831E3">
      <w:pPr>
        <w:pStyle w:val="SingleTxtG"/>
        <w:rPr>
          <w:lang w:val="en-GB"/>
        </w:rPr>
      </w:pPr>
      <w:r>
        <w:rPr>
          <w:lang w:val="en-GB"/>
        </w:rPr>
        <w:t>6.</w:t>
      </w:r>
      <w:r>
        <w:rPr>
          <w:lang w:val="en-GB"/>
        </w:rPr>
        <w:tab/>
      </w:r>
      <w:r w:rsidR="001668B4" w:rsidRPr="009E323B">
        <w:rPr>
          <w:lang w:val="en-GB"/>
        </w:rPr>
        <w:t xml:space="preserve">Parallel to that, the </w:t>
      </w:r>
      <w:r>
        <w:rPr>
          <w:lang w:val="en-GB"/>
        </w:rPr>
        <w:t xml:space="preserve">representative of </w:t>
      </w:r>
      <w:r w:rsidR="001668B4" w:rsidRPr="009E323B">
        <w:rPr>
          <w:lang w:val="en-GB"/>
        </w:rPr>
        <w:t xml:space="preserve">Germany </w:t>
      </w:r>
      <w:r>
        <w:rPr>
          <w:lang w:val="en-GB"/>
        </w:rPr>
        <w:t>presented</w:t>
      </w:r>
      <w:r w:rsidRPr="009E323B">
        <w:rPr>
          <w:lang w:val="en-GB"/>
        </w:rPr>
        <w:t xml:space="preserve"> </w:t>
      </w:r>
      <w:r w:rsidR="001668B4" w:rsidRPr="009E323B">
        <w:rPr>
          <w:lang w:val="en-GB"/>
        </w:rPr>
        <w:t xml:space="preserve">an updated draft proposal of </w:t>
      </w:r>
      <w:r>
        <w:rPr>
          <w:lang w:val="en-GB"/>
        </w:rPr>
        <w:t xml:space="preserve">informal </w:t>
      </w:r>
      <w:r w:rsidR="001668B4" w:rsidRPr="009E323B">
        <w:rPr>
          <w:lang w:val="en-GB"/>
        </w:rPr>
        <w:t>document INF</w:t>
      </w:r>
      <w:r>
        <w:rPr>
          <w:lang w:val="en-GB"/>
        </w:rPr>
        <w:t>.</w:t>
      </w:r>
      <w:r w:rsidR="001668B4" w:rsidRPr="009E323B">
        <w:rPr>
          <w:lang w:val="en-GB"/>
        </w:rPr>
        <w:t>11</w:t>
      </w:r>
      <w:r>
        <w:rPr>
          <w:lang w:val="en-GB"/>
        </w:rPr>
        <w:t xml:space="preserve"> of the autumn 2014 session</w:t>
      </w:r>
      <w:r w:rsidR="001668B4" w:rsidRPr="009E323B">
        <w:rPr>
          <w:lang w:val="en-GB"/>
        </w:rPr>
        <w:t xml:space="preserve"> on a general rule dealing with requirements for creation of an alternative method for Periodic Inspection, but due to a lack of time this proposal had not been discussed.</w:t>
      </w:r>
    </w:p>
    <w:p w:rsidR="001668B4" w:rsidRPr="009E323B" w:rsidRDefault="001668B4" w:rsidP="00D831E3">
      <w:pPr>
        <w:pStyle w:val="SingleTxtG"/>
        <w:rPr>
          <w:lang w:val="en-GB"/>
        </w:rPr>
      </w:pPr>
      <w:r w:rsidRPr="009E323B">
        <w:rPr>
          <w:lang w:val="en-GB"/>
        </w:rPr>
        <w:t>(</w:t>
      </w:r>
      <w:proofErr w:type="gramStart"/>
      <w:r w:rsidRPr="009E323B">
        <w:rPr>
          <w:lang w:val="en-GB"/>
        </w:rPr>
        <w:t>see</w:t>
      </w:r>
      <w:proofErr w:type="gramEnd"/>
      <w:r w:rsidRPr="009E323B">
        <w:rPr>
          <w:lang w:val="en-GB"/>
        </w:rPr>
        <w:t xml:space="preserve"> </w:t>
      </w:r>
      <w:r w:rsidR="00375F7D">
        <w:rPr>
          <w:lang w:val="en-GB"/>
        </w:rPr>
        <w:t>also i</w:t>
      </w:r>
      <w:r w:rsidR="00375F7D" w:rsidRPr="009E323B">
        <w:rPr>
          <w:lang w:val="en-GB"/>
        </w:rPr>
        <w:t xml:space="preserve">nformal </w:t>
      </w:r>
      <w:r w:rsidRPr="009E323B">
        <w:rPr>
          <w:lang w:val="en-GB"/>
        </w:rPr>
        <w:t>document INF</w:t>
      </w:r>
      <w:r w:rsidR="00D831E3" w:rsidRPr="009E323B">
        <w:rPr>
          <w:lang w:val="en-GB"/>
        </w:rPr>
        <w:t>.</w:t>
      </w:r>
      <w:r w:rsidRPr="009E323B">
        <w:rPr>
          <w:lang w:val="en-GB"/>
        </w:rPr>
        <w:t xml:space="preserve">23 from </w:t>
      </w:r>
      <w:r w:rsidR="00375F7D">
        <w:rPr>
          <w:lang w:val="en-GB"/>
        </w:rPr>
        <w:t>s</w:t>
      </w:r>
      <w:r w:rsidR="00375F7D" w:rsidRPr="009E323B">
        <w:rPr>
          <w:lang w:val="en-GB"/>
        </w:rPr>
        <w:t>pring 2015</w:t>
      </w:r>
      <w:r w:rsidR="00375F7D">
        <w:rPr>
          <w:lang w:val="en-GB"/>
        </w:rPr>
        <w:t xml:space="preserve"> s</w:t>
      </w:r>
      <w:r w:rsidRPr="009E323B">
        <w:rPr>
          <w:lang w:val="en-GB"/>
        </w:rPr>
        <w:t>ession).</w:t>
      </w:r>
    </w:p>
    <w:p w:rsidR="001668B4" w:rsidRPr="009E323B" w:rsidRDefault="00F83419" w:rsidP="00D831E3">
      <w:pPr>
        <w:pStyle w:val="SingleTxtG"/>
        <w:rPr>
          <w:lang w:val="en-GB"/>
        </w:rPr>
      </w:pPr>
      <w:r>
        <w:rPr>
          <w:lang w:val="en-GB"/>
        </w:rPr>
        <w:t>7</w:t>
      </w:r>
      <w:r w:rsidR="00D831E3" w:rsidRPr="009E323B">
        <w:rPr>
          <w:lang w:val="en-GB"/>
        </w:rPr>
        <w:t>.</w:t>
      </w:r>
      <w:r w:rsidR="00D831E3" w:rsidRPr="009E323B">
        <w:rPr>
          <w:lang w:val="en-GB"/>
        </w:rPr>
        <w:tab/>
      </w:r>
      <w:r w:rsidR="001668B4" w:rsidRPr="009E323B">
        <w:rPr>
          <w:lang w:val="en-GB"/>
        </w:rPr>
        <w:t xml:space="preserve">During </w:t>
      </w:r>
      <w:r w:rsidR="00375F7D">
        <w:rPr>
          <w:lang w:val="en-GB"/>
        </w:rPr>
        <w:t xml:space="preserve">its </w:t>
      </w:r>
      <w:r w:rsidR="001668B4" w:rsidRPr="009E323B">
        <w:rPr>
          <w:lang w:val="en-GB"/>
        </w:rPr>
        <w:t xml:space="preserve">spring </w:t>
      </w:r>
      <w:r w:rsidR="00375F7D">
        <w:rPr>
          <w:lang w:val="en-GB"/>
        </w:rPr>
        <w:t xml:space="preserve">2015 </w:t>
      </w:r>
      <w:r w:rsidR="001668B4" w:rsidRPr="009E323B">
        <w:rPr>
          <w:lang w:val="en-GB"/>
        </w:rPr>
        <w:t xml:space="preserve">session, the </w:t>
      </w:r>
      <w:r w:rsidR="00375F7D">
        <w:rPr>
          <w:lang w:val="en-GB"/>
        </w:rPr>
        <w:t>Joint Meeting</w:t>
      </w:r>
      <w:r w:rsidR="00375F7D" w:rsidRPr="009E323B">
        <w:rPr>
          <w:lang w:val="en-GB"/>
        </w:rPr>
        <w:t xml:space="preserve"> </w:t>
      </w:r>
      <w:r w:rsidR="001668B4" w:rsidRPr="009E323B">
        <w:rPr>
          <w:lang w:val="en-GB"/>
        </w:rPr>
        <w:t xml:space="preserve">agreed about the need to continue the work, and it has been proposed to </w:t>
      </w:r>
      <w:r w:rsidR="000B6C64" w:rsidRPr="009E323B">
        <w:rPr>
          <w:lang w:val="en-GB"/>
        </w:rPr>
        <w:t>develop</w:t>
      </w:r>
      <w:r w:rsidR="001668B4" w:rsidRPr="009E323B">
        <w:rPr>
          <w:lang w:val="en-GB"/>
        </w:rPr>
        <w:t xml:space="preserve"> proposal about OMC</w:t>
      </w:r>
      <w:r w:rsidR="00375F7D">
        <w:rPr>
          <w:lang w:val="en-GB"/>
        </w:rPr>
        <w:t>s</w:t>
      </w:r>
      <w:r w:rsidR="001668B4" w:rsidRPr="009E323B">
        <w:rPr>
          <w:lang w:val="en-GB"/>
        </w:rPr>
        <w:t xml:space="preserve"> and proposal about a general provision in parallel.</w:t>
      </w:r>
    </w:p>
    <w:p w:rsidR="001668B4" w:rsidRPr="009E323B" w:rsidRDefault="00F83419" w:rsidP="00D831E3">
      <w:pPr>
        <w:pStyle w:val="SingleTxtG"/>
        <w:rPr>
          <w:lang w:val="en-GB"/>
        </w:rPr>
      </w:pPr>
      <w:r>
        <w:rPr>
          <w:lang w:val="en-GB"/>
        </w:rPr>
        <w:t>8</w:t>
      </w:r>
      <w:r w:rsidR="00D831E3" w:rsidRPr="009E323B">
        <w:rPr>
          <w:lang w:val="en-GB"/>
        </w:rPr>
        <w:t>.</w:t>
      </w:r>
      <w:r w:rsidR="00D831E3" w:rsidRPr="009E323B">
        <w:rPr>
          <w:lang w:val="en-GB"/>
        </w:rPr>
        <w:tab/>
      </w:r>
      <w:r w:rsidR="001668B4" w:rsidRPr="009E323B">
        <w:rPr>
          <w:lang w:val="en-GB"/>
        </w:rPr>
        <w:t>A second session took place on the 9 and 10 June in Paris (</w:t>
      </w:r>
      <w:r w:rsidR="00375F7D">
        <w:rPr>
          <w:lang w:val="en-GB"/>
        </w:rPr>
        <w:t xml:space="preserve">hosted by the </w:t>
      </w:r>
      <w:proofErr w:type="spellStart"/>
      <w:r w:rsidR="00375F7D" w:rsidRPr="00375F7D">
        <w:rPr>
          <w:lang w:val="en-GB"/>
        </w:rPr>
        <w:t>Comité</w:t>
      </w:r>
      <w:proofErr w:type="spellEnd"/>
      <w:r w:rsidR="00375F7D" w:rsidRPr="00375F7D">
        <w:rPr>
          <w:lang w:val="en-GB"/>
        </w:rPr>
        <w:t xml:space="preserve"> </w:t>
      </w:r>
      <w:proofErr w:type="spellStart"/>
      <w:r w:rsidR="00375F7D" w:rsidRPr="00375F7D">
        <w:rPr>
          <w:lang w:val="en-GB"/>
        </w:rPr>
        <w:t>Français</w:t>
      </w:r>
      <w:proofErr w:type="spellEnd"/>
      <w:r w:rsidR="00375F7D" w:rsidRPr="00375F7D">
        <w:rPr>
          <w:lang w:val="en-GB"/>
        </w:rPr>
        <w:t xml:space="preserve"> du Butane </w:t>
      </w:r>
      <w:proofErr w:type="gramStart"/>
      <w:r w:rsidR="00375F7D" w:rsidRPr="00375F7D">
        <w:rPr>
          <w:lang w:val="en-GB"/>
        </w:rPr>
        <w:t>et</w:t>
      </w:r>
      <w:proofErr w:type="gramEnd"/>
      <w:r w:rsidR="00375F7D" w:rsidRPr="00375F7D">
        <w:rPr>
          <w:lang w:val="en-GB"/>
        </w:rPr>
        <w:t xml:space="preserve"> du Propane (</w:t>
      </w:r>
      <w:r w:rsidR="001668B4" w:rsidRPr="009E323B">
        <w:rPr>
          <w:lang w:val="en-GB"/>
        </w:rPr>
        <w:t>CFBP</w:t>
      </w:r>
      <w:r w:rsidR="00375F7D">
        <w:rPr>
          <w:lang w:val="en-GB"/>
        </w:rPr>
        <w:t>)</w:t>
      </w:r>
      <w:r w:rsidR="001668B4" w:rsidRPr="009E323B">
        <w:rPr>
          <w:lang w:val="en-GB"/>
        </w:rPr>
        <w:t xml:space="preserve">) with the physical attendance of representatives from Germany (10 </w:t>
      </w:r>
      <w:r w:rsidR="00375F7D">
        <w:rPr>
          <w:lang w:val="en-GB"/>
        </w:rPr>
        <w:t xml:space="preserve">June </w:t>
      </w:r>
      <w:r w:rsidR="001668B4" w:rsidRPr="009E323B">
        <w:rPr>
          <w:lang w:val="en-GB"/>
        </w:rPr>
        <w:t>only), Poland, Sweden, Switzerland and AEGPL, with partial attendance of Spain in a phone conference</w:t>
      </w:r>
      <w:r w:rsidR="00375F7D">
        <w:rPr>
          <w:lang w:val="en-GB"/>
        </w:rPr>
        <w:t xml:space="preserve"> (10 June, 9.30 am)</w:t>
      </w:r>
      <w:r w:rsidR="001668B4" w:rsidRPr="009E323B">
        <w:rPr>
          <w:lang w:val="en-GB"/>
        </w:rPr>
        <w:t>.</w:t>
      </w:r>
    </w:p>
    <w:p w:rsidR="001668B4" w:rsidRPr="009E323B" w:rsidRDefault="00F83419" w:rsidP="00D831E3">
      <w:pPr>
        <w:pStyle w:val="SingleTxtG"/>
        <w:rPr>
          <w:lang w:val="en-GB"/>
        </w:rPr>
      </w:pPr>
      <w:r>
        <w:rPr>
          <w:lang w:val="en-GB"/>
        </w:rPr>
        <w:t>9</w:t>
      </w:r>
      <w:r w:rsidR="00D831E3" w:rsidRPr="009E323B">
        <w:rPr>
          <w:lang w:val="en-GB"/>
        </w:rPr>
        <w:t>.</w:t>
      </w:r>
      <w:r w:rsidR="00D831E3" w:rsidRPr="009E323B">
        <w:rPr>
          <w:lang w:val="en-GB"/>
        </w:rPr>
        <w:tab/>
      </w:r>
      <w:r w:rsidR="001668B4" w:rsidRPr="009E323B">
        <w:rPr>
          <w:lang w:val="en-GB"/>
        </w:rPr>
        <w:t xml:space="preserve">The above meeting started with </w:t>
      </w:r>
      <w:r w:rsidR="00836050" w:rsidRPr="009E323B">
        <w:rPr>
          <w:lang w:val="en-GB"/>
        </w:rPr>
        <w:t>a</w:t>
      </w:r>
      <w:r w:rsidR="001668B4" w:rsidRPr="009E323B">
        <w:rPr>
          <w:lang w:val="en-GB"/>
        </w:rPr>
        <w:t xml:space="preserve"> short recall of the subject by the Chairman with the indications from the </w:t>
      </w:r>
      <w:r w:rsidR="00C36972">
        <w:rPr>
          <w:lang w:val="en-GB"/>
        </w:rPr>
        <w:t xml:space="preserve">Joint Meeting at </w:t>
      </w:r>
      <w:proofErr w:type="spellStart"/>
      <w:r w:rsidR="00C36972">
        <w:rPr>
          <w:lang w:val="en-GB"/>
        </w:rPr>
        <w:t>itsspring</w:t>
      </w:r>
      <w:proofErr w:type="spellEnd"/>
      <w:r w:rsidR="00C36972" w:rsidRPr="009E323B">
        <w:rPr>
          <w:lang w:val="en-GB"/>
        </w:rPr>
        <w:t xml:space="preserve"> </w:t>
      </w:r>
      <w:r w:rsidR="001668B4" w:rsidRPr="009E323B">
        <w:rPr>
          <w:lang w:val="en-GB"/>
        </w:rPr>
        <w:t xml:space="preserve">2015 </w:t>
      </w:r>
      <w:r w:rsidR="00C36972">
        <w:rPr>
          <w:lang w:val="en-GB"/>
        </w:rPr>
        <w:t>session</w:t>
      </w:r>
      <w:r w:rsidR="001668B4" w:rsidRPr="009E323B">
        <w:rPr>
          <w:lang w:val="en-GB"/>
        </w:rPr>
        <w:t xml:space="preserve">, and the objectives and schedule of actions towards the </w:t>
      </w:r>
      <w:r w:rsidR="00C36972">
        <w:rPr>
          <w:lang w:val="en-GB"/>
        </w:rPr>
        <w:t>autumn session of the Joint Meeting</w:t>
      </w:r>
      <w:r w:rsidR="001668B4" w:rsidRPr="009E323B">
        <w:rPr>
          <w:lang w:val="en-GB"/>
        </w:rPr>
        <w:t>.</w:t>
      </w:r>
    </w:p>
    <w:p w:rsidR="001668B4" w:rsidRPr="009E323B" w:rsidRDefault="00F83419" w:rsidP="00D831E3">
      <w:pPr>
        <w:pStyle w:val="SingleTxtG"/>
        <w:rPr>
          <w:lang w:val="en-GB"/>
        </w:rPr>
      </w:pPr>
      <w:r>
        <w:rPr>
          <w:lang w:val="en-GB"/>
        </w:rPr>
        <w:t>10</w:t>
      </w:r>
      <w:r w:rsidR="00D831E3" w:rsidRPr="009E323B">
        <w:rPr>
          <w:lang w:val="en-GB"/>
        </w:rPr>
        <w:t>.</w:t>
      </w:r>
      <w:r w:rsidR="00D831E3" w:rsidRPr="009E323B">
        <w:rPr>
          <w:lang w:val="en-GB"/>
        </w:rPr>
        <w:tab/>
      </w:r>
      <w:r w:rsidR="001668B4" w:rsidRPr="009E323B">
        <w:rPr>
          <w:lang w:val="en-GB"/>
        </w:rPr>
        <w:t xml:space="preserve">During the meeting, by progressing along the common writing of the </w:t>
      </w:r>
      <w:r w:rsidR="00C36972">
        <w:rPr>
          <w:lang w:val="en-GB"/>
        </w:rPr>
        <w:t>two</w:t>
      </w:r>
      <w:r w:rsidR="00C36972" w:rsidRPr="009E323B">
        <w:rPr>
          <w:lang w:val="en-GB"/>
        </w:rPr>
        <w:t xml:space="preserve"> </w:t>
      </w:r>
      <w:r w:rsidR="001668B4" w:rsidRPr="009E323B">
        <w:rPr>
          <w:lang w:val="en-GB"/>
        </w:rPr>
        <w:t xml:space="preserve">proposals, the following specific observations </w:t>
      </w:r>
      <w:r w:rsidR="00836050" w:rsidRPr="009E323B">
        <w:rPr>
          <w:lang w:val="en-GB"/>
        </w:rPr>
        <w:t>were</w:t>
      </w:r>
      <w:r w:rsidR="001668B4" w:rsidRPr="009E323B">
        <w:rPr>
          <w:lang w:val="en-GB"/>
        </w:rPr>
        <w:t xml:space="preserve"> made:</w:t>
      </w:r>
    </w:p>
    <w:p w:rsidR="001668B4" w:rsidRPr="009E323B" w:rsidRDefault="00D831E3" w:rsidP="00D831E3">
      <w:pPr>
        <w:pStyle w:val="SingleTxtG"/>
        <w:ind w:firstLine="567"/>
        <w:rPr>
          <w:lang w:val="en-GB"/>
        </w:rPr>
      </w:pPr>
      <w:r w:rsidRPr="009E323B">
        <w:rPr>
          <w:b/>
          <w:lang w:val="en-GB"/>
        </w:rPr>
        <w:t>(a)</w:t>
      </w:r>
      <w:r w:rsidRPr="009E323B">
        <w:rPr>
          <w:b/>
          <w:lang w:val="en-GB"/>
        </w:rPr>
        <w:tab/>
      </w:r>
      <w:r w:rsidR="00836050" w:rsidRPr="009E323B">
        <w:rPr>
          <w:b/>
          <w:lang w:val="en-GB"/>
        </w:rPr>
        <w:t>Sweden</w:t>
      </w:r>
      <w:r w:rsidR="00836050" w:rsidRPr="009E323B">
        <w:rPr>
          <w:lang w:val="en-GB"/>
        </w:rPr>
        <w:t xml:space="preserve">: </w:t>
      </w:r>
      <w:r w:rsidR="009125E4" w:rsidRPr="009E323B">
        <w:rPr>
          <w:lang w:val="en-GB"/>
        </w:rPr>
        <w:t xml:space="preserve">As a matter of equality, and the fact that an equal level of safety has to be demonstrated before a method based on sampling and statistical analysis can be accepted, Sweden could see no reason to limit the scope of the general rule to cylinders for which the inherent properties of the design type prevent the successful performance of a </w:t>
      </w:r>
      <w:r w:rsidR="009125E4" w:rsidRPr="009E323B">
        <w:rPr>
          <w:lang w:val="en-GB"/>
        </w:rPr>
        <w:lastRenderedPageBreak/>
        <w:t xml:space="preserve">test required in 6.2.1.6.1. Sweden therefore proposed that the </w:t>
      </w:r>
      <w:r w:rsidR="00C36972">
        <w:rPr>
          <w:lang w:val="en-GB"/>
        </w:rPr>
        <w:t>informal working group</w:t>
      </w:r>
      <w:r w:rsidR="00C36972" w:rsidRPr="009E323B">
        <w:rPr>
          <w:lang w:val="en-GB"/>
        </w:rPr>
        <w:t xml:space="preserve"> </w:t>
      </w:r>
      <w:r w:rsidR="009125E4" w:rsidRPr="009E323B">
        <w:rPr>
          <w:lang w:val="en-GB"/>
        </w:rPr>
        <w:t>should include any type of cylinder in the general rule</w:t>
      </w:r>
      <w:r w:rsidR="001668B4" w:rsidRPr="009E323B">
        <w:rPr>
          <w:lang w:val="en-GB"/>
        </w:rPr>
        <w:t xml:space="preserve">. </w:t>
      </w:r>
    </w:p>
    <w:p w:rsidR="001668B4" w:rsidRPr="009E323B" w:rsidRDefault="001668B4" w:rsidP="00D831E3">
      <w:pPr>
        <w:pStyle w:val="SingleTxtG"/>
        <w:rPr>
          <w:lang w:val="en-GB"/>
        </w:rPr>
      </w:pPr>
      <w:r w:rsidRPr="009E323B">
        <w:rPr>
          <w:lang w:val="en-GB"/>
        </w:rPr>
        <w:t>The Chairman recalled that the general provision objective is not to address specific alternatives types of cylinders or periodic controls methods, but to set the minimum requirements to be fulfilled for such alternatives to be considered next by the join</w:t>
      </w:r>
      <w:r w:rsidR="00C36972">
        <w:rPr>
          <w:lang w:val="en-GB"/>
        </w:rPr>
        <w:t>t</w:t>
      </w:r>
      <w:r w:rsidRPr="009E323B">
        <w:rPr>
          <w:lang w:val="en-GB"/>
        </w:rPr>
        <w:t xml:space="preserve"> meeting. By experience, the whole process is a step by step process, requiring sufficient </w:t>
      </w:r>
      <w:r w:rsidR="00C36972" w:rsidRPr="00C36972">
        <w:rPr>
          <w:lang w:val="en-GB"/>
        </w:rPr>
        <w:t xml:space="preserve">return on operating experience </w:t>
      </w:r>
      <w:r w:rsidR="00C36972">
        <w:rPr>
          <w:lang w:val="en-GB"/>
        </w:rPr>
        <w:t>(</w:t>
      </w:r>
      <w:r w:rsidRPr="009E323B">
        <w:rPr>
          <w:lang w:val="en-GB"/>
        </w:rPr>
        <w:t>REX</w:t>
      </w:r>
      <w:r w:rsidR="00C36972">
        <w:rPr>
          <w:lang w:val="en-GB"/>
        </w:rPr>
        <w:t>)</w:t>
      </w:r>
      <w:r w:rsidRPr="009E323B">
        <w:rPr>
          <w:lang w:val="en-GB"/>
        </w:rPr>
        <w:t>, operating procedures quality, tests results, risk analysis, equivalent safety level assessment</w:t>
      </w:r>
      <w:r w:rsidR="00C36972">
        <w:rPr>
          <w:lang w:val="en-GB"/>
        </w:rPr>
        <w:t>, etc.</w:t>
      </w:r>
      <w:r w:rsidRPr="009E323B">
        <w:rPr>
          <w:lang w:val="en-GB"/>
        </w:rPr>
        <w:t xml:space="preserve">  </w:t>
      </w:r>
      <w:r w:rsidR="00C36972">
        <w:rPr>
          <w:lang w:val="en-GB"/>
        </w:rPr>
        <w:t>I</w:t>
      </w:r>
      <w:r w:rsidRPr="009E323B">
        <w:rPr>
          <w:lang w:val="en-GB"/>
        </w:rPr>
        <w:t xml:space="preserve">n any case in view of ADR 2017, the tight schedule would only permit to progress according to the current mandate. </w:t>
      </w:r>
    </w:p>
    <w:p w:rsidR="001668B4" w:rsidRPr="009E323B" w:rsidRDefault="001668B4" w:rsidP="00D831E3">
      <w:pPr>
        <w:pStyle w:val="SingleTxtG"/>
        <w:rPr>
          <w:lang w:val="en-GB"/>
        </w:rPr>
      </w:pPr>
      <w:r w:rsidRPr="009E323B">
        <w:rPr>
          <w:lang w:val="en-GB"/>
        </w:rPr>
        <w:t xml:space="preserve">After further discussions, it has been agreed by the </w:t>
      </w:r>
      <w:r w:rsidR="00C36972">
        <w:rPr>
          <w:lang w:val="en-GB"/>
        </w:rPr>
        <w:t>informal working group</w:t>
      </w:r>
      <w:r w:rsidRPr="009E323B">
        <w:rPr>
          <w:lang w:val="en-GB"/>
        </w:rPr>
        <w:t xml:space="preserve"> that once the general provision and the OMC provision</w:t>
      </w:r>
      <w:r w:rsidR="00C36972">
        <w:rPr>
          <w:lang w:val="en-GB"/>
        </w:rPr>
        <w:t>s</w:t>
      </w:r>
      <w:r w:rsidRPr="009E323B">
        <w:rPr>
          <w:lang w:val="en-GB"/>
        </w:rPr>
        <w:t xml:space="preserve"> would be finished and agreed by the </w:t>
      </w:r>
      <w:r w:rsidR="00C36972">
        <w:rPr>
          <w:lang w:val="en-GB"/>
        </w:rPr>
        <w:t>Joint Meeting</w:t>
      </w:r>
      <w:r w:rsidRPr="009E323B">
        <w:rPr>
          <w:lang w:val="en-GB"/>
        </w:rPr>
        <w:t xml:space="preserve">, ideally in </w:t>
      </w:r>
      <w:r w:rsidR="00F83419">
        <w:rPr>
          <w:lang w:val="en-GB"/>
        </w:rPr>
        <w:t>autumn</w:t>
      </w:r>
      <w:r w:rsidR="00F83419" w:rsidRPr="009E323B">
        <w:rPr>
          <w:lang w:val="en-GB"/>
        </w:rPr>
        <w:t xml:space="preserve"> </w:t>
      </w:r>
      <w:r w:rsidRPr="009E323B">
        <w:rPr>
          <w:lang w:val="en-GB"/>
        </w:rPr>
        <w:t xml:space="preserve">2015, a mandate to continue the </w:t>
      </w:r>
      <w:r w:rsidR="00F83419">
        <w:rPr>
          <w:lang w:val="en-GB"/>
        </w:rPr>
        <w:t>informal working group’s</w:t>
      </w:r>
      <w:r w:rsidRPr="009E323B">
        <w:rPr>
          <w:lang w:val="en-GB"/>
        </w:rPr>
        <w:t xml:space="preserve"> efforts towards specific other demands would be asked to the </w:t>
      </w:r>
      <w:r w:rsidR="00F83419">
        <w:rPr>
          <w:lang w:val="en-GB"/>
        </w:rPr>
        <w:t>Joint Meeting</w:t>
      </w:r>
      <w:r w:rsidRPr="009E323B">
        <w:rPr>
          <w:lang w:val="en-GB"/>
        </w:rPr>
        <w:t>.</w:t>
      </w:r>
      <w:r w:rsidR="009125E4" w:rsidRPr="009E323B">
        <w:rPr>
          <w:lang w:val="en-GB"/>
        </w:rPr>
        <w:t xml:space="preserve"> Sweden would however welcome a discussion on this topic already at </w:t>
      </w:r>
      <w:r w:rsidR="00F83419">
        <w:rPr>
          <w:lang w:val="en-GB"/>
        </w:rPr>
        <w:t>the autumn 2015 session of the Joint Meeting</w:t>
      </w:r>
      <w:r w:rsidR="009125E4" w:rsidRPr="009E323B">
        <w:rPr>
          <w:lang w:val="en-GB"/>
        </w:rPr>
        <w:t>.</w:t>
      </w:r>
    </w:p>
    <w:p w:rsidR="001668B4" w:rsidRPr="009E323B" w:rsidRDefault="00D831E3" w:rsidP="00D831E3">
      <w:pPr>
        <w:pStyle w:val="SingleTxtG"/>
        <w:ind w:firstLine="567"/>
        <w:rPr>
          <w:lang w:val="en-GB"/>
        </w:rPr>
      </w:pPr>
      <w:r w:rsidRPr="009E323B">
        <w:rPr>
          <w:b/>
          <w:lang w:val="en-GB"/>
        </w:rPr>
        <w:t>(b)</w:t>
      </w:r>
      <w:r w:rsidRPr="009E323B">
        <w:rPr>
          <w:b/>
          <w:lang w:val="en-GB"/>
        </w:rPr>
        <w:tab/>
      </w:r>
      <w:r w:rsidR="001668B4" w:rsidRPr="009E323B">
        <w:rPr>
          <w:b/>
          <w:lang w:val="en-GB"/>
        </w:rPr>
        <w:t>Spain</w:t>
      </w:r>
      <w:r w:rsidR="00836050" w:rsidRPr="009E323B">
        <w:rPr>
          <w:b/>
          <w:lang w:val="en-GB"/>
        </w:rPr>
        <w:t>:</w:t>
      </w:r>
      <w:r w:rsidR="001668B4" w:rsidRPr="009E323B">
        <w:rPr>
          <w:lang w:val="en-GB"/>
        </w:rPr>
        <w:t xml:space="preserve"> </w:t>
      </w:r>
      <w:r w:rsidR="00F83419">
        <w:rPr>
          <w:lang w:val="en-GB"/>
        </w:rPr>
        <w:t>The representative of Spain</w:t>
      </w:r>
      <w:r w:rsidR="00F83419" w:rsidRPr="009E323B">
        <w:rPr>
          <w:lang w:val="en-GB"/>
        </w:rPr>
        <w:t xml:space="preserve"> </w:t>
      </w:r>
      <w:r w:rsidR="001668B4" w:rsidRPr="009E323B">
        <w:rPr>
          <w:lang w:val="en-GB"/>
        </w:rPr>
        <w:t>recall</w:t>
      </w:r>
      <w:r w:rsidR="00836050" w:rsidRPr="009E323B">
        <w:rPr>
          <w:lang w:val="en-GB"/>
        </w:rPr>
        <w:t>ed</w:t>
      </w:r>
      <w:r w:rsidR="001668B4" w:rsidRPr="009E323B">
        <w:rPr>
          <w:lang w:val="en-GB"/>
        </w:rPr>
        <w:t xml:space="preserve"> the position already expressed in the previous meeting</w:t>
      </w:r>
      <w:r w:rsidR="00F83419">
        <w:rPr>
          <w:lang w:val="en-GB"/>
        </w:rPr>
        <w:t xml:space="preserve">s of the informal working group </w:t>
      </w:r>
      <w:r w:rsidR="001668B4" w:rsidRPr="009E323B">
        <w:rPr>
          <w:lang w:val="en-GB"/>
        </w:rPr>
        <w:t xml:space="preserve">that, in principle, </w:t>
      </w:r>
      <w:r w:rsidR="00836050" w:rsidRPr="009E323B">
        <w:rPr>
          <w:lang w:val="en-GB"/>
        </w:rPr>
        <w:t xml:space="preserve">Spain is </w:t>
      </w:r>
      <w:r w:rsidR="001668B4" w:rsidRPr="009E323B">
        <w:rPr>
          <w:lang w:val="en-GB"/>
        </w:rPr>
        <w:t xml:space="preserve">against sampling and statistical analysis for periodic controls for cylinders, unless there was proves that it gives an equivalent safety level as individual testing. The general provision was completed then by the </w:t>
      </w:r>
      <w:r w:rsidR="00F83419">
        <w:rPr>
          <w:lang w:val="en-GB"/>
        </w:rPr>
        <w:t>informal working group</w:t>
      </w:r>
      <w:r w:rsidR="001668B4" w:rsidRPr="009E323B">
        <w:rPr>
          <w:lang w:val="en-GB"/>
        </w:rPr>
        <w:t xml:space="preserve"> to introduce an additional requirement for an independent assessment on the equivalent safety level, with both statistical and pressure receptacles expertise, to be conducted on any specific demand to the </w:t>
      </w:r>
      <w:proofErr w:type="gramStart"/>
      <w:r w:rsidR="00F83419">
        <w:rPr>
          <w:lang w:val="en-GB"/>
        </w:rPr>
        <w:t>Joint  Meeting</w:t>
      </w:r>
      <w:proofErr w:type="gramEnd"/>
      <w:r w:rsidR="001668B4" w:rsidRPr="009E323B">
        <w:rPr>
          <w:lang w:val="en-GB"/>
        </w:rPr>
        <w:t xml:space="preserve">. </w:t>
      </w:r>
    </w:p>
    <w:p w:rsidR="001668B4" w:rsidRPr="009E323B" w:rsidRDefault="001668B4" w:rsidP="00D831E3">
      <w:pPr>
        <w:pStyle w:val="SingleTxtG"/>
        <w:rPr>
          <w:lang w:val="en-GB"/>
        </w:rPr>
      </w:pPr>
      <w:r w:rsidRPr="009E323B">
        <w:rPr>
          <w:lang w:val="en-GB"/>
        </w:rPr>
        <w:t>The other observations</w:t>
      </w:r>
      <w:r w:rsidR="00F83419">
        <w:rPr>
          <w:lang w:val="en-GB"/>
        </w:rPr>
        <w:t xml:space="preserve"> from the representative of Spain</w:t>
      </w:r>
      <w:r w:rsidRPr="009E323B">
        <w:rPr>
          <w:lang w:val="en-GB"/>
        </w:rPr>
        <w:t xml:space="preserve"> related to impact of change of process to the annual grouping of population, and clearer link between ownership and documentation in case of change of owner have been taken into account</w:t>
      </w:r>
      <w:r w:rsidR="005A36EA" w:rsidRPr="009E323B">
        <w:rPr>
          <w:lang w:val="en-GB"/>
        </w:rPr>
        <w:t>.</w:t>
      </w:r>
    </w:p>
    <w:p w:rsidR="005A36EA" w:rsidRPr="009E323B" w:rsidRDefault="005A36EA" w:rsidP="00D831E3">
      <w:pPr>
        <w:pStyle w:val="SingleTxtG"/>
        <w:rPr>
          <w:color w:val="000000"/>
          <w:lang w:val="en-GB"/>
        </w:rPr>
      </w:pPr>
      <w:r w:rsidRPr="009E323B">
        <w:rPr>
          <w:lang w:val="en-GB"/>
        </w:rPr>
        <w:t xml:space="preserve">However, after the meeting, Spain expressed that they would like </w:t>
      </w:r>
      <w:r w:rsidRPr="009E323B">
        <w:rPr>
          <w:color w:val="000000"/>
          <w:lang w:val="en-GB"/>
        </w:rPr>
        <w:t xml:space="preserve">to have first a general discussion at the </w:t>
      </w:r>
      <w:r w:rsidR="00F83419">
        <w:rPr>
          <w:color w:val="000000"/>
          <w:lang w:val="en-GB"/>
        </w:rPr>
        <w:t>Joint Meeting</w:t>
      </w:r>
      <w:r w:rsidR="00F83419" w:rsidRPr="009E323B">
        <w:rPr>
          <w:color w:val="000000"/>
          <w:lang w:val="en-GB"/>
        </w:rPr>
        <w:t xml:space="preserve"> </w:t>
      </w:r>
      <w:r w:rsidRPr="009E323B">
        <w:rPr>
          <w:color w:val="000000"/>
          <w:lang w:val="en-GB"/>
        </w:rPr>
        <w:t xml:space="preserve">about the equivalent level of safety, with both statistical and pressure receptacles expertise, before introducing provisions on sampling into RID/ADR. </w:t>
      </w:r>
    </w:p>
    <w:p w:rsidR="005A36EA" w:rsidRPr="009E323B" w:rsidRDefault="005A36EA" w:rsidP="00D831E3">
      <w:pPr>
        <w:pStyle w:val="SingleTxtG"/>
        <w:rPr>
          <w:color w:val="000000"/>
          <w:lang w:val="en-GB"/>
        </w:rPr>
      </w:pPr>
      <w:r w:rsidRPr="009E323B">
        <w:rPr>
          <w:color w:val="000000"/>
          <w:lang w:val="en-GB"/>
        </w:rPr>
        <w:t xml:space="preserve">Spain feels also that the agreement of the competent authority of the country of use would be fundamental, since there could be serious safety implications in case of use </w:t>
      </w:r>
      <w:r w:rsidR="00B91698" w:rsidRPr="009E323B">
        <w:rPr>
          <w:color w:val="000000"/>
          <w:lang w:val="en-GB"/>
        </w:rPr>
        <w:t>of a</w:t>
      </w:r>
      <w:r w:rsidRPr="009E323B">
        <w:rPr>
          <w:color w:val="000000"/>
          <w:lang w:val="en-GB"/>
        </w:rPr>
        <w:t xml:space="preserve"> sampling method.</w:t>
      </w:r>
    </w:p>
    <w:p w:rsidR="001668B4" w:rsidRPr="009E323B" w:rsidRDefault="00F83419" w:rsidP="00D831E3">
      <w:pPr>
        <w:pStyle w:val="SingleTxtG"/>
        <w:rPr>
          <w:lang w:val="en-GB"/>
        </w:rPr>
      </w:pPr>
      <w:r>
        <w:rPr>
          <w:lang w:val="en-GB"/>
        </w:rPr>
        <w:t>11</w:t>
      </w:r>
      <w:r w:rsidR="00E47F7A" w:rsidRPr="009E323B">
        <w:rPr>
          <w:lang w:val="en-GB"/>
        </w:rPr>
        <w:t>.</w:t>
      </w:r>
      <w:r w:rsidR="00E47F7A" w:rsidRPr="009E323B">
        <w:rPr>
          <w:lang w:val="en-GB"/>
        </w:rPr>
        <w:tab/>
      </w:r>
      <w:r w:rsidR="001668B4" w:rsidRPr="009E323B">
        <w:rPr>
          <w:lang w:val="en-GB"/>
        </w:rPr>
        <w:t>The OMC specific provision</w:t>
      </w:r>
      <w:r>
        <w:rPr>
          <w:lang w:val="en-GB"/>
        </w:rPr>
        <w:t>s</w:t>
      </w:r>
      <w:r w:rsidR="001668B4" w:rsidRPr="009E323B">
        <w:rPr>
          <w:lang w:val="en-GB"/>
        </w:rPr>
        <w:t xml:space="preserve"> has </w:t>
      </w:r>
      <w:r w:rsidR="000B6C64" w:rsidRPr="009E323B">
        <w:rPr>
          <w:lang w:val="en-GB"/>
        </w:rPr>
        <w:t xml:space="preserve">then </w:t>
      </w:r>
      <w:r w:rsidR="001668B4" w:rsidRPr="009E323B">
        <w:rPr>
          <w:lang w:val="en-GB"/>
        </w:rPr>
        <w:t xml:space="preserve">been reviewed by the </w:t>
      </w:r>
      <w:r>
        <w:rPr>
          <w:lang w:val="en-GB"/>
        </w:rPr>
        <w:t>informal working group</w:t>
      </w:r>
      <w:r w:rsidR="001668B4" w:rsidRPr="009E323B">
        <w:rPr>
          <w:lang w:val="en-GB"/>
        </w:rPr>
        <w:t xml:space="preserve"> on the basis of the document prepared by the </w:t>
      </w:r>
      <w:r>
        <w:rPr>
          <w:lang w:val="en-GB"/>
        </w:rPr>
        <w:t>informal working group</w:t>
      </w:r>
      <w:r w:rsidR="001668B4" w:rsidRPr="009E323B">
        <w:rPr>
          <w:lang w:val="en-GB"/>
        </w:rPr>
        <w:t xml:space="preserve"> in January, and some improvements since.  The content is ov</w:t>
      </w:r>
      <w:r w:rsidR="00596DFC" w:rsidRPr="009E323B">
        <w:rPr>
          <w:lang w:val="en-GB"/>
        </w:rPr>
        <w:t xml:space="preserve">erall agreed by </w:t>
      </w:r>
      <w:proofErr w:type="spellStart"/>
      <w:proofErr w:type="gramStart"/>
      <w:r w:rsidR="00596DFC" w:rsidRPr="009E323B">
        <w:rPr>
          <w:lang w:val="en-GB"/>
        </w:rPr>
        <w:t>the</w:t>
      </w:r>
      <w:r w:rsidR="0028126B" w:rsidRPr="009E323B">
        <w:rPr>
          <w:lang w:val="en-GB"/>
        </w:rPr>
        <w:t>participant</w:t>
      </w:r>
      <w:r w:rsidR="00596DFC" w:rsidRPr="009E323B">
        <w:rPr>
          <w:lang w:val="en-GB"/>
        </w:rPr>
        <w:t>s</w:t>
      </w:r>
      <w:proofErr w:type="spellEnd"/>
      <w:r w:rsidR="00596DFC" w:rsidRPr="009E323B">
        <w:rPr>
          <w:lang w:val="en-GB"/>
        </w:rPr>
        <w:t>,</w:t>
      </w:r>
      <w:proofErr w:type="gramEnd"/>
      <w:r w:rsidR="00596DFC" w:rsidRPr="009E323B">
        <w:rPr>
          <w:lang w:val="en-GB"/>
        </w:rPr>
        <w:t xml:space="preserve"> </w:t>
      </w:r>
      <w:r w:rsidR="001668B4" w:rsidRPr="009E323B">
        <w:rPr>
          <w:lang w:val="en-GB"/>
        </w:rPr>
        <w:t xml:space="preserve">with the requirement to further improve the document with a cross check of the structure of the content to best fit with the general clause structure. </w:t>
      </w:r>
      <w:r w:rsidR="0028126B" w:rsidRPr="009E323B">
        <w:rPr>
          <w:lang w:val="en-GB"/>
        </w:rPr>
        <w:t>Spain expressed again the need to be convinced about the safety equivalent level of a statistical method.</w:t>
      </w:r>
    </w:p>
    <w:p w:rsidR="001668B4" w:rsidRPr="009E323B" w:rsidRDefault="00F83419" w:rsidP="00D831E3">
      <w:pPr>
        <w:pStyle w:val="SingleTxtG"/>
        <w:rPr>
          <w:lang w:val="en-GB"/>
        </w:rPr>
      </w:pPr>
      <w:r>
        <w:rPr>
          <w:lang w:val="en-GB"/>
        </w:rPr>
        <w:t>12</w:t>
      </w:r>
      <w:r w:rsidR="00E47F7A" w:rsidRPr="009E323B">
        <w:rPr>
          <w:lang w:val="en-GB"/>
        </w:rPr>
        <w:t>.</w:t>
      </w:r>
      <w:r w:rsidR="00E47F7A" w:rsidRPr="009E323B">
        <w:rPr>
          <w:lang w:val="en-GB"/>
        </w:rPr>
        <w:tab/>
      </w:r>
      <w:r w:rsidR="001668B4" w:rsidRPr="009E323B">
        <w:rPr>
          <w:lang w:val="en-GB"/>
        </w:rPr>
        <w:t xml:space="preserve">Germany presented different elements of the statistical analysis results prepared by </w:t>
      </w:r>
      <w:r>
        <w:rPr>
          <w:lang w:val="en-GB"/>
        </w:rPr>
        <w:t xml:space="preserve">the </w:t>
      </w:r>
      <w:r w:rsidRPr="00F83419">
        <w:rPr>
          <w:lang w:val="en-GB"/>
        </w:rPr>
        <w:t xml:space="preserve">Federal Institute for Materials Research and Testing </w:t>
      </w:r>
      <w:r>
        <w:rPr>
          <w:lang w:val="en-GB"/>
        </w:rPr>
        <w:t>(</w:t>
      </w:r>
      <w:r w:rsidR="001668B4" w:rsidRPr="009E323B">
        <w:rPr>
          <w:lang w:val="en-GB"/>
        </w:rPr>
        <w:t>BAM</w:t>
      </w:r>
      <w:r>
        <w:rPr>
          <w:lang w:val="en-GB"/>
        </w:rPr>
        <w:t>)</w:t>
      </w:r>
      <w:r w:rsidR="001668B4" w:rsidRPr="009E323B">
        <w:rPr>
          <w:lang w:val="en-GB"/>
        </w:rPr>
        <w:t xml:space="preserve"> based on the OMC destructive tests results to date (more than 15 years of regular destructive tests). Additional work and analysis on the maximum standard deviation and distribution choice would have to be progressed to consolidate and complete a possible safety equivalent level assessment.</w:t>
      </w:r>
    </w:p>
    <w:p w:rsidR="001668B4" w:rsidRPr="009E323B" w:rsidRDefault="00E50903" w:rsidP="00D831E3">
      <w:pPr>
        <w:pStyle w:val="SingleTxtG"/>
        <w:rPr>
          <w:lang w:val="en-GB"/>
        </w:rPr>
      </w:pPr>
      <w:r>
        <w:rPr>
          <w:lang w:val="en-GB"/>
        </w:rPr>
        <w:t>13</w:t>
      </w:r>
      <w:r w:rsidR="00E47F7A" w:rsidRPr="009E323B">
        <w:rPr>
          <w:lang w:val="en-GB"/>
        </w:rPr>
        <w:t>.</w:t>
      </w:r>
      <w:r w:rsidR="00E47F7A" w:rsidRPr="009E323B">
        <w:rPr>
          <w:lang w:val="en-GB"/>
        </w:rPr>
        <w:tab/>
      </w:r>
      <w:r w:rsidR="001668B4" w:rsidRPr="009E323B">
        <w:rPr>
          <w:lang w:val="en-GB"/>
        </w:rPr>
        <w:t xml:space="preserve">Dates of the </w:t>
      </w:r>
      <w:r w:rsidR="0028126B" w:rsidRPr="009E323B">
        <w:rPr>
          <w:lang w:val="en-GB"/>
        </w:rPr>
        <w:t xml:space="preserve">referenced </w:t>
      </w:r>
      <w:r w:rsidR="001668B4" w:rsidRPr="009E323B">
        <w:rPr>
          <w:lang w:val="en-GB"/>
        </w:rPr>
        <w:t>ISO standards</w:t>
      </w:r>
      <w:r w:rsidR="0028126B" w:rsidRPr="009E323B">
        <w:rPr>
          <w:lang w:val="en-GB"/>
        </w:rPr>
        <w:t xml:space="preserve"> for statistics</w:t>
      </w:r>
      <w:r w:rsidR="001668B4" w:rsidRPr="009E323B">
        <w:rPr>
          <w:lang w:val="en-GB"/>
        </w:rPr>
        <w:t xml:space="preserve"> have to be added in the specific provision about OMC.</w:t>
      </w:r>
    </w:p>
    <w:p w:rsidR="00FB091C" w:rsidRPr="009E323B" w:rsidRDefault="00FB091C" w:rsidP="001B64BA">
      <w:pPr>
        <w:pStyle w:val="HChG"/>
        <w:rPr>
          <w:bCs/>
          <w:iCs/>
          <w:lang w:val="en-GB"/>
        </w:rPr>
      </w:pPr>
      <w:r w:rsidRPr="009E323B">
        <w:rPr>
          <w:bCs/>
          <w:iCs/>
          <w:lang w:val="en-GB"/>
        </w:rPr>
        <w:tab/>
      </w:r>
      <w:r w:rsidR="001B64BA" w:rsidRPr="009E323B">
        <w:rPr>
          <w:bCs/>
          <w:iCs/>
          <w:lang w:val="en-GB"/>
        </w:rPr>
        <w:tab/>
      </w:r>
      <w:r w:rsidR="00AF25C6" w:rsidRPr="009E323B">
        <w:rPr>
          <w:sz w:val="32"/>
          <w:szCs w:val="32"/>
          <w:lang w:val="en-GB"/>
        </w:rPr>
        <w:t>Proposal</w:t>
      </w:r>
      <w:r w:rsidR="00A15650" w:rsidRPr="009E323B">
        <w:rPr>
          <w:sz w:val="32"/>
          <w:szCs w:val="32"/>
          <w:lang w:val="en-GB"/>
        </w:rPr>
        <w:t xml:space="preserve"> </w:t>
      </w:r>
      <w:r w:rsidR="00BC2D26" w:rsidRPr="009E323B">
        <w:rPr>
          <w:sz w:val="32"/>
          <w:szCs w:val="32"/>
          <w:lang w:val="en-GB"/>
        </w:rPr>
        <w:t>1</w:t>
      </w:r>
      <w:r w:rsidR="001668B4" w:rsidRPr="009E323B">
        <w:rPr>
          <w:sz w:val="32"/>
          <w:szCs w:val="32"/>
          <w:lang w:val="en-GB"/>
        </w:rPr>
        <w:t xml:space="preserve"> – General Provision</w:t>
      </w:r>
    </w:p>
    <w:p w:rsidR="00BC2D26" w:rsidRPr="009E323B" w:rsidRDefault="00E47F7A" w:rsidP="00E47F7A">
      <w:pPr>
        <w:pStyle w:val="SingleTxtG"/>
        <w:rPr>
          <w:lang w:val="en-GB"/>
        </w:rPr>
      </w:pPr>
      <w:r w:rsidRPr="009E323B">
        <w:rPr>
          <w:lang w:val="en-GB"/>
        </w:rPr>
        <w:t>1</w:t>
      </w:r>
      <w:r w:rsidR="00E50903">
        <w:rPr>
          <w:lang w:val="en-GB"/>
        </w:rPr>
        <w:t>4</w:t>
      </w:r>
      <w:r w:rsidRPr="009E323B">
        <w:rPr>
          <w:lang w:val="en-GB"/>
        </w:rPr>
        <w:t>.</w:t>
      </w:r>
      <w:r w:rsidRPr="009E323B">
        <w:rPr>
          <w:lang w:val="en-GB"/>
        </w:rPr>
        <w:tab/>
      </w:r>
      <w:r w:rsidR="00BC2D26" w:rsidRPr="009E323B">
        <w:rPr>
          <w:lang w:val="en-GB"/>
        </w:rPr>
        <w:t xml:space="preserve">Add a new </w:t>
      </w:r>
      <w:r w:rsidR="00AF67FA" w:rsidRPr="009E323B">
        <w:rPr>
          <w:lang w:val="en-GB"/>
        </w:rPr>
        <w:t>sub-section</w:t>
      </w:r>
      <w:r w:rsidR="00BC2D26" w:rsidRPr="009E323B">
        <w:rPr>
          <w:lang w:val="en-GB"/>
        </w:rPr>
        <w:t xml:space="preserve"> 6.2.3.5.3 to read as follows:</w:t>
      </w:r>
    </w:p>
    <w:p w:rsidR="00BC2D26" w:rsidRPr="009E323B" w:rsidRDefault="00E50903" w:rsidP="00990E3D">
      <w:pPr>
        <w:pStyle w:val="SingleTxtG"/>
        <w:ind w:left="2268" w:hanging="1134"/>
        <w:rPr>
          <w:lang w:val="en-GB"/>
        </w:rPr>
      </w:pPr>
      <w:r>
        <w:rPr>
          <w:lang w:val="en-GB"/>
        </w:rPr>
        <w:lastRenderedPageBreak/>
        <w:t>“</w:t>
      </w:r>
      <w:r w:rsidR="00E47F7A" w:rsidRPr="009E323B">
        <w:rPr>
          <w:lang w:val="en-GB"/>
        </w:rPr>
        <w:t>6.2.3.5.3</w:t>
      </w:r>
      <w:r w:rsidR="00E47F7A" w:rsidRPr="009E323B">
        <w:rPr>
          <w:lang w:val="en-GB"/>
        </w:rPr>
        <w:tab/>
      </w:r>
      <w:r w:rsidR="00BC2D26" w:rsidRPr="00E50903">
        <w:rPr>
          <w:i/>
          <w:lang w:val="en-GB"/>
        </w:rPr>
        <w:t>General rules for the substitution of a periodic inspection method required in 6.2.3.5.1</w:t>
      </w:r>
    </w:p>
    <w:p w:rsidR="00BC2D26" w:rsidRPr="009E323B" w:rsidRDefault="00BC2D26" w:rsidP="00E50903">
      <w:pPr>
        <w:pStyle w:val="SingleTxtG"/>
        <w:tabs>
          <w:tab w:val="left" w:pos="1985"/>
        </w:tabs>
        <w:rPr>
          <w:lang w:val="en-GB"/>
        </w:rPr>
      </w:pPr>
      <w:r w:rsidRPr="009E323B">
        <w:rPr>
          <w:lang w:val="en-GB"/>
        </w:rPr>
        <w:t>This subsection applies to pressure receptacles designed and manufactured in accordance with standards referred in 6.2.4.1 or a technical code in accordance with 6.2.5, and for which the inherent properties of the design type prevent the successful performance of a test required in 6.2.1.6.1 (a) to (e) or a meaningful interpretation of test results as criteria of safety.</w:t>
      </w:r>
    </w:p>
    <w:p w:rsidR="00BC2D26" w:rsidRPr="009E323B" w:rsidRDefault="00BC2D26" w:rsidP="00E50903">
      <w:pPr>
        <w:pStyle w:val="SingleTxtG"/>
        <w:tabs>
          <w:tab w:val="left" w:pos="1985"/>
        </w:tabs>
        <w:rPr>
          <w:lang w:val="en-GB"/>
        </w:rPr>
      </w:pPr>
      <w:r w:rsidRPr="009E323B">
        <w:rPr>
          <w:lang w:val="en-GB"/>
        </w:rPr>
        <w:t>For such pressure receptacles, one or more of the individual periodic inspection methods shall be replaced by an alternative test method, if this procedure is specified in the relevant paragraph of 6.2.3 and is detailed in a special provision or in a referenced standard. This alternative method shall state clearly which test according to 6.2.1.6.1 a) to e) shall be substituted.</w:t>
      </w:r>
    </w:p>
    <w:p w:rsidR="00BC2D26" w:rsidRPr="009E323B" w:rsidRDefault="00E47F7A" w:rsidP="00E47F7A">
      <w:pPr>
        <w:pStyle w:val="SingleTxtG"/>
        <w:rPr>
          <w:lang w:val="en-GB"/>
        </w:rPr>
      </w:pPr>
      <w:r w:rsidRPr="009E323B">
        <w:rPr>
          <w:lang w:val="en-GB"/>
        </w:rPr>
        <w:t>6.2.3.5.3.1</w:t>
      </w:r>
      <w:r w:rsidRPr="009E323B">
        <w:rPr>
          <w:lang w:val="en-GB"/>
        </w:rPr>
        <w:tab/>
      </w:r>
      <w:r w:rsidR="00BC2D26" w:rsidRPr="009E323B">
        <w:rPr>
          <w:lang w:val="en-GB"/>
        </w:rPr>
        <w:t>Destructive testing and statistical assessment as alternative method</w:t>
      </w:r>
    </w:p>
    <w:p w:rsidR="00BC2D26" w:rsidRPr="009E323B" w:rsidRDefault="00BC2D26" w:rsidP="00E50903">
      <w:pPr>
        <w:pStyle w:val="SingleTxtG"/>
        <w:tabs>
          <w:tab w:val="left" w:pos="1985"/>
        </w:tabs>
        <w:rPr>
          <w:lang w:val="en-GB"/>
        </w:rPr>
      </w:pPr>
      <w:r w:rsidRPr="009E323B">
        <w:rPr>
          <w:lang w:val="en-GB"/>
        </w:rPr>
        <w:t>If none of the accepted methods for non-destructive testing of each pressure receptacle to replace the tests as per 6.2.1.6.1 (a) to (e</w:t>
      </w:r>
      <w:proofErr w:type="gramStart"/>
      <w:r w:rsidRPr="009E323B">
        <w:rPr>
          <w:lang w:val="en-GB"/>
        </w:rPr>
        <w:t>),</w:t>
      </w:r>
      <w:proofErr w:type="gramEnd"/>
      <w:r w:rsidRPr="009E323B">
        <w:rPr>
          <w:lang w:val="en-GB"/>
        </w:rPr>
        <w:t xml:space="preserve"> is appropriate to assess the safety of individual pressure receptacles, an alternative method, using destructive testing and statistical evaluation, shall be developed, providing an equivalent level of safety.</w:t>
      </w:r>
    </w:p>
    <w:p w:rsidR="00BC2D26" w:rsidRPr="009E323B" w:rsidRDefault="00BC2D26" w:rsidP="00E50903">
      <w:pPr>
        <w:pStyle w:val="SingleTxtG"/>
        <w:tabs>
          <w:tab w:val="left" w:pos="1985"/>
        </w:tabs>
        <w:rPr>
          <w:lang w:val="en-GB"/>
        </w:rPr>
      </w:pPr>
      <w:r w:rsidRPr="009E323B">
        <w:rPr>
          <w:lang w:val="en-GB"/>
        </w:rPr>
        <w:t>It shall be based on the following elements:</w:t>
      </w:r>
    </w:p>
    <w:p w:rsidR="00BC2D26" w:rsidRPr="009E323B" w:rsidRDefault="00E50903" w:rsidP="00E50903">
      <w:pPr>
        <w:pStyle w:val="SingleTxtG"/>
      </w:pPr>
      <w:r w:rsidRPr="003528F0">
        <w:rPr>
          <w:lang w:val="en-GB"/>
        </w:rPr>
        <w:t>-</w:t>
      </w:r>
      <w:r w:rsidRPr="003528F0">
        <w:rPr>
          <w:lang w:val="en-GB"/>
        </w:rPr>
        <w:tab/>
      </w:r>
      <w:r w:rsidR="00BC2D26" w:rsidRPr="009E323B">
        <w:t xml:space="preserve">Random sampling of a quantified population of pressure receptacles </w:t>
      </w:r>
    </w:p>
    <w:p w:rsidR="00BC2D26" w:rsidRPr="009E323B" w:rsidRDefault="00E50903" w:rsidP="00E50903">
      <w:pPr>
        <w:pStyle w:val="SingleTxtG"/>
      </w:pPr>
      <w:r w:rsidRPr="003528F0">
        <w:rPr>
          <w:lang w:val="en-GB"/>
        </w:rPr>
        <w:t>-</w:t>
      </w:r>
      <w:r w:rsidRPr="003528F0">
        <w:rPr>
          <w:lang w:val="en-GB"/>
        </w:rPr>
        <w:tab/>
      </w:r>
      <w:r w:rsidR="00BC2D26" w:rsidRPr="009E323B">
        <w:t>Procedure for destructive testing,</w:t>
      </w:r>
    </w:p>
    <w:p w:rsidR="00BC2D26" w:rsidRPr="009E323B" w:rsidRDefault="00E50903" w:rsidP="00E50903">
      <w:pPr>
        <w:pStyle w:val="SingleTxtG"/>
      </w:pPr>
      <w:r w:rsidRPr="003528F0">
        <w:rPr>
          <w:lang w:val="en-GB"/>
        </w:rPr>
        <w:t>-</w:t>
      </w:r>
      <w:r w:rsidRPr="003528F0">
        <w:rPr>
          <w:lang w:val="en-GB"/>
        </w:rPr>
        <w:tab/>
      </w:r>
      <w:r w:rsidR="00BC2D26" w:rsidRPr="009E323B">
        <w:t>Procedure for statistical evaluation of test results,</w:t>
      </w:r>
    </w:p>
    <w:p w:rsidR="00BC2D26" w:rsidRPr="009E323B" w:rsidRDefault="00BC2D26" w:rsidP="00E47F7A">
      <w:pPr>
        <w:pStyle w:val="SingleTxtG"/>
        <w:rPr>
          <w:lang w:val="en-GB"/>
        </w:rPr>
      </w:pPr>
      <w:r w:rsidRPr="009E323B">
        <w:t>Specification of rejection criteria, determination of the periodicity for retest checks, alternative  test method, substituting inspection  method(s),</w:t>
      </w:r>
      <w:r w:rsidR="00E50903" w:rsidRPr="003528F0">
        <w:rPr>
          <w:lang w:val="en-GB"/>
        </w:rPr>
        <w:t xml:space="preserve"> </w:t>
      </w:r>
      <w:r w:rsidR="00AF67FA" w:rsidRPr="009E323B">
        <w:rPr>
          <w:lang w:val="en-GB"/>
        </w:rPr>
        <w:t>a</w:t>
      </w:r>
      <w:r w:rsidRPr="009E323B">
        <w:rPr>
          <w:lang w:val="en-GB"/>
        </w:rPr>
        <w:t>nd the following elements shall be fulfilled.</w:t>
      </w:r>
    </w:p>
    <w:p w:rsidR="00BC2D26" w:rsidRPr="009E323B" w:rsidRDefault="00BC2D26" w:rsidP="00E47F7A">
      <w:pPr>
        <w:pStyle w:val="SingleTxtG"/>
        <w:ind w:firstLine="567"/>
        <w:rPr>
          <w:lang w:val="en-GB"/>
        </w:rPr>
      </w:pPr>
      <w:r w:rsidRPr="009E323B">
        <w:rPr>
          <w:lang w:val="en-GB"/>
        </w:rPr>
        <w:t>(a)</w:t>
      </w:r>
      <w:r w:rsidRPr="009E323B">
        <w:rPr>
          <w:lang w:val="en-GB"/>
        </w:rPr>
        <w:tab/>
        <w:t xml:space="preserve">Grouping of a population of a design type for statistical purpose </w:t>
      </w:r>
    </w:p>
    <w:p w:rsidR="00BC2D26" w:rsidRPr="009E323B" w:rsidRDefault="00BC2D26" w:rsidP="00990E3D">
      <w:pPr>
        <w:pStyle w:val="SingleTxtG"/>
        <w:ind w:left="2268"/>
        <w:rPr>
          <w:lang w:val="en-GB"/>
        </w:rPr>
      </w:pPr>
      <w:r w:rsidRPr="009E323B">
        <w:rPr>
          <w:lang w:val="en-GB"/>
        </w:rPr>
        <w:t xml:space="preserve">The population of a pressure receptacle design type, considered for statistical assessment, shall be separated in clearly defined groups of population. Each group is limited to the population of a dedicated year of production per manufacturer of this design type, owned/operated by one company. In case of modification of the design, material or production process, </w:t>
      </w:r>
      <w:r w:rsidR="00AF67FA" w:rsidRPr="009E323B">
        <w:rPr>
          <w:lang w:val="en-GB"/>
        </w:rPr>
        <w:t xml:space="preserve">a </w:t>
      </w:r>
      <w:r w:rsidRPr="009E323B">
        <w:rPr>
          <w:lang w:val="en-GB"/>
        </w:rPr>
        <w:t xml:space="preserve">new group of population has to be considered. Deviating from this, the grouping of the annual production can be organized by more than one owner/operator under the following conditions: </w:t>
      </w:r>
    </w:p>
    <w:p w:rsidR="00BC2D26" w:rsidRPr="009E323B" w:rsidRDefault="00E50903" w:rsidP="00E50903">
      <w:pPr>
        <w:pStyle w:val="Bullet1G"/>
        <w:numPr>
          <w:ilvl w:val="0"/>
          <w:numId w:val="0"/>
        </w:numPr>
        <w:ind w:left="2268"/>
      </w:pPr>
      <w:r>
        <w:t>-</w:t>
      </w:r>
      <w:r>
        <w:tab/>
      </w:r>
      <w:r w:rsidR="00BC2D26" w:rsidRPr="009E323B">
        <w:t xml:space="preserve">The share of duties and responsibilities shall be regulated in a contract; and this contract includes also each involved filling centre. </w:t>
      </w:r>
    </w:p>
    <w:p w:rsidR="00BC2D26" w:rsidRPr="009E323B" w:rsidRDefault="00E50903" w:rsidP="00E50903">
      <w:pPr>
        <w:pStyle w:val="Bullet1G"/>
        <w:numPr>
          <w:ilvl w:val="0"/>
          <w:numId w:val="0"/>
        </w:numPr>
        <w:ind w:left="2268"/>
      </w:pPr>
      <w:r>
        <w:t>-</w:t>
      </w:r>
      <w:r>
        <w:tab/>
      </w:r>
      <w:r w:rsidR="00BC2D26" w:rsidRPr="009E323B">
        <w:t>The filling centres shall work under the supervision of at least one of the owners or operators,</w:t>
      </w:r>
    </w:p>
    <w:p w:rsidR="00BC2D26" w:rsidRPr="009E323B" w:rsidRDefault="00E50903" w:rsidP="00E50903">
      <w:pPr>
        <w:pStyle w:val="Bullet1G"/>
        <w:numPr>
          <w:ilvl w:val="0"/>
          <w:numId w:val="0"/>
        </w:numPr>
        <w:ind w:left="2268"/>
      </w:pPr>
      <w:r>
        <w:t>-</w:t>
      </w:r>
      <w:r>
        <w:tab/>
      </w:r>
      <w:r w:rsidR="00BC2D26" w:rsidRPr="009E323B">
        <w:t xml:space="preserve">In case of change of ownership, the concerned population shall be transferred to the new owner with its </w:t>
      </w:r>
      <w:r w:rsidR="00AF67FA" w:rsidRPr="009E323B">
        <w:t>d</w:t>
      </w:r>
      <w:r w:rsidR="00BC2D26" w:rsidRPr="009E323B">
        <w:t xml:space="preserve">esign, </w:t>
      </w:r>
      <w:r w:rsidR="00AF67FA" w:rsidRPr="009E323B">
        <w:t>manufacture, inspection and operational d</w:t>
      </w:r>
      <w:r w:rsidR="00BC2D26" w:rsidRPr="009E323B">
        <w:t xml:space="preserve">ocumentation and its full database. </w:t>
      </w:r>
    </w:p>
    <w:p w:rsidR="00BC2D26" w:rsidRPr="009E323B" w:rsidRDefault="00BC2D26" w:rsidP="00E47F7A">
      <w:pPr>
        <w:pStyle w:val="SingleTxtG"/>
        <w:ind w:firstLine="397"/>
        <w:rPr>
          <w:lang w:val="en-GB"/>
        </w:rPr>
      </w:pPr>
      <w:r w:rsidRPr="009E323B">
        <w:rPr>
          <w:lang w:val="en-GB"/>
        </w:rPr>
        <w:t>(b)</w:t>
      </w:r>
      <w:r w:rsidRPr="009E323B">
        <w:rPr>
          <w:lang w:val="en-GB"/>
        </w:rPr>
        <w:tab/>
        <w:t>Traceability</w:t>
      </w:r>
    </w:p>
    <w:p w:rsidR="00BC2D26" w:rsidRPr="009E323B" w:rsidRDefault="00BC2D26" w:rsidP="00990E3D">
      <w:pPr>
        <w:pStyle w:val="SingleTxtG"/>
        <w:ind w:left="2268"/>
        <w:rPr>
          <w:lang w:val="en-GB"/>
        </w:rPr>
      </w:pPr>
      <w:r w:rsidRPr="009E323B">
        <w:rPr>
          <w:lang w:val="en-GB"/>
        </w:rPr>
        <w:t xml:space="preserve">Measures shall be taken to ensure traceability of each pressure receptacle to its group of population and its production batch. The owner shall collect all relevant data on filling, retesting and maintenance, correlation to a group of </w:t>
      </w:r>
      <w:r w:rsidRPr="009E323B">
        <w:rPr>
          <w:lang w:val="en-GB"/>
        </w:rPr>
        <w:lastRenderedPageBreak/>
        <w:t xml:space="preserve">population, selection for sampling and other issues in a database. Regular updates of data shall be organised by the owner. </w:t>
      </w:r>
    </w:p>
    <w:p w:rsidR="00BC2D26" w:rsidRPr="009E323B" w:rsidRDefault="00BC2D26" w:rsidP="00990E3D">
      <w:pPr>
        <w:pStyle w:val="SingleTxtG"/>
        <w:ind w:left="2268"/>
        <w:rPr>
          <w:lang w:val="en-GB"/>
        </w:rPr>
      </w:pPr>
      <w:r w:rsidRPr="009E323B">
        <w:rPr>
          <w:lang w:val="en-GB"/>
        </w:rPr>
        <w:t>The owner shall give access to the database. All filling centres and inspection bodies shall have relevant access for the check of individual pressure receptacles concerning their re</w:t>
      </w:r>
      <w:r w:rsidR="00AF67FA" w:rsidRPr="009E323B">
        <w:rPr>
          <w:lang w:val="en-GB"/>
        </w:rPr>
        <w:t>lationship to rejected groups of</w:t>
      </w:r>
      <w:r w:rsidRPr="009E323B">
        <w:rPr>
          <w:lang w:val="en-GB"/>
        </w:rPr>
        <w:t xml:space="preserve"> populations. The complete set of data shall be offered to the competent authority on request. Before filling or periodic inspection of a pressure receptacle, the database system shall automatically cross check the data of the relevant group of population concerning upcoming measures. In case of no access to the database, related pressure receptacles shall not be offered for service.</w:t>
      </w:r>
    </w:p>
    <w:p w:rsidR="00BC2D26" w:rsidRPr="009E323B" w:rsidRDefault="00BC2D26" w:rsidP="00E47F7A">
      <w:pPr>
        <w:pStyle w:val="SingleTxtG"/>
        <w:ind w:firstLine="567"/>
        <w:rPr>
          <w:lang w:val="en-GB"/>
        </w:rPr>
      </w:pPr>
      <w:r w:rsidRPr="009E323B">
        <w:rPr>
          <w:lang w:val="en-GB"/>
        </w:rPr>
        <w:t>(c)</w:t>
      </w:r>
      <w:r w:rsidRPr="009E323B">
        <w:rPr>
          <w:lang w:val="en-GB"/>
        </w:rPr>
        <w:tab/>
        <w:t xml:space="preserve">Sampling for statistical assessment </w:t>
      </w:r>
    </w:p>
    <w:p w:rsidR="00BC2D26" w:rsidRPr="009E323B" w:rsidRDefault="00BC2D26" w:rsidP="00990E3D">
      <w:pPr>
        <w:pStyle w:val="SingleTxtG"/>
        <w:ind w:left="2268"/>
        <w:rPr>
          <w:lang w:val="en-GB"/>
        </w:rPr>
      </w:pPr>
      <w:r w:rsidRPr="009E323B">
        <w:rPr>
          <w:lang w:val="en-GB"/>
        </w:rPr>
        <w:t xml:space="preserve">From each group of population, a determined amount of individuals shall be sampled randomly to create a lot for destructive testing. The sampling procedure shall ensure that the lot is representative of its own group of population, and be representative </w:t>
      </w:r>
      <w:r w:rsidR="00AF67FA" w:rsidRPr="009E323B">
        <w:rPr>
          <w:lang w:val="en-GB"/>
        </w:rPr>
        <w:t>for</w:t>
      </w:r>
      <w:r w:rsidRPr="009E323B">
        <w:rPr>
          <w:lang w:val="en-GB"/>
        </w:rPr>
        <w:t xml:space="preserve"> each owner. The minimum size of a lot has to be determined.</w:t>
      </w:r>
    </w:p>
    <w:p w:rsidR="00BC2D26" w:rsidRPr="009E323B" w:rsidRDefault="00BC2D26" w:rsidP="00E47F7A">
      <w:pPr>
        <w:pStyle w:val="SingleTxtG"/>
        <w:ind w:firstLine="567"/>
        <w:rPr>
          <w:lang w:val="en-GB"/>
        </w:rPr>
      </w:pPr>
      <w:r w:rsidRPr="009E323B">
        <w:rPr>
          <w:lang w:val="en-GB"/>
        </w:rPr>
        <w:t>(d)</w:t>
      </w:r>
      <w:r w:rsidRPr="009E323B">
        <w:rPr>
          <w:lang w:val="en-GB"/>
        </w:rPr>
        <w:tab/>
        <w:t xml:space="preserve">Test method for destructive testing </w:t>
      </w:r>
    </w:p>
    <w:p w:rsidR="00BC2D26" w:rsidRPr="009E323B" w:rsidRDefault="00BC2D26" w:rsidP="00990E3D">
      <w:pPr>
        <w:pStyle w:val="SingleTxtG"/>
        <w:ind w:left="2268"/>
        <w:rPr>
          <w:lang w:val="en-GB"/>
        </w:rPr>
      </w:pPr>
      <w:r w:rsidRPr="009E323B">
        <w:rPr>
          <w:lang w:val="en-GB"/>
        </w:rPr>
        <w:t>The procedure(s) for destructive testing has to be detailed clearly, to ensure a high reproducibility of test conditions. All results of testing have to be monitored, collected independently from its value and made available for the whole life time of a group of population.</w:t>
      </w:r>
    </w:p>
    <w:p w:rsidR="00BC2D26" w:rsidRPr="009E323B" w:rsidRDefault="00BC2D26" w:rsidP="00E47F7A">
      <w:pPr>
        <w:pStyle w:val="SingleTxtG"/>
        <w:ind w:firstLine="567"/>
        <w:rPr>
          <w:lang w:val="en-GB"/>
        </w:rPr>
      </w:pPr>
      <w:r w:rsidRPr="009E323B">
        <w:rPr>
          <w:lang w:val="en-GB"/>
        </w:rPr>
        <w:t>(e)</w:t>
      </w:r>
      <w:r w:rsidRPr="009E323B">
        <w:rPr>
          <w:lang w:val="en-GB"/>
        </w:rPr>
        <w:tab/>
        <w:t xml:space="preserve">Statistical evaluation of test results </w:t>
      </w:r>
    </w:p>
    <w:p w:rsidR="00BC2D26" w:rsidRPr="009E323B" w:rsidRDefault="00BC2D26" w:rsidP="00990E3D">
      <w:pPr>
        <w:pStyle w:val="SingleTxtG"/>
        <w:ind w:left="2268"/>
        <w:rPr>
          <w:lang w:val="en-GB"/>
        </w:rPr>
      </w:pPr>
      <w:r w:rsidRPr="009E323B">
        <w:rPr>
          <w:lang w:val="en-GB"/>
        </w:rPr>
        <w:t xml:space="preserve">The procedure for statistical evaluation of test results shall be described in a clear and understandable manner. It shall provide data on the requested reliability level, the minimum unilateral confidence level of a sample and the value of the rejection criteria for the relevant test. For determination of the requested reliability level the potential consequences of an in-service failure of the pressure receptacle design type shall be considered. All test results of destructive tests in accordance with (e) and in no case less than minimum amount of pressure receptacles, determined in (d) for sampling, shall be evaluated for the relevant group of population.  </w:t>
      </w:r>
    </w:p>
    <w:p w:rsidR="00BC2D26" w:rsidRPr="009E323B" w:rsidRDefault="00BC2D26" w:rsidP="00E47F7A">
      <w:pPr>
        <w:pStyle w:val="SingleTxtG"/>
        <w:ind w:firstLine="567"/>
        <w:rPr>
          <w:lang w:val="en-GB"/>
        </w:rPr>
      </w:pPr>
      <w:r w:rsidRPr="009E323B">
        <w:rPr>
          <w:lang w:val="en-GB"/>
        </w:rPr>
        <w:t>(f)</w:t>
      </w:r>
      <w:r w:rsidRPr="009E323B">
        <w:rPr>
          <w:lang w:val="en-GB"/>
        </w:rPr>
        <w:tab/>
        <w:t>Measures in case of not satisfying requirements</w:t>
      </w:r>
    </w:p>
    <w:p w:rsidR="00BC2D26" w:rsidRPr="009E323B" w:rsidRDefault="00BC2D26" w:rsidP="00990E3D">
      <w:pPr>
        <w:pStyle w:val="SingleTxtG"/>
        <w:ind w:left="2268"/>
        <w:rPr>
          <w:lang w:val="en-GB"/>
        </w:rPr>
      </w:pPr>
      <w:r w:rsidRPr="009E323B">
        <w:rPr>
          <w:lang w:val="en-GB"/>
        </w:rPr>
        <w:t>If the statistical assessment of test results representing a group of population shows insufficient properties, the affected group of population shall not be offered for filling or use and shall be taken out of service.</w:t>
      </w:r>
    </w:p>
    <w:p w:rsidR="00BC2D26" w:rsidRPr="009E323B" w:rsidRDefault="00BC2D26" w:rsidP="00990E3D">
      <w:pPr>
        <w:pStyle w:val="SingleTxtG"/>
        <w:ind w:left="2268"/>
        <w:rPr>
          <w:lang w:val="en-GB"/>
        </w:rPr>
      </w:pPr>
      <w:r w:rsidRPr="009E323B">
        <w:rPr>
          <w:lang w:val="en-GB"/>
        </w:rPr>
        <w:t xml:space="preserve">Further technical analysis about the reasons of failure can be undertaken. If an </w:t>
      </w:r>
      <w:proofErr w:type="gramStart"/>
      <w:r w:rsidRPr="009E323B">
        <w:rPr>
          <w:lang w:val="en-GB"/>
        </w:rPr>
        <w:t>X(</w:t>
      </w:r>
      <w:proofErr w:type="gramEnd"/>
      <w:r w:rsidRPr="009E323B">
        <w:rPr>
          <w:lang w:val="en-GB"/>
        </w:rPr>
        <w:t>a) body</w:t>
      </w:r>
      <w:r w:rsidR="00AF67FA" w:rsidRPr="009E323B">
        <w:rPr>
          <w:lang w:val="en-GB"/>
        </w:rPr>
        <w:t>, in accordance with 6.2.3.6.1,</w:t>
      </w:r>
      <w:r w:rsidRPr="009E323B">
        <w:rPr>
          <w:lang w:val="en-GB"/>
        </w:rPr>
        <w:t xml:space="preserve"> can demonstrate that clearly defined parts of the group of population are not affected by the detected reason for not meeting the statistical requirements, the competent authority or its delegate may permit further use of not affected parts of the group of population. </w:t>
      </w:r>
    </w:p>
    <w:p w:rsidR="00BC2D26" w:rsidRPr="009E323B" w:rsidRDefault="00E47F7A" w:rsidP="00E47F7A">
      <w:pPr>
        <w:pStyle w:val="SingleTxtG"/>
        <w:ind w:firstLine="567"/>
        <w:rPr>
          <w:lang w:val="en-GB"/>
        </w:rPr>
      </w:pPr>
      <w:r w:rsidRPr="009E323B">
        <w:rPr>
          <w:lang w:val="en-GB"/>
        </w:rPr>
        <w:t>(g)</w:t>
      </w:r>
      <w:r w:rsidRPr="009E323B">
        <w:rPr>
          <w:lang w:val="en-GB"/>
        </w:rPr>
        <w:tab/>
      </w:r>
      <w:r w:rsidR="00BC2D26" w:rsidRPr="009E323B">
        <w:rPr>
          <w:lang w:val="en-GB"/>
        </w:rPr>
        <w:t xml:space="preserve">Filling </w:t>
      </w:r>
      <w:proofErr w:type="spellStart"/>
      <w:r w:rsidR="00BC2D26" w:rsidRPr="009E323B">
        <w:rPr>
          <w:lang w:val="en-GB"/>
        </w:rPr>
        <w:t>center</w:t>
      </w:r>
      <w:proofErr w:type="spellEnd"/>
    </w:p>
    <w:p w:rsidR="00BC2D26" w:rsidRPr="009E323B" w:rsidRDefault="00BC2D26" w:rsidP="00990E3D">
      <w:pPr>
        <w:pStyle w:val="SingleTxtG"/>
        <w:ind w:left="2268"/>
        <w:rPr>
          <w:lang w:val="en-GB"/>
        </w:rPr>
      </w:pPr>
      <w:r w:rsidRPr="009E323B">
        <w:rPr>
          <w:lang w:val="en-GB"/>
        </w:rPr>
        <w:t xml:space="preserve">Filling </w:t>
      </w:r>
      <w:r w:rsidR="008B5A75" w:rsidRPr="009E323B">
        <w:rPr>
          <w:lang w:val="en-GB"/>
        </w:rPr>
        <w:t>centres</w:t>
      </w:r>
      <w:r w:rsidRPr="009E323B">
        <w:rPr>
          <w:lang w:val="en-GB"/>
        </w:rPr>
        <w:t xml:space="preserve"> for filling of pressure receptacles according to 6.2.3.5.3 shall apply a documented quality system to ensure that all the provisions of paragraph (7) of packing instruction P200 and the requirements and responsibilities of the alternative retest method as applicable are fulfilled and correctly applied. The quality system, according to the ISO 9000 (series) or </w:t>
      </w:r>
      <w:r w:rsidRPr="009E323B">
        <w:rPr>
          <w:lang w:val="en-GB"/>
        </w:rPr>
        <w:lastRenderedPageBreak/>
        <w:t>equivalent, shall be certified by an accredited independent body recognized by the competent authority.</w:t>
      </w:r>
    </w:p>
    <w:p w:rsidR="00BC2D26" w:rsidRPr="009E323B" w:rsidRDefault="00E47F7A" w:rsidP="00E47F7A">
      <w:pPr>
        <w:pStyle w:val="SingleTxtG"/>
        <w:ind w:firstLine="567"/>
        <w:rPr>
          <w:lang w:val="en-GB"/>
        </w:rPr>
      </w:pPr>
      <w:r w:rsidRPr="009E323B">
        <w:rPr>
          <w:lang w:val="en-GB"/>
        </w:rPr>
        <w:t>(h)</w:t>
      </w:r>
      <w:r w:rsidRPr="009E323B">
        <w:rPr>
          <w:lang w:val="en-GB"/>
        </w:rPr>
        <w:tab/>
      </w:r>
      <w:r w:rsidR="00BC2D26" w:rsidRPr="009E323B">
        <w:rPr>
          <w:lang w:val="en-GB"/>
        </w:rPr>
        <w:t>Assessment of the method</w:t>
      </w:r>
    </w:p>
    <w:p w:rsidR="00BC2D26" w:rsidRPr="009E323B" w:rsidRDefault="00BC2D26" w:rsidP="00990E3D">
      <w:pPr>
        <w:pStyle w:val="SingleTxtG"/>
        <w:ind w:left="2268"/>
        <w:rPr>
          <w:lang w:val="en-GB"/>
        </w:rPr>
      </w:pPr>
      <w:r w:rsidRPr="009E323B">
        <w:rPr>
          <w:lang w:val="en-GB"/>
        </w:rPr>
        <w:t xml:space="preserve">The safety level of this alternative statistical method shall be validated by an independent institute, experienced in statistics and pressure receptacles. This expert opinion shall </w:t>
      </w:r>
      <w:r w:rsidR="00195F0C" w:rsidRPr="009E323B">
        <w:rPr>
          <w:lang w:val="en-GB"/>
        </w:rPr>
        <w:t>assess</w:t>
      </w:r>
      <w:r w:rsidRPr="009E323B">
        <w:rPr>
          <w:lang w:val="en-GB"/>
        </w:rPr>
        <w:t xml:space="preserve"> the distribution function and </w:t>
      </w:r>
      <w:r w:rsidR="00195F0C" w:rsidRPr="009E323B">
        <w:rPr>
          <w:lang w:val="en-GB"/>
        </w:rPr>
        <w:t xml:space="preserve">shall take into account </w:t>
      </w:r>
      <w:r w:rsidRPr="009E323B">
        <w:rPr>
          <w:lang w:val="en-GB"/>
        </w:rPr>
        <w:t>possible modifications caused by service degradation.</w:t>
      </w:r>
    </w:p>
    <w:p w:rsidR="00BC2D26" w:rsidRPr="009E323B" w:rsidRDefault="00BC2D26" w:rsidP="00990E3D">
      <w:pPr>
        <w:pStyle w:val="SingleTxtG"/>
        <w:ind w:left="2268"/>
        <w:rPr>
          <w:lang w:val="en-GB"/>
        </w:rPr>
      </w:pPr>
      <w:r w:rsidRPr="009E323B">
        <w:rPr>
          <w:lang w:val="en-GB"/>
        </w:rPr>
        <w:t>The alternative statistical method shall ensure a safety level not lower than the one resulting from the retest method to be substituted.</w:t>
      </w:r>
      <w:proofErr w:type="gramStart"/>
      <w:r w:rsidR="00E50903">
        <w:rPr>
          <w:lang w:val="en-GB"/>
        </w:rPr>
        <w:t>”.</w:t>
      </w:r>
      <w:proofErr w:type="gramEnd"/>
    </w:p>
    <w:p w:rsidR="00BC2D26" w:rsidRPr="009E323B" w:rsidRDefault="00BC2D26" w:rsidP="00BC2D26">
      <w:pPr>
        <w:pStyle w:val="HChG"/>
        <w:rPr>
          <w:sz w:val="20"/>
          <w:lang w:val="en-GB"/>
        </w:rPr>
      </w:pPr>
      <w:r w:rsidRPr="009E323B">
        <w:rPr>
          <w:bCs/>
          <w:iCs/>
          <w:lang w:val="en-GB"/>
        </w:rPr>
        <w:tab/>
      </w:r>
      <w:r w:rsidRPr="009E323B">
        <w:rPr>
          <w:bCs/>
          <w:iCs/>
          <w:lang w:val="en-GB"/>
        </w:rPr>
        <w:tab/>
      </w:r>
      <w:r w:rsidRPr="009E323B">
        <w:rPr>
          <w:sz w:val="32"/>
          <w:szCs w:val="32"/>
          <w:lang w:val="en-GB"/>
        </w:rPr>
        <w:t xml:space="preserve">Introduction to </w:t>
      </w:r>
      <w:r w:rsidR="00E50903">
        <w:rPr>
          <w:sz w:val="32"/>
          <w:szCs w:val="32"/>
          <w:lang w:val="en-GB"/>
        </w:rPr>
        <w:t>P</w:t>
      </w:r>
      <w:r w:rsidRPr="009E323B">
        <w:rPr>
          <w:sz w:val="32"/>
          <w:szCs w:val="32"/>
          <w:lang w:val="en-GB"/>
        </w:rPr>
        <w:t>roposal 2</w:t>
      </w:r>
    </w:p>
    <w:p w:rsidR="00847C0C" w:rsidRPr="009E323B" w:rsidRDefault="00E50903" w:rsidP="00E47F7A">
      <w:pPr>
        <w:pStyle w:val="SingleTxtG"/>
        <w:rPr>
          <w:lang w:val="en-GB"/>
        </w:rPr>
      </w:pPr>
      <w:r>
        <w:rPr>
          <w:lang w:val="en-GB"/>
        </w:rPr>
        <w:t>15</w:t>
      </w:r>
      <w:r w:rsidR="00E47F7A" w:rsidRPr="009E323B">
        <w:rPr>
          <w:lang w:val="en-GB"/>
        </w:rPr>
        <w:t>.</w:t>
      </w:r>
      <w:r w:rsidR="00E47F7A" w:rsidRPr="009E323B">
        <w:rPr>
          <w:lang w:val="en-GB"/>
        </w:rPr>
        <w:tab/>
      </w:r>
      <w:r w:rsidR="00847C0C" w:rsidRPr="009E323B">
        <w:rPr>
          <w:lang w:val="en-GB"/>
        </w:rPr>
        <w:t>The proposed method described in Proposal 2 has been build up step by step, based upon 17 years of return of experience of one currently commercialized OMC.</w:t>
      </w:r>
    </w:p>
    <w:p w:rsidR="00940B1D" w:rsidRPr="009E323B" w:rsidRDefault="00E50903" w:rsidP="00E47F7A">
      <w:pPr>
        <w:pStyle w:val="SingleTxtG"/>
        <w:rPr>
          <w:lang w:val="en-GB"/>
        </w:rPr>
      </w:pPr>
      <w:r>
        <w:rPr>
          <w:lang w:val="en-GB"/>
        </w:rPr>
        <w:t>16.</w:t>
      </w:r>
      <w:r>
        <w:rPr>
          <w:lang w:val="en-GB"/>
        </w:rPr>
        <w:tab/>
      </w:r>
      <w:r w:rsidR="00847C0C" w:rsidRPr="009E323B">
        <w:rPr>
          <w:lang w:val="en-GB"/>
        </w:rPr>
        <w:t>With this example, destructive tests have been performed</w:t>
      </w:r>
      <w:r w:rsidR="00FC1668" w:rsidRPr="009E323B">
        <w:rPr>
          <w:lang w:val="en-GB"/>
        </w:rPr>
        <w:t xml:space="preserve"> a</w:t>
      </w:r>
      <w:r w:rsidR="00847C0C" w:rsidRPr="009E323B">
        <w:rPr>
          <w:lang w:val="en-GB"/>
        </w:rPr>
        <w:t>fter 3 years in service and thereafter every 5 years,</w:t>
      </w:r>
      <w:r w:rsidR="00847C0C" w:rsidRPr="009E323B" w:rsidDel="00076508">
        <w:rPr>
          <w:lang w:val="en-GB"/>
        </w:rPr>
        <w:t xml:space="preserve"> </w:t>
      </w:r>
      <w:r w:rsidR="004358D0" w:rsidRPr="009E323B">
        <w:rPr>
          <w:lang w:val="en-GB"/>
        </w:rPr>
        <w:t xml:space="preserve">on more than 17000 </w:t>
      </w:r>
      <w:r>
        <w:rPr>
          <w:lang w:val="en-GB"/>
        </w:rPr>
        <w:t>OMCs</w:t>
      </w:r>
      <w:r w:rsidR="00847C0C" w:rsidRPr="009E323B">
        <w:rPr>
          <w:lang w:val="en-GB"/>
        </w:rPr>
        <w:t xml:space="preserve"> to date.</w:t>
      </w:r>
    </w:p>
    <w:p w:rsidR="00847C0C" w:rsidRPr="009E323B" w:rsidRDefault="00E47F7A" w:rsidP="00E47F7A">
      <w:pPr>
        <w:pStyle w:val="SingleTxtG"/>
        <w:ind w:firstLine="567"/>
        <w:rPr>
          <w:lang w:val="en-GB"/>
        </w:rPr>
      </w:pPr>
      <w:r w:rsidRPr="009E323B">
        <w:rPr>
          <w:lang w:val="en-GB"/>
        </w:rPr>
        <w:t>-</w:t>
      </w:r>
      <w:r w:rsidRPr="009E323B">
        <w:rPr>
          <w:lang w:val="en-GB"/>
        </w:rPr>
        <w:tab/>
      </w:r>
      <w:r w:rsidR="00940B1D" w:rsidRPr="009E323B">
        <w:rPr>
          <w:lang w:val="en-GB"/>
        </w:rPr>
        <w:t>C</w:t>
      </w:r>
      <w:r w:rsidR="004358D0" w:rsidRPr="009E323B">
        <w:rPr>
          <w:lang w:val="en-GB"/>
        </w:rPr>
        <w:t>urrent results of a</w:t>
      </w:r>
      <w:r w:rsidR="00847C0C" w:rsidRPr="009E323B">
        <w:rPr>
          <w:lang w:val="en-GB"/>
        </w:rPr>
        <w:t>dhesion destructive test</w:t>
      </w:r>
      <w:r w:rsidR="004358D0" w:rsidRPr="009E323B">
        <w:rPr>
          <w:lang w:val="en-GB"/>
        </w:rPr>
        <w:t>s and p</w:t>
      </w:r>
      <w:r w:rsidR="00847C0C" w:rsidRPr="009E323B">
        <w:rPr>
          <w:lang w:val="en-GB"/>
        </w:rPr>
        <w:t xml:space="preserve">eeling destructive tests are well above minimum requirements. It demonstrates that the over-moulded case keeps its protection properties (external corrosion, impact, drops) along time. </w:t>
      </w:r>
    </w:p>
    <w:p w:rsidR="00847C0C" w:rsidRPr="009E323B" w:rsidRDefault="00E47F7A" w:rsidP="00E47F7A">
      <w:pPr>
        <w:pStyle w:val="SingleTxtG"/>
        <w:ind w:firstLine="567"/>
        <w:rPr>
          <w:lang w:val="en-GB"/>
        </w:rPr>
      </w:pPr>
      <w:r w:rsidRPr="009E323B">
        <w:rPr>
          <w:lang w:val="en-GB"/>
        </w:rPr>
        <w:t>-</w:t>
      </w:r>
      <w:r w:rsidRPr="009E323B">
        <w:rPr>
          <w:lang w:val="en-GB"/>
        </w:rPr>
        <w:tab/>
      </w:r>
      <w:r w:rsidR="00940B1D" w:rsidRPr="009E323B">
        <w:rPr>
          <w:lang w:val="en-GB"/>
        </w:rPr>
        <w:t>C</w:t>
      </w:r>
      <w:r w:rsidR="004358D0" w:rsidRPr="009E323B">
        <w:rPr>
          <w:lang w:val="en-GB"/>
        </w:rPr>
        <w:t>urrent results of r</w:t>
      </w:r>
      <w:r w:rsidR="00847C0C" w:rsidRPr="009E323B">
        <w:rPr>
          <w:lang w:val="en-GB"/>
        </w:rPr>
        <w:t>upture destructive tests (ru</w:t>
      </w:r>
      <w:r w:rsidR="000B6C64" w:rsidRPr="009E323B">
        <w:rPr>
          <w:lang w:val="en-GB"/>
        </w:rPr>
        <w:t>p</w:t>
      </w:r>
      <w:r w:rsidR="00847C0C" w:rsidRPr="009E323B">
        <w:rPr>
          <w:lang w:val="en-GB"/>
        </w:rPr>
        <w:t xml:space="preserve">ture pressure, volumetric expansion) are above minimum requirements. It demonstrates that over-moulded </w:t>
      </w:r>
      <w:proofErr w:type="gramStart"/>
      <w:r w:rsidR="00847C0C" w:rsidRPr="009E323B">
        <w:rPr>
          <w:lang w:val="en-GB"/>
        </w:rPr>
        <w:t>cylinders  keep</w:t>
      </w:r>
      <w:proofErr w:type="gramEnd"/>
      <w:r w:rsidR="00847C0C" w:rsidRPr="009E323B">
        <w:rPr>
          <w:lang w:val="en-GB"/>
        </w:rPr>
        <w:t xml:space="preserve"> their mechanical properties along time.</w:t>
      </w:r>
    </w:p>
    <w:p w:rsidR="00E50903" w:rsidRDefault="00E50903" w:rsidP="00E50903">
      <w:pPr>
        <w:pStyle w:val="SingleTxtG"/>
        <w:rPr>
          <w:lang w:val="en-GB"/>
        </w:rPr>
      </w:pPr>
      <w:r>
        <w:rPr>
          <w:lang w:val="en-GB"/>
        </w:rPr>
        <w:t>17.</w:t>
      </w:r>
      <w:r>
        <w:rPr>
          <w:lang w:val="en-GB"/>
        </w:rPr>
        <w:tab/>
      </w:r>
      <w:r w:rsidR="00FC1668" w:rsidRPr="009E323B">
        <w:rPr>
          <w:lang w:val="en-GB"/>
        </w:rPr>
        <w:t xml:space="preserve">These minimum requirements have been </w:t>
      </w:r>
      <w:r w:rsidRPr="009E323B">
        <w:rPr>
          <w:lang w:val="en-GB"/>
        </w:rPr>
        <w:t>buil</w:t>
      </w:r>
      <w:r>
        <w:rPr>
          <w:lang w:val="en-GB"/>
        </w:rPr>
        <w:t>t</w:t>
      </w:r>
      <w:r w:rsidRPr="009E323B">
        <w:rPr>
          <w:lang w:val="en-GB"/>
        </w:rPr>
        <w:t xml:space="preserve"> </w:t>
      </w:r>
      <w:r w:rsidR="00FC1668" w:rsidRPr="009E323B">
        <w:rPr>
          <w:lang w:val="en-GB"/>
        </w:rPr>
        <w:t>step by step:</w:t>
      </w:r>
    </w:p>
    <w:p w:rsidR="00FC1668" w:rsidRDefault="00E50903" w:rsidP="00E50903">
      <w:pPr>
        <w:pStyle w:val="SingleTxtG"/>
        <w:rPr>
          <w:lang w:val="en-GB"/>
        </w:rPr>
      </w:pPr>
      <w:r>
        <w:rPr>
          <w:lang w:val="en-GB"/>
        </w:rPr>
        <w:t>-</w:t>
      </w:r>
      <w:r>
        <w:rPr>
          <w:lang w:val="en-GB"/>
        </w:rPr>
        <w:tab/>
      </w:r>
      <w:r w:rsidR="00784997" w:rsidRPr="009E323B">
        <w:rPr>
          <w:lang w:val="en-GB"/>
        </w:rPr>
        <w:t>A</w:t>
      </w:r>
      <w:r w:rsidR="00FC1668" w:rsidRPr="009E323B">
        <w:rPr>
          <w:lang w:val="en-GB"/>
        </w:rPr>
        <w:t>fter different preliminary studies on impacts of defe</w:t>
      </w:r>
      <w:r w:rsidR="00E47F7A" w:rsidRPr="009E323B">
        <w:rPr>
          <w:lang w:val="en-GB"/>
        </w:rPr>
        <w:t>cts (corrosion, leak, adhesion</w:t>
      </w:r>
      <w:proofErr w:type="gramStart"/>
      <w:r w:rsidR="00E47F7A" w:rsidRPr="009E323B">
        <w:rPr>
          <w:lang w:val="en-GB"/>
        </w:rPr>
        <w:t>,</w:t>
      </w:r>
      <w:r w:rsidR="00FC1668" w:rsidRPr="009E323B">
        <w:rPr>
          <w:lang w:val="en-GB"/>
        </w:rPr>
        <w:t>…</w:t>
      </w:r>
      <w:proofErr w:type="gramEnd"/>
      <w:r w:rsidR="00FC1668" w:rsidRPr="009E323B">
        <w:rPr>
          <w:lang w:val="en-GB"/>
        </w:rPr>
        <w:t xml:space="preserve">) with dedicated independent experts recognized by the French </w:t>
      </w:r>
      <w:r w:rsidR="00823DE2" w:rsidRPr="009E323B">
        <w:rPr>
          <w:lang w:val="en-GB"/>
        </w:rPr>
        <w:t>Authority</w:t>
      </w:r>
      <w:r w:rsidR="00FC1668" w:rsidRPr="009E323B">
        <w:rPr>
          <w:lang w:val="en-GB"/>
        </w:rPr>
        <w:t>.</w:t>
      </w:r>
    </w:p>
    <w:p w:rsidR="00FC1668" w:rsidRPr="009E323B" w:rsidRDefault="00E50903" w:rsidP="00E50903">
      <w:pPr>
        <w:pStyle w:val="SingleTxtG"/>
        <w:rPr>
          <w:lang w:val="en-GB"/>
        </w:rPr>
      </w:pPr>
      <w:r>
        <w:rPr>
          <w:lang w:val="en-GB"/>
        </w:rPr>
        <w:t>-</w:t>
      </w:r>
      <w:r>
        <w:rPr>
          <w:lang w:val="en-GB"/>
        </w:rPr>
        <w:tab/>
      </w:r>
      <w:r w:rsidR="00FC1668" w:rsidRPr="009E323B">
        <w:rPr>
          <w:lang w:val="en-GB"/>
        </w:rPr>
        <w:t xml:space="preserve">Based on more than 40 years of regular annual rupture tests on traditional steel cylinders (13kg) </w:t>
      </w:r>
      <w:r w:rsidR="00784997" w:rsidRPr="009E323B">
        <w:rPr>
          <w:lang w:val="en-GB"/>
        </w:rPr>
        <w:t xml:space="preserve">performed to statistically assess the mechanical properties of such cylinders along time, according to the 15 years periodic inspection extension agreed at the time by the French </w:t>
      </w:r>
      <w:r w:rsidR="00823DE2" w:rsidRPr="009E323B">
        <w:rPr>
          <w:lang w:val="en-GB"/>
        </w:rPr>
        <w:t>Authority</w:t>
      </w:r>
      <w:r w:rsidR="00784997" w:rsidRPr="009E323B">
        <w:rPr>
          <w:lang w:val="en-GB"/>
        </w:rPr>
        <w:t>.</w:t>
      </w:r>
    </w:p>
    <w:p w:rsidR="00847C0C" w:rsidRPr="009E323B" w:rsidRDefault="00E50903" w:rsidP="00E47F7A">
      <w:pPr>
        <w:pStyle w:val="SingleTxtG"/>
        <w:rPr>
          <w:lang w:val="en-GB"/>
        </w:rPr>
      </w:pPr>
      <w:r>
        <w:rPr>
          <w:lang w:val="en-GB"/>
        </w:rPr>
        <w:t>18.</w:t>
      </w:r>
      <w:r>
        <w:rPr>
          <w:lang w:val="en-GB"/>
        </w:rPr>
        <w:tab/>
      </w:r>
      <w:r w:rsidR="00847C0C" w:rsidRPr="009E323B">
        <w:rPr>
          <w:lang w:val="en-GB"/>
        </w:rPr>
        <w:t xml:space="preserve">Such minimum technical requirements are currently being introduced in related </w:t>
      </w:r>
      <w:r w:rsidR="00940B1D" w:rsidRPr="009E323B">
        <w:rPr>
          <w:lang w:val="en-GB"/>
        </w:rPr>
        <w:t xml:space="preserve">standards for </w:t>
      </w:r>
      <w:r w:rsidR="00847C0C" w:rsidRPr="009E323B">
        <w:rPr>
          <w:lang w:val="en-GB"/>
        </w:rPr>
        <w:t>design and manufact</w:t>
      </w:r>
      <w:r w:rsidR="002B17C0" w:rsidRPr="009E323B">
        <w:rPr>
          <w:lang w:val="en-GB"/>
        </w:rPr>
        <w:t xml:space="preserve">uring and in related </w:t>
      </w:r>
      <w:r w:rsidR="00940B1D" w:rsidRPr="009E323B">
        <w:rPr>
          <w:lang w:val="en-GB"/>
        </w:rPr>
        <w:t xml:space="preserve">standards for </w:t>
      </w:r>
      <w:r w:rsidR="002B17C0" w:rsidRPr="009E323B">
        <w:rPr>
          <w:lang w:val="en-GB"/>
        </w:rPr>
        <w:t>periodic inspection</w:t>
      </w:r>
      <w:r w:rsidR="00847C0C" w:rsidRPr="009E323B">
        <w:rPr>
          <w:lang w:val="en-GB"/>
        </w:rPr>
        <w:t>, which is participating to the preservation of the level of safety for these over-moulded cylinders.</w:t>
      </w:r>
    </w:p>
    <w:p w:rsidR="00847C0C" w:rsidRPr="009E323B" w:rsidRDefault="00847C0C" w:rsidP="00E47F7A">
      <w:pPr>
        <w:pStyle w:val="HChG"/>
        <w:rPr>
          <w:sz w:val="20"/>
          <w:lang w:val="en-GB"/>
        </w:rPr>
      </w:pPr>
      <w:r w:rsidRPr="009E323B">
        <w:rPr>
          <w:bCs/>
          <w:iCs/>
          <w:lang w:val="en-GB"/>
        </w:rPr>
        <w:tab/>
      </w:r>
      <w:r w:rsidRPr="009E323B">
        <w:rPr>
          <w:bCs/>
          <w:iCs/>
          <w:lang w:val="en-GB"/>
        </w:rPr>
        <w:tab/>
      </w:r>
      <w:r w:rsidRPr="009E323B">
        <w:rPr>
          <w:lang w:val="en-GB"/>
        </w:rPr>
        <w:t>Proposal 2</w:t>
      </w:r>
      <w:r w:rsidR="001668B4" w:rsidRPr="009E323B">
        <w:rPr>
          <w:lang w:val="en-GB"/>
        </w:rPr>
        <w:t xml:space="preserve"> – Special </w:t>
      </w:r>
      <w:r w:rsidR="00E50903">
        <w:rPr>
          <w:lang w:val="en-GB"/>
        </w:rPr>
        <w:t>p</w:t>
      </w:r>
      <w:r w:rsidR="001668B4" w:rsidRPr="009E323B">
        <w:rPr>
          <w:lang w:val="en-GB"/>
        </w:rPr>
        <w:t>rovision</w:t>
      </w:r>
      <w:r w:rsidR="00E50903">
        <w:rPr>
          <w:lang w:val="en-GB"/>
        </w:rPr>
        <w:t>s</w:t>
      </w:r>
      <w:r w:rsidR="001668B4" w:rsidRPr="009E323B">
        <w:rPr>
          <w:lang w:val="en-GB"/>
        </w:rPr>
        <w:t xml:space="preserve"> about OMC</w:t>
      </w:r>
    </w:p>
    <w:p w:rsidR="00FB091C" w:rsidRPr="009E323B" w:rsidRDefault="00E50903" w:rsidP="00E47F7A">
      <w:pPr>
        <w:pStyle w:val="SingleTxtG"/>
        <w:rPr>
          <w:lang w:val="en-GB"/>
        </w:rPr>
      </w:pPr>
      <w:r>
        <w:rPr>
          <w:lang w:val="en-GB"/>
        </w:rPr>
        <w:t>19</w:t>
      </w:r>
      <w:r w:rsidR="00E47F7A" w:rsidRPr="009E323B">
        <w:rPr>
          <w:lang w:val="en-GB"/>
        </w:rPr>
        <w:t>.</w:t>
      </w:r>
      <w:r w:rsidR="00E47F7A" w:rsidRPr="009E323B">
        <w:rPr>
          <w:lang w:val="en-GB"/>
        </w:rPr>
        <w:tab/>
      </w:r>
      <w:r w:rsidR="00D741DF" w:rsidRPr="009E323B">
        <w:rPr>
          <w:lang w:val="en-GB"/>
        </w:rPr>
        <w:t>A</w:t>
      </w:r>
      <w:r w:rsidR="00FB091C" w:rsidRPr="009E323B">
        <w:rPr>
          <w:lang w:val="en-GB"/>
        </w:rPr>
        <w:t>dd the following definition in 1.2</w:t>
      </w:r>
      <w:r>
        <w:rPr>
          <w:lang w:val="en-GB"/>
        </w:rPr>
        <w:t>.1</w:t>
      </w:r>
      <w:r w:rsidR="00FB091C" w:rsidRPr="009E323B">
        <w:rPr>
          <w:lang w:val="en-GB"/>
        </w:rPr>
        <w:t>:</w:t>
      </w:r>
    </w:p>
    <w:p w:rsidR="00FB091C" w:rsidRPr="009E323B" w:rsidRDefault="00E50903" w:rsidP="00E47F7A">
      <w:pPr>
        <w:pStyle w:val="SingleTxtG"/>
        <w:rPr>
          <w:lang w:val="en-GB"/>
        </w:rPr>
      </w:pPr>
      <w:r>
        <w:rPr>
          <w:lang w:val="en-GB"/>
        </w:rPr>
        <w:t>“</w:t>
      </w:r>
      <w:r w:rsidR="00FB091C" w:rsidRPr="00E50903">
        <w:rPr>
          <w:i/>
          <w:lang w:val="en-GB"/>
        </w:rPr>
        <w:t>Over-moulded cylinder</w:t>
      </w:r>
      <w:r w:rsidR="00FF20EC" w:rsidRPr="009E323B">
        <w:rPr>
          <w:lang w:val="en-GB"/>
        </w:rPr>
        <w:t xml:space="preserve"> </w:t>
      </w:r>
      <w:r w:rsidR="00FB091C" w:rsidRPr="009E323B">
        <w:rPr>
          <w:lang w:val="en-GB"/>
        </w:rPr>
        <w:t xml:space="preserve">means a </w:t>
      </w:r>
      <w:r w:rsidR="0041196A" w:rsidRPr="009E323B">
        <w:rPr>
          <w:lang w:val="en-GB"/>
        </w:rPr>
        <w:t>cylinder</w:t>
      </w:r>
      <w:r w:rsidR="00EC2840" w:rsidRPr="009E323B">
        <w:rPr>
          <w:lang w:val="en-GB"/>
        </w:rPr>
        <w:t xml:space="preserve"> </w:t>
      </w:r>
      <w:r w:rsidR="00FB091C" w:rsidRPr="009E323B">
        <w:rPr>
          <w:lang w:val="en-GB"/>
        </w:rPr>
        <w:t xml:space="preserve">intended for the carriage of LPG of a water capacity not exceeding 13 litres made of a coated steel inner </w:t>
      </w:r>
      <w:r w:rsidR="00EC2840" w:rsidRPr="009E323B">
        <w:rPr>
          <w:lang w:val="en-GB"/>
        </w:rPr>
        <w:t>cylinder</w:t>
      </w:r>
      <w:r w:rsidR="00FB091C" w:rsidRPr="009E323B">
        <w:rPr>
          <w:lang w:val="en-GB"/>
        </w:rPr>
        <w:t xml:space="preserve"> with an over-moulded protective case made from cellular plastic</w:t>
      </w:r>
      <w:r w:rsidR="00EC2840" w:rsidRPr="009E323B">
        <w:rPr>
          <w:lang w:val="en-GB"/>
        </w:rPr>
        <w:t>,</w:t>
      </w:r>
      <w:r w:rsidR="00FB091C" w:rsidRPr="009E323B">
        <w:rPr>
          <w:lang w:val="en-GB"/>
        </w:rPr>
        <w:t xml:space="preserve"> which is non removable and bonded to the outer surface of the </w:t>
      </w:r>
      <w:r w:rsidR="00EC2840" w:rsidRPr="009E323B">
        <w:rPr>
          <w:lang w:val="en-GB"/>
        </w:rPr>
        <w:t>steel</w:t>
      </w:r>
      <w:r w:rsidR="00CD614B" w:rsidRPr="009E323B">
        <w:rPr>
          <w:lang w:val="en-GB"/>
        </w:rPr>
        <w:t xml:space="preserve"> </w:t>
      </w:r>
      <w:r w:rsidR="00EC2840" w:rsidRPr="009E323B">
        <w:rPr>
          <w:lang w:val="en-GB"/>
        </w:rPr>
        <w:t xml:space="preserve">cylinder </w:t>
      </w:r>
      <w:r w:rsidR="00717B32">
        <w:rPr>
          <w:lang w:val="en-GB"/>
        </w:rPr>
        <w:t>wall;”.</w:t>
      </w:r>
    </w:p>
    <w:p w:rsidR="00FB091C" w:rsidRPr="009E323B" w:rsidRDefault="00717B32" w:rsidP="00E47F7A">
      <w:pPr>
        <w:pStyle w:val="SingleTxtG"/>
        <w:rPr>
          <w:lang w:val="en-GB"/>
        </w:rPr>
      </w:pPr>
      <w:r>
        <w:rPr>
          <w:lang w:val="en-GB"/>
        </w:rPr>
        <w:t>20</w:t>
      </w:r>
      <w:r w:rsidR="00E47F7A" w:rsidRPr="009E323B">
        <w:rPr>
          <w:lang w:val="en-GB"/>
        </w:rPr>
        <w:t>.</w:t>
      </w:r>
      <w:r w:rsidR="00E47F7A" w:rsidRPr="009E323B">
        <w:rPr>
          <w:lang w:val="en-GB"/>
        </w:rPr>
        <w:tab/>
      </w:r>
      <w:r w:rsidR="00A31303" w:rsidRPr="009E323B">
        <w:rPr>
          <w:lang w:val="en-GB"/>
        </w:rPr>
        <w:t xml:space="preserve">Insert </w:t>
      </w:r>
      <w:r>
        <w:rPr>
          <w:lang w:val="en-GB"/>
        </w:rPr>
        <w:t>“</w:t>
      </w:r>
      <w:r w:rsidR="00A31303" w:rsidRPr="009E323B">
        <w:rPr>
          <w:lang w:val="en-GB"/>
        </w:rPr>
        <w:t>6XY</w:t>
      </w:r>
      <w:r>
        <w:rPr>
          <w:lang w:val="en-GB"/>
        </w:rPr>
        <w:t>”</w:t>
      </w:r>
      <w:r w:rsidR="00A31303" w:rsidRPr="009E323B">
        <w:rPr>
          <w:lang w:val="en-GB"/>
        </w:rPr>
        <w:t xml:space="preserve"> in column (6) of the Dangerous Goods list for the entries for UN numbers 1011, 1075, 1965, 1969 and 1978.</w:t>
      </w:r>
    </w:p>
    <w:p w:rsidR="00B21041" w:rsidRPr="009E323B" w:rsidRDefault="00717B32" w:rsidP="00E47F7A">
      <w:pPr>
        <w:pStyle w:val="SingleTxtG"/>
        <w:rPr>
          <w:lang w:val="en-GB"/>
        </w:rPr>
      </w:pPr>
      <w:r>
        <w:rPr>
          <w:lang w:val="en-GB"/>
        </w:rPr>
        <w:t>21</w:t>
      </w:r>
      <w:r w:rsidR="00E47F7A" w:rsidRPr="009E323B">
        <w:rPr>
          <w:lang w:val="en-GB"/>
        </w:rPr>
        <w:t>.</w:t>
      </w:r>
      <w:r w:rsidR="00E47F7A" w:rsidRPr="009E323B">
        <w:rPr>
          <w:lang w:val="en-GB"/>
        </w:rPr>
        <w:tab/>
      </w:r>
      <w:r w:rsidR="00B21041" w:rsidRPr="009E323B">
        <w:rPr>
          <w:lang w:val="en-GB"/>
        </w:rPr>
        <w:t xml:space="preserve">Add the following </w:t>
      </w:r>
      <w:r w:rsidR="00C727A1" w:rsidRPr="009E323B">
        <w:rPr>
          <w:lang w:val="en-GB"/>
        </w:rPr>
        <w:t>specification</w:t>
      </w:r>
      <w:r w:rsidR="004358D0" w:rsidRPr="009E323B">
        <w:rPr>
          <w:lang w:val="en-GB"/>
        </w:rPr>
        <w:t xml:space="preserve"> about periodic inspection for over-m</w:t>
      </w:r>
      <w:r w:rsidR="00B21041" w:rsidRPr="009E323B">
        <w:rPr>
          <w:lang w:val="en-GB"/>
        </w:rPr>
        <w:t xml:space="preserve">oulded </w:t>
      </w:r>
      <w:r w:rsidR="004358D0" w:rsidRPr="009E323B">
        <w:rPr>
          <w:lang w:val="en-GB"/>
        </w:rPr>
        <w:t>c</w:t>
      </w:r>
      <w:r w:rsidR="00B21041" w:rsidRPr="009E323B">
        <w:rPr>
          <w:lang w:val="en-GB"/>
        </w:rPr>
        <w:t xml:space="preserve">ylinders in a new </w:t>
      </w:r>
      <w:r w:rsidR="004358D0" w:rsidRPr="009E323B">
        <w:rPr>
          <w:lang w:val="en-GB"/>
        </w:rPr>
        <w:t>sub-section</w:t>
      </w:r>
      <w:r w:rsidR="00B21041" w:rsidRPr="009E323B">
        <w:rPr>
          <w:lang w:val="en-GB"/>
        </w:rPr>
        <w:t xml:space="preserve"> 6.2.3.5.4 </w:t>
      </w:r>
      <w:r w:rsidR="00847C0C" w:rsidRPr="009E323B">
        <w:rPr>
          <w:lang w:val="en-GB"/>
        </w:rPr>
        <w:t>to read as follows</w:t>
      </w:r>
      <w:r w:rsidR="00B21041" w:rsidRPr="009E323B">
        <w:rPr>
          <w:lang w:val="en-GB"/>
        </w:rPr>
        <w:t>:</w:t>
      </w:r>
    </w:p>
    <w:p w:rsidR="00B21041" w:rsidRPr="009E323B" w:rsidRDefault="00717B32" w:rsidP="00E47F7A">
      <w:pPr>
        <w:pStyle w:val="SingleTxtG"/>
        <w:rPr>
          <w:lang w:val="en-GB"/>
        </w:rPr>
      </w:pPr>
      <w:r>
        <w:rPr>
          <w:lang w:val="en-GB"/>
        </w:rPr>
        <w:lastRenderedPageBreak/>
        <w:t>“</w:t>
      </w:r>
      <w:r w:rsidR="00E47F7A" w:rsidRPr="009E323B">
        <w:rPr>
          <w:lang w:val="en-GB"/>
        </w:rPr>
        <w:t>6.2.3.5.4</w:t>
      </w:r>
      <w:r w:rsidR="00E47F7A" w:rsidRPr="009E323B">
        <w:rPr>
          <w:lang w:val="en-GB"/>
        </w:rPr>
        <w:tab/>
      </w:r>
      <w:r w:rsidR="00B21041" w:rsidRPr="009E323B">
        <w:rPr>
          <w:lang w:val="en-GB"/>
        </w:rPr>
        <w:t>Over-moulded cylinders shall be subject to periodic inspection and tests in accordance with the speci</w:t>
      </w:r>
      <w:r w:rsidR="00A15650" w:rsidRPr="009E323B">
        <w:rPr>
          <w:lang w:val="en-GB"/>
        </w:rPr>
        <w:t>al</w:t>
      </w:r>
      <w:r w:rsidR="00B21041" w:rsidRPr="009E323B">
        <w:rPr>
          <w:lang w:val="en-GB"/>
        </w:rPr>
        <w:t xml:space="preserve"> provision 6XY</w:t>
      </w:r>
      <w:r>
        <w:rPr>
          <w:lang w:val="en-GB"/>
        </w:rPr>
        <w:t xml:space="preserve"> of Chapter 3.3.”.</w:t>
      </w:r>
    </w:p>
    <w:p w:rsidR="009135BA" w:rsidRPr="009E323B" w:rsidRDefault="00717B32" w:rsidP="00E47F7A">
      <w:pPr>
        <w:pStyle w:val="SingleTxtG"/>
        <w:rPr>
          <w:lang w:val="en-GB"/>
        </w:rPr>
      </w:pPr>
      <w:r>
        <w:rPr>
          <w:lang w:val="en-GB"/>
        </w:rPr>
        <w:t>22</w:t>
      </w:r>
      <w:r w:rsidR="00E47F7A" w:rsidRPr="009E323B">
        <w:rPr>
          <w:lang w:val="en-GB"/>
        </w:rPr>
        <w:t>.</w:t>
      </w:r>
      <w:r w:rsidR="00E47F7A" w:rsidRPr="009E323B">
        <w:rPr>
          <w:lang w:val="en-GB"/>
        </w:rPr>
        <w:tab/>
      </w:r>
      <w:r w:rsidR="009135BA" w:rsidRPr="009E323B">
        <w:rPr>
          <w:lang w:val="en-GB"/>
        </w:rPr>
        <w:t>Insert the following special provision in 3.3.1</w:t>
      </w:r>
      <w:r>
        <w:rPr>
          <w:lang w:val="en-GB"/>
        </w:rPr>
        <w:t>:</w:t>
      </w:r>
    </w:p>
    <w:p w:rsidR="009135BA" w:rsidRPr="00717B32" w:rsidRDefault="00717B32" w:rsidP="00717B32">
      <w:pPr>
        <w:pStyle w:val="SingleTxtG"/>
        <w:rPr>
          <w:lang w:val="en-GB"/>
        </w:rPr>
      </w:pPr>
      <w:r w:rsidRPr="00717B32">
        <w:rPr>
          <w:lang w:val="en-GB"/>
        </w:rPr>
        <w:t>“</w:t>
      </w:r>
      <w:r w:rsidR="009135BA" w:rsidRPr="00717B32">
        <w:rPr>
          <w:lang w:val="en-GB"/>
        </w:rPr>
        <w:t>6XY</w:t>
      </w:r>
      <w:r w:rsidR="009135BA" w:rsidRPr="00717B32">
        <w:rPr>
          <w:lang w:val="en-GB"/>
        </w:rPr>
        <w:tab/>
      </w:r>
      <w:proofErr w:type="gramStart"/>
      <w:r w:rsidR="009135BA" w:rsidRPr="00717B32">
        <w:rPr>
          <w:lang w:val="en-GB"/>
        </w:rPr>
        <w:t>This</w:t>
      </w:r>
      <w:proofErr w:type="gramEnd"/>
      <w:r w:rsidR="009135BA" w:rsidRPr="00717B32">
        <w:rPr>
          <w:lang w:val="en-GB"/>
        </w:rPr>
        <w:t xml:space="preserve"> entry applies to </w:t>
      </w:r>
      <w:r w:rsidR="008C1E78" w:rsidRPr="00717B32">
        <w:rPr>
          <w:lang w:val="en-GB"/>
        </w:rPr>
        <w:t>periodic i</w:t>
      </w:r>
      <w:r w:rsidR="009135BA" w:rsidRPr="00717B32">
        <w:rPr>
          <w:lang w:val="en-GB"/>
        </w:rPr>
        <w:t>nspection of over-moulded cylinders as defined in 1.2.1.</w:t>
      </w:r>
    </w:p>
    <w:p w:rsidR="00142BFC" w:rsidRPr="009E323B" w:rsidRDefault="008C1E78" w:rsidP="00E47F7A">
      <w:pPr>
        <w:pStyle w:val="SingleTxtG"/>
        <w:rPr>
          <w:lang w:val="en-GB"/>
        </w:rPr>
      </w:pPr>
      <w:r w:rsidRPr="009E323B">
        <w:rPr>
          <w:lang w:val="en-GB"/>
        </w:rPr>
        <w:t>Over-moulded c</w:t>
      </w:r>
      <w:r w:rsidR="00142BFC" w:rsidRPr="009E323B">
        <w:rPr>
          <w:lang w:val="en-GB"/>
        </w:rPr>
        <w:t xml:space="preserve">ylinders shall be subject to periodic inspection in accordance to the alternative method described </w:t>
      </w:r>
      <w:r w:rsidR="00A60058" w:rsidRPr="009E323B">
        <w:rPr>
          <w:lang w:val="en-GB"/>
        </w:rPr>
        <w:t xml:space="preserve">below, by </w:t>
      </w:r>
      <w:r w:rsidR="008B5A75" w:rsidRPr="009E323B">
        <w:rPr>
          <w:lang w:val="en-GB"/>
        </w:rPr>
        <w:t>fulfilment</w:t>
      </w:r>
      <w:r w:rsidR="00A60058" w:rsidRPr="009E323B">
        <w:rPr>
          <w:lang w:val="en-GB"/>
        </w:rPr>
        <w:t xml:space="preserve"> of all requirements of th</w:t>
      </w:r>
      <w:r w:rsidR="00A15650" w:rsidRPr="009E323B">
        <w:rPr>
          <w:lang w:val="en-GB"/>
        </w:rPr>
        <w:t>e</w:t>
      </w:r>
      <w:r w:rsidR="00A60058" w:rsidRPr="009E323B">
        <w:rPr>
          <w:lang w:val="en-GB"/>
        </w:rPr>
        <w:t xml:space="preserve"> present speci</w:t>
      </w:r>
      <w:r w:rsidR="00A15650" w:rsidRPr="009E323B">
        <w:rPr>
          <w:lang w:val="en-GB"/>
        </w:rPr>
        <w:t>al</w:t>
      </w:r>
      <w:r w:rsidR="00A60058" w:rsidRPr="009E323B">
        <w:rPr>
          <w:lang w:val="en-GB"/>
        </w:rPr>
        <w:t xml:space="preserve"> provision</w:t>
      </w:r>
      <w:r w:rsidR="00142BFC" w:rsidRPr="009E323B">
        <w:rPr>
          <w:lang w:val="en-GB"/>
        </w:rPr>
        <w:t>.</w:t>
      </w:r>
    </w:p>
    <w:p w:rsidR="00142BFC" w:rsidRPr="009E323B" w:rsidRDefault="00A60058" w:rsidP="00E47F7A">
      <w:pPr>
        <w:pStyle w:val="SingleTxtG"/>
        <w:rPr>
          <w:u w:val="single"/>
          <w:lang w:val="en-GB"/>
        </w:rPr>
      </w:pPr>
      <w:r w:rsidRPr="009E323B">
        <w:rPr>
          <w:u w:val="single"/>
          <w:lang w:val="en-GB"/>
        </w:rPr>
        <w:t xml:space="preserve">Alternative </w:t>
      </w:r>
      <w:r w:rsidR="00634770" w:rsidRPr="009E323B">
        <w:rPr>
          <w:u w:val="single"/>
          <w:lang w:val="en-GB"/>
        </w:rPr>
        <w:t>Method:</w:t>
      </w:r>
    </w:p>
    <w:p w:rsidR="00A60058" w:rsidRPr="009E323B" w:rsidRDefault="00E47F7A" w:rsidP="00717B32">
      <w:pPr>
        <w:pStyle w:val="SingleTxtG"/>
        <w:rPr>
          <w:lang w:val="en-GB"/>
        </w:rPr>
      </w:pPr>
      <w:r w:rsidRPr="009E323B">
        <w:rPr>
          <w:lang w:val="en-GB"/>
        </w:rPr>
        <w:t>-</w:t>
      </w:r>
      <w:r w:rsidRPr="009E323B">
        <w:rPr>
          <w:lang w:val="en-GB"/>
        </w:rPr>
        <w:tab/>
      </w:r>
      <w:r w:rsidR="00A60058" w:rsidRPr="009E323B">
        <w:rPr>
          <w:lang w:val="en-GB"/>
        </w:rPr>
        <w:t>The requirements of 6.2.1.6.1 b), c) and e) shall be fulfilled for each over-moulded cylinder.</w:t>
      </w:r>
    </w:p>
    <w:p w:rsidR="00A60058" w:rsidRPr="009E323B" w:rsidRDefault="00E47F7A" w:rsidP="00717B32">
      <w:pPr>
        <w:pStyle w:val="SingleTxtG"/>
        <w:rPr>
          <w:lang w:val="en-GB"/>
        </w:rPr>
      </w:pPr>
      <w:r w:rsidRPr="009E323B">
        <w:rPr>
          <w:lang w:val="en-GB"/>
        </w:rPr>
        <w:t>-</w:t>
      </w:r>
      <w:r w:rsidRPr="009E323B">
        <w:rPr>
          <w:lang w:val="en-GB"/>
        </w:rPr>
        <w:tab/>
      </w:r>
      <w:r w:rsidR="00A60058" w:rsidRPr="009E323B">
        <w:rPr>
          <w:lang w:val="en-GB"/>
        </w:rPr>
        <w:t xml:space="preserve">Tests of 6.2.1.6.1 a) and d) shall be respectively replaced by the </w:t>
      </w:r>
      <w:r w:rsidR="007714D9" w:rsidRPr="009E323B">
        <w:rPr>
          <w:lang w:val="en-GB"/>
        </w:rPr>
        <w:t xml:space="preserve">destructive tests </w:t>
      </w:r>
      <w:r w:rsidR="00A60058" w:rsidRPr="009E323B">
        <w:rPr>
          <w:lang w:val="en-GB"/>
        </w:rPr>
        <w:t>described in paragraph (e)</w:t>
      </w:r>
      <w:r w:rsidR="00717B32">
        <w:rPr>
          <w:lang w:val="en-GB"/>
        </w:rPr>
        <w:t>.</w:t>
      </w:r>
    </w:p>
    <w:p w:rsidR="009135BA" w:rsidRPr="009E323B" w:rsidRDefault="00E47F7A" w:rsidP="00E47F7A">
      <w:pPr>
        <w:pStyle w:val="SingleTxtG"/>
        <w:ind w:firstLine="567"/>
        <w:rPr>
          <w:lang w:val="en-GB"/>
        </w:rPr>
      </w:pPr>
      <w:r w:rsidRPr="009E323B">
        <w:rPr>
          <w:lang w:val="en-GB"/>
        </w:rPr>
        <w:t>(a)</w:t>
      </w:r>
      <w:r w:rsidRPr="009E323B">
        <w:rPr>
          <w:lang w:val="en-GB"/>
        </w:rPr>
        <w:tab/>
      </w:r>
      <w:r w:rsidR="009135BA" w:rsidRPr="009E323B">
        <w:rPr>
          <w:lang w:val="en-GB"/>
        </w:rPr>
        <w:t>General</w:t>
      </w:r>
    </w:p>
    <w:p w:rsidR="009135BA" w:rsidRPr="009E323B" w:rsidRDefault="009135BA" w:rsidP="00990E3D">
      <w:pPr>
        <w:pStyle w:val="SingleTxtG"/>
        <w:ind w:left="2268"/>
        <w:rPr>
          <w:lang w:val="en-GB"/>
        </w:rPr>
      </w:pPr>
      <w:r w:rsidRPr="009E323B">
        <w:rPr>
          <w:lang w:val="en-GB"/>
        </w:rPr>
        <w:t xml:space="preserve">Over-moulded cylinders shall be produced serially and based on steel cylinders in accordance with </w:t>
      </w:r>
      <w:r w:rsidR="00F76846" w:rsidRPr="009E323B">
        <w:rPr>
          <w:lang w:val="en-GB"/>
        </w:rPr>
        <w:t>pr</w:t>
      </w:r>
      <w:r w:rsidRPr="009E323B">
        <w:rPr>
          <w:lang w:val="en-GB"/>
        </w:rPr>
        <w:t>EN1442</w:t>
      </w:r>
      <w:r w:rsidR="00F76846" w:rsidRPr="009E323B">
        <w:rPr>
          <w:lang w:val="en-GB"/>
        </w:rPr>
        <w:t>:2014</w:t>
      </w:r>
      <w:r w:rsidRPr="009E323B">
        <w:rPr>
          <w:lang w:val="en-GB"/>
        </w:rPr>
        <w:t>, EN14140</w:t>
      </w:r>
      <w:r w:rsidR="00F76846" w:rsidRPr="009E323B">
        <w:rPr>
          <w:lang w:val="en-GB"/>
        </w:rPr>
        <w:t>:2015</w:t>
      </w:r>
      <w:r w:rsidRPr="009E323B">
        <w:rPr>
          <w:lang w:val="en-GB"/>
        </w:rPr>
        <w:t xml:space="preserve"> or annex I, parts 1 to 3 to Council Directive 84/527/EEC. The design of the over-moulding shall prevent water penetrating to the inner steel cylinder. The conversion of the base steel cylinder to an over-moulded cylinder shall conform to the relevant requirements of </w:t>
      </w:r>
      <w:r w:rsidR="00F76846" w:rsidRPr="009E323B">
        <w:rPr>
          <w:lang w:val="en-GB"/>
        </w:rPr>
        <w:t>pr</w:t>
      </w:r>
      <w:r w:rsidRPr="009E323B">
        <w:rPr>
          <w:lang w:val="en-GB"/>
        </w:rPr>
        <w:t>EN1442</w:t>
      </w:r>
      <w:r w:rsidR="00F76846" w:rsidRPr="009E323B">
        <w:rPr>
          <w:lang w:val="en-GB"/>
        </w:rPr>
        <w:t>:2014</w:t>
      </w:r>
      <w:r w:rsidRPr="009E323B">
        <w:rPr>
          <w:lang w:val="en-GB"/>
        </w:rPr>
        <w:t xml:space="preserve"> and EN14140</w:t>
      </w:r>
      <w:r w:rsidR="00F76846" w:rsidRPr="009E323B">
        <w:rPr>
          <w:lang w:val="en-GB"/>
        </w:rPr>
        <w:t>:2015</w:t>
      </w:r>
      <w:r w:rsidRPr="009E323B">
        <w:rPr>
          <w:lang w:val="en-GB"/>
        </w:rPr>
        <w:t>.</w:t>
      </w:r>
    </w:p>
    <w:p w:rsidR="009135BA" w:rsidRPr="009E323B" w:rsidRDefault="009135BA" w:rsidP="00990E3D">
      <w:pPr>
        <w:pStyle w:val="SingleTxtG"/>
        <w:ind w:left="2268"/>
        <w:rPr>
          <w:lang w:val="en-GB"/>
        </w:rPr>
      </w:pPr>
      <w:r w:rsidRPr="009E323B">
        <w:rPr>
          <w:lang w:val="en-GB"/>
        </w:rPr>
        <w:t>Over-moulded cylinders shall be equipped with self-closing valves</w:t>
      </w:r>
      <w:r w:rsidR="00717B32">
        <w:rPr>
          <w:lang w:val="en-GB"/>
        </w:rPr>
        <w:t>.</w:t>
      </w:r>
    </w:p>
    <w:p w:rsidR="009135BA" w:rsidRPr="009E323B" w:rsidRDefault="009135BA" w:rsidP="00990E3D">
      <w:pPr>
        <w:pStyle w:val="SingleTxtG"/>
        <w:ind w:left="2268"/>
        <w:rPr>
          <w:lang w:val="en-GB"/>
        </w:rPr>
      </w:pPr>
      <w:r w:rsidRPr="009E323B">
        <w:rPr>
          <w:rFonts w:eastAsia="MS Mincho"/>
          <w:lang w:val="en-GB" w:eastAsia="ja-JP"/>
        </w:rPr>
        <w:t>Before filling, each over-moulded cylinder shall be submitted to a visual external prefill inspection by a competent operator. If during this inspection, the outer surface of an over-moulded cylinder is not free from material gouges, cuts or cracks that may harm the protection against corrosion of the inner steel pressure receptacle as defined in EN1439:2008 annex G, the over-moulded cylinder shall be removed from service</w:t>
      </w:r>
      <w:r w:rsidR="00717B32">
        <w:rPr>
          <w:rFonts w:eastAsia="MS Mincho"/>
          <w:lang w:val="en-GB" w:eastAsia="ja-JP"/>
        </w:rPr>
        <w:t>.</w:t>
      </w:r>
    </w:p>
    <w:p w:rsidR="00A60058" w:rsidRPr="009E323B" w:rsidRDefault="00E47F7A" w:rsidP="00E47F7A">
      <w:pPr>
        <w:pStyle w:val="SingleTxtG"/>
        <w:ind w:firstLine="567"/>
        <w:rPr>
          <w:lang w:val="en-GB"/>
        </w:rPr>
      </w:pPr>
      <w:r w:rsidRPr="009E323B">
        <w:rPr>
          <w:lang w:val="en-GB"/>
        </w:rPr>
        <w:t>(b)</w:t>
      </w:r>
      <w:r w:rsidRPr="009E323B">
        <w:rPr>
          <w:lang w:val="en-GB"/>
        </w:rPr>
        <w:tab/>
      </w:r>
      <w:r w:rsidR="00A60058" w:rsidRPr="009E323B">
        <w:rPr>
          <w:lang w:val="en-GB"/>
        </w:rPr>
        <w:t>Grouping for statistical purpose</w:t>
      </w:r>
    </w:p>
    <w:p w:rsidR="00A60058" w:rsidRPr="009E323B" w:rsidRDefault="00A60058" w:rsidP="00990E3D">
      <w:pPr>
        <w:pStyle w:val="SingleTxtG"/>
        <w:ind w:left="2268"/>
        <w:rPr>
          <w:lang w:val="en-GB"/>
        </w:rPr>
      </w:pPr>
      <w:r w:rsidRPr="009E323B">
        <w:rPr>
          <w:lang w:val="en-GB"/>
        </w:rPr>
        <w:t>A production group of over-moulded cylinders is defined as the production of cylinders from a single over-moulding company using inner cylinders manufactured by one manufacturer within one calendar year, composed of cylinders with the same design, material and production process.</w:t>
      </w:r>
    </w:p>
    <w:p w:rsidR="00A60058" w:rsidRPr="009E323B" w:rsidRDefault="00D82B39" w:rsidP="00E47F7A">
      <w:pPr>
        <w:pStyle w:val="SingleTxtG"/>
        <w:ind w:firstLine="567"/>
        <w:rPr>
          <w:lang w:val="en-GB"/>
        </w:rPr>
      </w:pPr>
      <w:r w:rsidRPr="009E323B">
        <w:rPr>
          <w:lang w:val="en-GB"/>
        </w:rPr>
        <w:t>(c)</w:t>
      </w:r>
      <w:r w:rsidR="00E47F7A" w:rsidRPr="009E323B">
        <w:rPr>
          <w:lang w:val="en-GB"/>
        </w:rPr>
        <w:tab/>
      </w:r>
      <w:r w:rsidR="00A60058" w:rsidRPr="009E323B">
        <w:rPr>
          <w:lang w:val="en-GB"/>
        </w:rPr>
        <w:t>Traceability</w:t>
      </w:r>
    </w:p>
    <w:p w:rsidR="00A60058" w:rsidRPr="009E323B" w:rsidRDefault="00A60058" w:rsidP="00990E3D">
      <w:pPr>
        <w:pStyle w:val="SingleTxtG"/>
        <w:ind w:left="2268"/>
        <w:rPr>
          <w:lang w:val="en-GB"/>
        </w:rPr>
      </w:pPr>
      <w:r w:rsidRPr="009E323B">
        <w:rPr>
          <w:lang w:val="en-GB"/>
        </w:rPr>
        <w:t xml:space="preserve">Inner steel cylinders marking in accordance to 6.2.3.9 shall be repeated on the over-moulding. In addition, each over-moulded cylinder shall be fitted, with an individual resilient electronic identification device. The detailed characteristics of the over-moulded cylinders are recorded in an information technology database. The database shall </w:t>
      </w:r>
      <w:r w:rsidR="00F014A3" w:rsidRPr="009E323B">
        <w:rPr>
          <w:lang w:val="en-GB"/>
        </w:rPr>
        <w:t>enable:</w:t>
      </w:r>
    </w:p>
    <w:p w:rsidR="00A60058" w:rsidRPr="009E323B" w:rsidRDefault="00717B32" w:rsidP="00717B32">
      <w:pPr>
        <w:pStyle w:val="Bullet1G"/>
        <w:numPr>
          <w:ilvl w:val="0"/>
          <w:numId w:val="0"/>
        </w:numPr>
        <w:ind w:left="2268"/>
      </w:pPr>
      <w:r>
        <w:t>-</w:t>
      </w:r>
      <w:r>
        <w:tab/>
      </w:r>
      <w:r w:rsidR="00F76846" w:rsidRPr="009E323B">
        <w:t>To make available</w:t>
      </w:r>
      <w:r w:rsidR="00A60058" w:rsidRPr="009E323B">
        <w:t xml:space="preserve"> the specific technical characteristics of the cylinders (incl. a clear identification of the batch of the steel cylinder production and of the production batch of the over-moulding</w:t>
      </w:r>
      <w:r w:rsidR="007714D9" w:rsidRPr="009E323B">
        <w:t>, and the day of over-moulding) to competent authorities, inspection bodies or filling centres</w:t>
      </w:r>
      <w:r>
        <w:t>;</w:t>
      </w:r>
    </w:p>
    <w:p w:rsidR="00A60058" w:rsidRPr="009E323B" w:rsidRDefault="00717B32" w:rsidP="00717B32">
      <w:pPr>
        <w:pStyle w:val="Bullet1G"/>
        <w:numPr>
          <w:ilvl w:val="0"/>
          <w:numId w:val="0"/>
        </w:numPr>
        <w:ind w:left="2268"/>
      </w:pPr>
      <w:r>
        <w:t>-</w:t>
      </w:r>
      <w:r>
        <w:tab/>
      </w:r>
      <w:r w:rsidR="00A60058" w:rsidRPr="009E323B">
        <w:t>To identify the cylinder by linking the serial number and the electronic device to the database</w:t>
      </w:r>
      <w:r>
        <w:t>;</w:t>
      </w:r>
    </w:p>
    <w:p w:rsidR="00A60058" w:rsidRPr="009E323B" w:rsidRDefault="00717B32" w:rsidP="00717B32">
      <w:pPr>
        <w:pStyle w:val="Bullet1G"/>
        <w:numPr>
          <w:ilvl w:val="0"/>
          <w:numId w:val="0"/>
        </w:numPr>
        <w:ind w:left="2268"/>
      </w:pPr>
      <w:r>
        <w:lastRenderedPageBreak/>
        <w:t>-</w:t>
      </w:r>
      <w:r>
        <w:tab/>
      </w:r>
      <w:r w:rsidR="00A60058" w:rsidRPr="009E323B">
        <w:t>To check past and upcoming measures (filling, retesting, withdraw</w:t>
      </w:r>
      <w:r w:rsidR="008C1E78" w:rsidRPr="009E323B">
        <w:t>al</w:t>
      </w:r>
      <w:r w:rsidR="00A60058" w:rsidRPr="009E323B">
        <w:t>, sampling and others)</w:t>
      </w:r>
      <w:r>
        <w:t>;</w:t>
      </w:r>
    </w:p>
    <w:p w:rsidR="00305E1E" w:rsidRPr="009E323B" w:rsidRDefault="00717B32" w:rsidP="00717B32">
      <w:pPr>
        <w:pStyle w:val="Bullet1G"/>
        <w:numPr>
          <w:ilvl w:val="0"/>
          <w:numId w:val="0"/>
        </w:numPr>
        <w:ind w:left="2268"/>
      </w:pPr>
      <w:r>
        <w:t>-</w:t>
      </w:r>
      <w:r>
        <w:tab/>
      </w:r>
      <w:r w:rsidR="00A60058" w:rsidRPr="009E323B">
        <w:t>Recording of date and place of performed measures</w:t>
      </w:r>
      <w:r>
        <w:t>.</w:t>
      </w:r>
    </w:p>
    <w:p w:rsidR="007714D9" w:rsidRPr="009E323B" w:rsidRDefault="007714D9" w:rsidP="00717B32">
      <w:pPr>
        <w:pStyle w:val="SingleTxtG"/>
        <w:ind w:left="2268"/>
        <w:rPr>
          <w:lang w:val="en-GB"/>
        </w:rPr>
      </w:pPr>
      <w:r w:rsidRPr="009E323B">
        <w:rPr>
          <w:lang w:val="en-GB"/>
        </w:rPr>
        <w:t xml:space="preserve">The test results shall be recorded and kept available by the owner of the over-moulded cylinders for </w:t>
      </w:r>
      <w:r w:rsidR="00F76846" w:rsidRPr="009E323B">
        <w:rPr>
          <w:lang w:val="en-GB"/>
        </w:rPr>
        <w:t>the entire life of the group</w:t>
      </w:r>
      <w:r w:rsidRPr="009E323B">
        <w:rPr>
          <w:lang w:val="en-GB"/>
        </w:rPr>
        <w:t>.</w:t>
      </w:r>
    </w:p>
    <w:p w:rsidR="007714D9" w:rsidRPr="009E323B" w:rsidRDefault="005934A0" w:rsidP="005934A0">
      <w:pPr>
        <w:pStyle w:val="SingleTxtG"/>
        <w:ind w:firstLine="567"/>
        <w:rPr>
          <w:lang w:val="en-GB"/>
        </w:rPr>
      </w:pPr>
      <w:r w:rsidRPr="009E323B">
        <w:rPr>
          <w:lang w:val="en-GB"/>
        </w:rPr>
        <w:t>(d)</w:t>
      </w:r>
      <w:r w:rsidRPr="009E323B">
        <w:rPr>
          <w:lang w:val="en-GB"/>
        </w:rPr>
        <w:tab/>
      </w:r>
      <w:r w:rsidR="007714D9" w:rsidRPr="009E323B">
        <w:rPr>
          <w:lang w:val="en-GB"/>
        </w:rPr>
        <w:t>Sampling for statistical assessment</w:t>
      </w:r>
    </w:p>
    <w:p w:rsidR="007714D9" w:rsidRPr="009E323B" w:rsidRDefault="007714D9" w:rsidP="00990E3D">
      <w:pPr>
        <w:pStyle w:val="SingleTxtG"/>
        <w:ind w:left="2268"/>
        <w:rPr>
          <w:lang w:val="en-GB"/>
        </w:rPr>
      </w:pPr>
      <w:r w:rsidRPr="009E323B">
        <w:rPr>
          <w:lang w:val="en-GB"/>
        </w:rPr>
        <w:t xml:space="preserve">The sampling shall be random, representative </w:t>
      </w:r>
      <w:r w:rsidR="008C1E78" w:rsidRPr="009E323B">
        <w:rPr>
          <w:lang w:val="en-GB"/>
        </w:rPr>
        <w:t>for</w:t>
      </w:r>
      <w:r w:rsidRPr="009E323B">
        <w:rPr>
          <w:lang w:val="en-GB"/>
        </w:rPr>
        <w:t xml:space="preserve"> each possible owner. The minimum size of each sample per production group shall be in accordance with the table of paragraph (f).</w:t>
      </w:r>
    </w:p>
    <w:p w:rsidR="007714D9" w:rsidRPr="009E323B" w:rsidRDefault="005934A0" w:rsidP="005934A0">
      <w:pPr>
        <w:pStyle w:val="SingleTxtG"/>
        <w:ind w:firstLine="567"/>
        <w:rPr>
          <w:lang w:val="en-GB"/>
        </w:rPr>
      </w:pPr>
      <w:r w:rsidRPr="009E323B">
        <w:rPr>
          <w:lang w:val="en-GB"/>
        </w:rPr>
        <w:t>(e)</w:t>
      </w:r>
      <w:r w:rsidRPr="009E323B">
        <w:rPr>
          <w:lang w:val="en-GB"/>
        </w:rPr>
        <w:tab/>
      </w:r>
      <w:r w:rsidR="007714D9" w:rsidRPr="009E323B">
        <w:rPr>
          <w:lang w:val="en-GB"/>
        </w:rPr>
        <w:t>Test Method for destructive testing</w:t>
      </w:r>
    </w:p>
    <w:p w:rsidR="007714D9" w:rsidRPr="009E323B" w:rsidRDefault="007714D9" w:rsidP="00990E3D">
      <w:pPr>
        <w:pStyle w:val="SingleTxtG"/>
        <w:ind w:left="2268"/>
        <w:rPr>
          <w:lang w:val="en-GB"/>
        </w:rPr>
      </w:pPr>
      <w:r w:rsidRPr="009E323B">
        <w:rPr>
          <w:lang w:val="en-GB"/>
        </w:rPr>
        <w:t>The test of 6.2.1.6.1 a) shall be replaced by a visual external inspection of each over-moulded cylinder and shall be completed by the following procedures</w:t>
      </w:r>
      <w:r w:rsidR="00717B32">
        <w:rPr>
          <w:lang w:val="en-GB"/>
        </w:rPr>
        <w:t>:</w:t>
      </w:r>
    </w:p>
    <w:p w:rsidR="007714D9" w:rsidRPr="009E323B" w:rsidRDefault="00717B32" w:rsidP="00717B32">
      <w:pPr>
        <w:pStyle w:val="Bullet1G"/>
        <w:numPr>
          <w:ilvl w:val="0"/>
          <w:numId w:val="0"/>
        </w:numPr>
        <w:ind w:left="2268"/>
      </w:pPr>
      <w:r>
        <w:t>-</w:t>
      </w:r>
      <w:r>
        <w:tab/>
      </w:r>
      <w:r w:rsidR="007714D9" w:rsidRPr="009E323B">
        <w:t xml:space="preserve">Destructive adhesion tests (according to </w:t>
      </w:r>
      <w:r w:rsidR="00F014A3" w:rsidRPr="009E323B">
        <w:t xml:space="preserve">EN 1442 and </w:t>
      </w:r>
      <w:r w:rsidR="007714D9" w:rsidRPr="009E323B">
        <w:t xml:space="preserve">EN14140:2014) and peeling tests </w:t>
      </w:r>
      <w:r w:rsidR="00F014A3" w:rsidRPr="009E323B">
        <w:t>(according to EN ISO 4628-3:2005</w:t>
      </w:r>
      <w:r w:rsidR="007714D9" w:rsidRPr="009E323B">
        <w:t xml:space="preserve">) shall be performed to check that there is no </w:t>
      </w:r>
      <w:r w:rsidR="00046DE6" w:rsidRPr="009E323B">
        <w:t xml:space="preserve">risk of </w:t>
      </w:r>
      <w:r w:rsidR="007714D9" w:rsidRPr="009E323B">
        <w:t xml:space="preserve">external corrosion on the receptacle wall and the cellular plastic case keeps its adhesive properties </w:t>
      </w:r>
      <w:r w:rsidR="008C1E78" w:rsidRPr="009E323B">
        <w:t>over</w:t>
      </w:r>
      <w:r w:rsidR="007714D9" w:rsidRPr="009E323B">
        <w:t xml:space="preserve"> time. Each of these tests shall be performed on a sample per production group.</w:t>
      </w:r>
    </w:p>
    <w:p w:rsidR="007714D9" w:rsidRPr="009E323B" w:rsidRDefault="007714D9" w:rsidP="00717B32">
      <w:pPr>
        <w:pStyle w:val="SingleTxtG"/>
        <w:ind w:left="2268"/>
        <w:rPr>
          <w:lang w:val="en-GB"/>
        </w:rPr>
      </w:pPr>
      <w:r w:rsidRPr="009E323B">
        <w:rPr>
          <w:lang w:val="en-GB"/>
        </w:rPr>
        <w:t>The test of 6.2.1.6.1 d) shall be replaced by the following procedures</w:t>
      </w:r>
      <w:r w:rsidR="00717B32">
        <w:rPr>
          <w:lang w:val="en-GB"/>
        </w:rPr>
        <w:t>:</w:t>
      </w:r>
    </w:p>
    <w:p w:rsidR="007714D9" w:rsidRPr="009E323B" w:rsidRDefault="00717B32" w:rsidP="00717B32">
      <w:pPr>
        <w:pStyle w:val="Bullet1G"/>
        <w:numPr>
          <w:ilvl w:val="0"/>
          <w:numId w:val="0"/>
        </w:numPr>
        <w:ind w:left="2268"/>
      </w:pPr>
      <w:r>
        <w:t>-</w:t>
      </w:r>
      <w:r>
        <w:tab/>
      </w:r>
      <w:r w:rsidR="007714D9" w:rsidRPr="009E323B">
        <w:t>The hydraulic pressure test of 6.2.1.6.1 (d) shall be substituted by a burst test (according to EN 1442 and EN 14140:2014) on a sample per production group.</w:t>
      </w:r>
    </w:p>
    <w:p w:rsidR="00374CB2" w:rsidRPr="009E323B" w:rsidRDefault="00374CB2" w:rsidP="00717B32">
      <w:pPr>
        <w:pStyle w:val="SingleTxtG"/>
        <w:ind w:left="2268"/>
        <w:rPr>
          <w:lang w:val="en-GB"/>
        </w:rPr>
      </w:pPr>
      <w:r w:rsidRPr="009E323B">
        <w:rPr>
          <w:lang w:val="en-GB"/>
        </w:rPr>
        <w:t>Dest</w:t>
      </w:r>
      <w:r w:rsidR="008C1E78" w:rsidRPr="009E323B">
        <w:rPr>
          <w:lang w:val="en-GB"/>
        </w:rPr>
        <w:t>ructive a</w:t>
      </w:r>
      <w:r w:rsidRPr="009E323B">
        <w:rPr>
          <w:lang w:val="en-GB"/>
        </w:rPr>
        <w:t>dhesion tests,</w:t>
      </w:r>
      <w:r w:rsidR="008C1E78" w:rsidRPr="009E323B">
        <w:rPr>
          <w:lang w:val="en-GB"/>
        </w:rPr>
        <w:t xml:space="preserve"> peeling tests and burst t</w:t>
      </w:r>
      <w:r w:rsidRPr="009E323B">
        <w:rPr>
          <w:lang w:val="en-GB"/>
        </w:rPr>
        <w:t xml:space="preserve">ests, according to the above procedures, shall be done after 3 years in service and thereafter every 5 years. </w:t>
      </w:r>
    </w:p>
    <w:p w:rsidR="00837DC1" w:rsidRPr="009E323B" w:rsidRDefault="005934A0" w:rsidP="005934A0">
      <w:pPr>
        <w:pStyle w:val="SingleTxtG"/>
        <w:ind w:firstLine="567"/>
        <w:rPr>
          <w:lang w:val="en-GB"/>
        </w:rPr>
      </w:pPr>
      <w:r w:rsidRPr="009E323B">
        <w:rPr>
          <w:lang w:val="en-GB"/>
        </w:rPr>
        <w:t>(f)</w:t>
      </w:r>
      <w:r w:rsidRPr="009E323B">
        <w:rPr>
          <w:lang w:val="en-GB"/>
        </w:rPr>
        <w:tab/>
      </w:r>
      <w:r w:rsidR="00837DC1" w:rsidRPr="009E323B">
        <w:rPr>
          <w:lang w:val="en-GB"/>
        </w:rPr>
        <w:t>Statistical evaluation of tests results</w:t>
      </w:r>
      <w:r w:rsidR="00B91738" w:rsidRPr="009E323B">
        <w:rPr>
          <w:lang w:val="en-GB"/>
        </w:rPr>
        <w:t xml:space="preserve"> - Method</w:t>
      </w:r>
    </w:p>
    <w:p w:rsidR="00837DC1" w:rsidRPr="009E323B" w:rsidRDefault="00B3124A" w:rsidP="00990E3D">
      <w:pPr>
        <w:pStyle w:val="SingleTxtG"/>
        <w:ind w:left="2268"/>
        <w:rPr>
          <w:lang w:val="en-GB"/>
        </w:rPr>
      </w:pPr>
      <w:r w:rsidRPr="009E323B">
        <w:rPr>
          <w:lang w:val="en-GB"/>
        </w:rPr>
        <w:t>The procedure for statistical evaluation is described in the following table and its related comments</w:t>
      </w:r>
      <w:r w:rsidR="00717B32">
        <w:rPr>
          <w:lang w:val="en-GB"/>
        </w:rPr>
        <w:t>:</w:t>
      </w:r>
    </w:p>
    <w:p w:rsidR="002D5E46" w:rsidRPr="009E323B" w:rsidRDefault="003E5DE2" w:rsidP="005934A0">
      <w:pPr>
        <w:suppressAutoHyphens w:val="0"/>
        <w:spacing w:line="240" w:lineRule="auto"/>
      </w:pPr>
      <w:r w:rsidRPr="009E323B">
        <w:br w:type="page"/>
      </w:r>
    </w:p>
    <w:tbl>
      <w:tblPr>
        <w:tblW w:w="9870" w:type="dxa"/>
        <w:tblInd w:w="30" w:type="dxa"/>
        <w:tblLayout w:type="fixed"/>
        <w:tblCellMar>
          <w:left w:w="0" w:type="dxa"/>
          <w:right w:w="0" w:type="dxa"/>
        </w:tblCellMar>
        <w:tblLook w:val="04A0" w:firstRow="1" w:lastRow="0" w:firstColumn="1" w:lastColumn="0" w:noHBand="0" w:noVBand="1"/>
      </w:tblPr>
      <w:tblGrid>
        <w:gridCol w:w="1119"/>
        <w:gridCol w:w="1134"/>
        <w:gridCol w:w="1152"/>
        <w:gridCol w:w="2250"/>
        <w:gridCol w:w="2268"/>
        <w:gridCol w:w="1947"/>
      </w:tblGrid>
      <w:tr w:rsidR="0058740B" w:rsidRPr="0058740B" w:rsidTr="0095011D">
        <w:trPr>
          <w:trHeight w:hRule="exact" w:val="782"/>
        </w:trPr>
        <w:tc>
          <w:tcPr>
            <w:tcW w:w="1119" w:type="dxa"/>
            <w:tcBorders>
              <w:top w:val="single" w:sz="12" w:space="0" w:color="auto"/>
              <w:left w:val="single" w:sz="12" w:space="0" w:color="auto"/>
              <w:bottom w:val="single" w:sz="6" w:space="0" w:color="auto"/>
              <w:right w:val="single" w:sz="6" w:space="0" w:color="auto"/>
            </w:tcBorders>
            <w:vAlign w:val="center"/>
            <w:hideMark/>
          </w:tcPr>
          <w:p w:rsidR="0058740B" w:rsidRPr="0058740B" w:rsidRDefault="0058740B" w:rsidP="0095011D">
            <w:pPr>
              <w:spacing w:after="120" w:line="276" w:lineRule="auto"/>
              <w:jc w:val="center"/>
              <w:rPr>
                <w:b/>
                <w:bCs/>
              </w:rPr>
            </w:pPr>
            <w:r w:rsidRPr="0058740B">
              <w:rPr>
                <w:b/>
                <w:bCs/>
              </w:rPr>
              <w:lastRenderedPageBreak/>
              <w:t>Test</w:t>
            </w:r>
            <w:r w:rsidRPr="0058740B">
              <w:rPr>
                <w:b/>
                <w:bCs/>
              </w:rPr>
              <w:br/>
              <w:t>interval</w:t>
            </w:r>
            <w:r w:rsidRPr="0058740B">
              <w:rPr>
                <w:b/>
                <w:bCs/>
              </w:rPr>
              <w:br/>
            </w:r>
            <w:r w:rsidRPr="0058740B">
              <w:t>(years)</w:t>
            </w:r>
          </w:p>
        </w:tc>
        <w:tc>
          <w:tcPr>
            <w:tcW w:w="1134" w:type="dxa"/>
            <w:tcBorders>
              <w:top w:val="single" w:sz="12" w:space="0" w:color="auto"/>
              <w:left w:val="single" w:sz="6" w:space="0" w:color="auto"/>
              <w:bottom w:val="single" w:sz="6" w:space="0" w:color="auto"/>
              <w:right w:val="single" w:sz="6" w:space="0" w:color="auto"/>
            </w:tcBorders>
            <w:hideMark/>
          </w:tcPr>
          <w:p w:rsidR="0058740B" w:rsidRPr="0058740B" w:rsidRDefault="0058740B" w:rsidP="0095011D">
            <w:pPr>
              <w:spacing w:after="120" w:line="276" w:lineRule="auto"/>
              <w:jc w:val="center"/>
              <w:rPr>
                <w:b/>
                <w:bCs/>
              </w:rPr>
            </w:pPr>
            <w:r w:rsidRPr="0058740B">
              <w:rPr>
                <w:b/>
                <w:bCs/>
              </w:rPr>
              <w:t>Test type</w:t>
            </w:r>
          </w:p>
        </w:tc>
        <w:tc>
          <w:tcPr>
            <w:tcW w:w="1152" w:type="dxa"/>
            <w:tcBorders>
              <w:top w:val="single" w:sz="12" w:space="0" w:color="auto"/>
              <w:left w:val="single" w:sz="6" w:space="0" w:color="auto"/>
              <w:bottom w:val="single" w:sz="6" w:space="0" w:color="auto"/>
              <w:right w:val="single" w:sz="6" w:space="0" w:color="auto"/>
            </w:tcBorders>
            <w:hideMark/>
          </w:tcPr>
          <w:p w:rsidR="0058740B" w:rsidRPr="0058740B" w:rsidRDefault="0058740B" w:rsidP="0095011D">
            <w:pPr>
              <w:spacing w:after="120" w:line="276" w:lineRule="auto"/>
              <w:jc w:val="center"/>
              <w:rPr>
                <w:b/>
                <w:bCs/>
              </w:rPr>
            </w:pPr>
            <w:r w:rsidRPr="0058740B">
              <w:rPr>
                <w:b/>
                <w:bCs/>
              </w:rPr>
              <w:t>Standard</w:t>
            </w:r>
          </w:p>
        </w:tc>
        <w:tc>
          <w:tcPr>
            <w:tcW w:w="2250" w:type="dxa"/>
            <w:tcBorders>
              <w:top w:val="single" w:sz="12" w:space="0" w:color="auto"/>
              <w:left w:val="single" w:sz="6" w:space="0" w:color="auto"/>
              <w:bottom w:val="single" w:sz="6" w:space="0" w:color="auto"/>
              <w:right w:val="single" w:sz="6" w:space="0" w:color="auto"/>
            </w:tcBorders>
            <w:hideMark/>
          </w:tcPr>
          <w:p w:rsidR="0058740B" w:rsidRPr="0058740B" w:rsidRDefault="0058740B" w:rsidP="0095011D">
            <w:pPr>
              <w:spacing w:after="120" w:line="276" w:lineRule="auto"/>
              <w:jc w:val="center"/>
              <w:rPr>
                <w:b/>
                <w:bCs/>
              </w:rPr>
            </w:pPr>
            <w:r w:rsidRPr="0058740B">
              <w:rPr>
                <w:b/>
                <w:bCs/>
              </w:rPr>
              <w:t>Rejection</w:t>
            </w:r>
            <w:r w:rsidRPr="0058740B">
              <w:rPr>
                <w:b/>
                <w:bCs/>
              </w:rPr>
              <w:br/>
              <w:t>criteria</w:t>
            </w:r>
          </w:p>
        </w:tc>
        <w:tc>
          <w:tcPr>
            <w:tcW w:w="2268" w:type="dxa"/>
            <w:tcBorders>
              <w:top w:val="single" w:sz="12" w:space="0" w:color="auto"/>
              <w:left w:val="single" w:sz="6" w:space="0" w:color="auto"/>
              <w:bottom w:val="single" w:sz="6" w:space="0" w:color="auto"/>
              <w:right w:val="single" w:sz="6" w:space="0" w:color="auto"/>
            </w:tcBorders>
            <w:hideMark/>
          </w:tcPr>
          <w:p w:rsidR="0058740B" w:rsidRPr="0058740B" w:rsidRDefault="0058740B" w:rsidP="0095011D">
            <w:pPr>
              <w:spacing w:after="120" w:line="276" w:lineRule="auto"/>
              <w:jc w:val="center"/>
              <w:rPr>
                <w:b/>
                <w:bCs/>
              </w:rPr>
            </w:pPr>
            <w:r w:rsidRPr="0058740B">
              <w:rPr>
                <w:b/>
                <w:bCs/>
              </w:rPr>
              <w:t>Batch sampling level</w:t>
            </w:r>
          </w:p>
        </w:tc>
        <w:tc>
          <w:tcPr>
            <w:tcW w:w="1947" w:type="dxa"/>
            <w:tcBorders>
              <w:top w:val="single" w:sz="12" w:space="0" w:color="auto"/>
              <w:left w:val="single" w:sz="6" w:space="0" w:color="auto"/>
              <w:bottom w:val="single" w:sz="6" w:space="0" w:color="auto"/>
              <w:right w:val="single" w:sz="12" w:space="0" w:color="auto"/>
            </w:tcBorders>
            <w:hideMark/>
          </w:tcPr>
          <w:p w:rsidR="0058740B" w:rsidRPr="0058740B" w:rsidRDefault="0058740B" w:rsidP="0095011D">
            <w:pPr>
              <w:spacing w:after="120" w:line="276" w:lineRule="auto"/>
              <w:jc w:val="center"/>
              <w:rPr>
                <w:b/>
                <w:bCs/>
              </w:rPr>
            </w:pPr>
            <w:r w:rsidRPr="0058740B">
              <w:rPr>
                <w:b/>
                <w:bCs/>
              </w:rPr>
              <w:t>Test results</w:t>
            </w:r>
          </w:p>
        </w:tc>
      </w:tr>
      <w:tr w:rsidR="0058740B" w:rsidRPr="0058740B" w:rsidTr="0095011D">
        <w:trPr>
          <w:cantSplit/>
          <w:trHeight w:val="871"/>
        </w:trPr>
        <w:tc>
          <w:tcPr>
            <w:tcW w:w="1119" w:type="dxa"/>
            <w:vMerge w:val="restart"/>
            <w:tcBorders>
              <w:top w:val="single" w:sz="6" w:space="0" w:color="auto"/>
              <w:left w:val="single" w:sz="12" w:space="0" w:color="auto"/>
              <w:right w:val="single" w:sz="6" w:space="0" w:color="auto"/>
            </w:tcBorders>
            <w:hideMark/>
          </w:tcPr>
          <w:p w:rsidR="0058740B" w:rsidRPr="0058740B" w:rsidRDefault="0058740B" w:rsidP="0095011D">
            <w:pPr>
              <w:pStyle w:val="Tabletext9"/>
              <w:rPr>
                <w:rFonts w:ascii="Times New Roman" w:hAnsi="Times New Roman"/>
                <w:sz w:val="20"/>
              </w:rPr>
            </w:pPr>
            <w:r w:rsidRPr="0058740B">
              <w:rPr>
                <w:rFonts w:ascii="Times New Roman" w:hAnsi="Times New Roman"/>
                <w:sz w:val="20"/>
              </w:rPr>
              <w:t>After 3 years in service</w:t>
            </w:r>
          </w:p>
        </w:tc>
        <w:tc>
          <w:tcPr>
            <w:tcW w:w="1134" w:type="dxa"/>
            <w:vMerge w:val="restart"/>
            <w:tcBorders>
              <w:top w:val="single" w:sz="6" w:space="0" w:color="auto"/>
              <w:left w:val="single" w:sz="6" w:space="0" w:color="auto"/>
              <w:right w:val="single" w:sz="6" w:space="0" w:color="auto"/>
            </w:tcBorders>
            <w:hideMark/>
          </w:tcPr>
          <w:p w:rsidR="0058740B" w:rsidRPr="0058740B" w:rsidRDefault="0058740B" w:rsidP="0095011D">
            <w:pPr>
              <w:pStyle w:val="Tabletext9"/>
              <w:rPr>
                <w:rFonts w:ascii="Times New Roman" w:hAnsi="Times New Roman"/>
                <w:sz w:val="20"/>
              </w:rPr>
            </w:pPr>
            <w:r w:rsidRPr="0058740B">
              <w:rPr>
                <w:rFonts w:ascii="Times New Roman" w:hAnsi="Times New Roman"/>
                <w:sz w:val="20"/>
              </w:rPr>
              <w:t>Burst test</w:t>
            </w:r>
          </w:p>
        </w:tc>
        <w:tc>
          <w:tcPr>
            <w:tcW w:w="1152" w:type="dxa"/>
            <w:vMerge w:val="restart"/>
            <w:tcBorders>
              <w:top w:val="single" w:sz="6" w:space="0" w:color="auto"/>
              <w:left w:val="single" w:sz="6" w:space="0" w:color="auto"/>
              <w:right w:val="single" w:sz="6" w:space="0" w:color="auto"/>
            </w:tcBorders>
            <w:hideMark/>
          </w:tcPr>
          <w:p w:rsidR="0058740B" w:rsidRPr="0058740B" w:rsidRDefault="0058740B" w:rsidP="0095011D">
            <w:pPr>
              <w:pStyle w:val="Tabletext9"/>
              <w:rPr>
                <w:rFonts w:ascii="Times New Roman" w:hAnsi="Times New Roman"/>
                <w:sz w:val="20"/>
              </w:rPr>
            </w:pPr>
            <w:r w:rsidRPr="0058740B">
              <w:rPr>
                <w:rFonts w:ascii="Times New Roman" w:hAnsi="Times New Roman"/>
                <w:sz w:val="20"/>
              </w:rPr>
              <w:t>EN 1442</w:t>
            </w:r>
          </w:p>
        </w:tc>
        <w:tc>
          <w:tcPr>
            <w:tcW w:w="2250" w:type="dxa"/>
            <w:tcBorders>
              <w:top w:val="single" w:sz="6" w:space="0" w:color="auto"/>
              <w:left w:val="single" w:sz="6" w:space="0" w:color="auto"/>
              <w:bottom w:val="single" w:sz="6" w:space="0" w:color="auto"/>
              <w:right w:val="single" w:sz="6" w:space="0" w:color="auto"/>
            </w:tcBorders>
            <w:hideMark/>
          </w:tcPr>
          <w:p w:rsidR="0058740B" w:rsidRPr="0058740B" w:rsidRDefault="0058740B" w:rsidP="0095011D">
            <w:pPr>
              <w:spacing w:after="120" w:line="276" w:lineRule="auto"/>
              <w:jc w:val="center"/>
            </w:pPr>
            <w:r w:rsidRPr="0058740B">
              <w:t>Burst pressure (*)</w:t>
            </w:r>
            <w:r w:rsidRPr="0058740B">
              <w:br/>
              <w:t xml:space="preserve">&lt; 70 bar in propane service or </w:t>
            </w:r>
          </w:p>
          <w:p w:rsidR="0058740B" w:rsidRPr="0058740B" w:rsidRDefault="0058740B" w:rsidP="0095011D">
            <w:pPr>
              <w:spacing w:after="120" w:line="276" w:lineRule="auto"/>
              <w:jc w:val="center"/>
            </w:pPr>
            <w:r w:rsidRPr="0058740B">
              <w:t>50 bar in butane service</w:t>
            </w:r>
          </w:p>
        </w:tc>
        <w:tc>
          <w:tcPr>
            <w:tcW w:w="2268" w:type="dxa"/>
            <w:vMerge w:val="restart"/>
            <w:tcBorders>
              <w:top w:val="single" w:sz="6" w:space="0" w:color="auto"/>
              <w:left w:val="single" w:sz="6" w:space="0" w:color="auto"/>
              <w:right w:val="single" w:sz="6" w:space="0" w:color="auto"/>
            </w:tcBorders>
            <w:hideMark/>
          </w:tcPr>
          <w:p w:rsidR="0058740B" w:rsidRPr="0058740B" w:rsidRDefault="0058740B" w:rsidP="0095011D">
            <w:pPr>
              <w:spacing w:after="120" w:line="276" w:lineRule="auto"/>
              <w:jc w:val="center"/>
            </w:pPr>
            <w:r w:rsidRPr="0058740B">
              <w:rPr>
                <w:position w:val="-12"/>
              </w:rPr>
              <w:object w:dxaOrig="4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4pt;height:18.75pt" o:ole="">
                  <v:imagedata r:id="rId10" o:title=""/>
                </v:shape>
                <o:OLEObject Type="Embed" ProgID="Equation.3" ShapeID="_x0000_i1033" DrawAspect="Content" ObjectID="_1497273893" r:id="rId11"/>
              </w:object>
            </w:r>
            <w:r w:rsidRPr="0058740B">
              <w:t xml:space="preserve"> or </w:t>
            </w:r>
            <w:r w:rsidRPr="0058740B">
              <w:rPr>
                <w:position w:val="-10"/>
              </w:rPr>
              <w:object w:dxaOrig="680" w:dyaOrig="300">
                <v:shape id="_x0000_i1034" type="#_x0000_t75" style="width:33.75pt;height:15pt" o:ole="">
                  <v:imagedata r:id="rId12" o:title=""/>
                </v:shape>
                <o:OLEObject Type="Embed" ProgID="Equation.3" ShapeID="_x0000_i1034" DrawAspect="Content" ObjectID="_1497273894" r:id="rId13"/>
              </w:object>
            </w:r>
            <w:r w:rsidRPr="0058740B">
              <w:br/>
              <w:t>whichever is lower,</w:t>
            </w:r>
          </w:p>
          <w:p w:rsidR="0058740B" w:rsidRPr="0058740B" w:rsidRDefault="0058740B" w:rsidP="0095011D">
            <w:pPr>
              <w:spacing w:after="120" w:line="276" w:lineRule="auto"/>
              <w:jc w:val="center"/>
            </w:pPr>
            <w:r w:rsidRPr="0058740B">
              <w:t>and</w:t>
            </w:r>
          </w:p>
          <w:p w:rsidR="0058740B" w:rsidRPr="0058740B" w:rsidRDefault="0058740B" w:rsidP="0095011D">
            <w:pPr>
              <w:spacing w:after="120" w:line="276" w:lineRule="auto"/>
              <w:jc w:val="center"/>
            </w:pPr>
            <w:r w:rsidRPr="0058740B">
              <w:t>with a minimum of 20 per batch (Q)</w:t>
            </w:r>
          </w:p>
        </w:tc>
        <w:tc>
          <w:tcPr>
            <w:tcW w:w="1947" w:type="dxa"/>
            <w:vMerge w:val="restart"/>
            <w:tcBorders>
              <w:top w:val="single" w:sz="6" w:space="0" w:color="auto"/>
              <w:left w:val="single" w:sz="6" w:space="0" w:color="auto"/>
              <w:right w:val="single" w:sz="12" w:space="0" w:color="auto"/>
            </w:tcBorders>
            <w:vAlign w:val="center"/>
            <w:hideMark/>
          </w:tcPr>
          <w:p w:rsidR="0058740B" w:rsidRPr="0058740B" w:rsidRDefault="0058740B" w:rsidP="0095011D">
            <w:pPr>
              <w:spacing w:after="120" w:line="276" w:lineRule="auto"/>
              <w:ind w:left="109"/>
              <w:jc w:val="center"/>
              <w:rPr>
                <w:b/>
                <w:bCs/>
                <w:color w:val="365F91"/>
              </w:rPr>
            </w:pPr>
            <w:r w:rsidRPr="0058740B">
              <w:t>If any test fails, repeat tests replacing Q with monthly production q of representative sub-batch</w:t>
            </w:r>
            <w:bookmarkStart w:id="0" w:name="_GoBack"/>
            <w:bookmarkEnd w:id="0"/>
            <w:r w:rsidRPr="0058740B">
              <w:t>es</w:t>
            </w:r>
          </w:p>
        </w:tc>
      </w:tr>
      <w:tr w:rsidR="0058740B" w:rsidRPr="0058740B" w:rsidTr="0095011D">
        <w:trPr>
          <w:cantSplit/>
          <w:trHeight w:val="870"/>
        </w:trPr>
        <w:tc>
          <w:tcPr>
            <w:tcW w:w="1119" w:type="dxa"/>
            <w:vMerge/>
            <w:tcBorders>
              <w:left w:val="single" w:sz="12" w:space="0" w:color="auto"/>
              <w:right w:val="single" w:sz="6" w:space="0" w:color="auto"/>
            </w:tcBorders>
          </w:tcPr>
          <w:p w:rsidR="0058740B" w:rsidRPr="0058740B" w:rsidRDefault="0058740B" w:rsidP="0095011D">
            <w:pPr>
              <w:spacing w:after="120" w:line="276" w:lineRule="auto"/>
              <w:ind w:right="353"/>
              <w:jc w:val="right"/>
            </w:pPr>
          </w:p>
        </w:tc>
        <w:tc>
          <w:tcPr>
            <w:tcW w:w="1134" w:type="dxa"/>
            <w:vMerge/>
            <w:tcBorders>
              <w:left w:val="single" w:sz="6" w:space="0" w:color="auto"/>
              <w:bottom w:val="single" w:sz="6" w:space="0" w:color="auto"/>
              <w:right w:val="single" w:sz="6" w:space="0" w:color="auto"/>
            </w:tcBorders>
          </w:tcPr>
          <w:p w:rsidR="0058740B" w:rsidRPr="0058740B" w:rsidRDefault="0058740B" w:rsidP="0095011D">
            <w:pPr>
              <w:pStyle w:val="Tabletext9"/>
              <w:rPr>
                <w:rFonts w:ascii="Times New Roman" w:hAnsi="Times New Roman"/>
                <w:sz w:val="20"/>
              </w:rPr>
            </w:pPr>
          </w:p>
        </w:tc>
        <w:tc>
          <w:tcPr>
            <w:tcW w:w="1152" w:type="dxa"/>
            <w:vMerge/>
            <w:tcBorders>
              <w:left w:val="single" w:sz="6" w:space="0" w:color="auto"/>
              <w:bottom w:val="single" w:sz="6" w:space="0" w:color="auto"/>
              <w:right w:val="single" w:sz="6" w:space="0" w:color="auto"/>
            </w:tcBorders>
          </w:tcPr>
          <w:p w:rsidR="0058740B" w:rsidRPr="0058740B" w:rsidRDefault="0058740B" w:rsidP="0095011D">
            <w:pPr>
              <w:pStyle w:val="Tabletext9"/>
              <w:rPr>
                <w:rFonts w:ascii="Times New Roman" w:hAnsi="Times New Roman"/>
                <w:sz w:val="20"/>
              </w:rPr>
            </w:pPr>
          </w:p>
        </w:tc>
        <w:tc>
          <w:tcPr>
            <w:tcW w:w="2250" w:type="dxa"/>
            <w:tcBorders>
              <w:top w:val="single" w:sz="6" w:space="0" w:color="auto"/>
              <w:left w:val="single" w:sz="6" w:space="0" w:color="auto"/>
              <w:bottom w:val="single" w:sz="6" w:space="0" w:color="auto"/>
              <w:right w:val="single" w:sz="6" w:space="0" w:color="auto"/>
            </w:tcBorders>
          </w:tcPr>
          <w:p w:rsidR="0058740B" w:rsidRPr="0058740B" w:rsidRDefault="0058740B" w:rsidP="0095011D">
            <w:pPr>
              <w:spacing w:after="120" w:line="276" w:lineRule="auto"/>
              <w:jc w:val="center"/>
            </w:pPr>
            <w:r w:rsidRPr="0058740B">
              <w:t>Volumetric</w:t>
            </w:r>
            <w:r w:rsidRPr="0058740B">
              <w:br/>
              <w:t>expansion (*)</w:t>
            </w:r>
            <w:r w:rsidRPr="0058740B">
              <w:br/>
              <w:t>&lt; 15 or 9 % (**)</w:t>
            </w:r>
          </w:p>
        </w:tc>
        <w:tc>
          <w:tcPr>
            <w:tcW w:w="2268" w:type="dxa"/>
            <w:vMerge/>
            <w:tcBorders>
              <w:left w:val="single" w:sz="6" w:space="0" w:color="auto"/>
              <w:bottom w:val="single" w:sz="6" w:space="0" w:color="auto"/>
              <w:right w:val="single" w:sz="6" w:space="0" w:color="auto"/>
            </w:tcBorders>
          </w:tcPr>
          <w:p w:rsidR="0058740B" w:rsidRPr="0058740B" w:rsidRDefault="0058740B" w:rsidP="0095011D">
            <w:pPr>
              <w:spacing w:after="120" w:line="276" w:lineRule="auto"/>
              <w:jc w:val="center"/>
              <w:rPr>
                <w:position w:val="-12"/>
              </w:rPr>
            </w:pPr>
          </w:p>
        </w:tc>
        <w:tc>
          <w:tcPr>
            <w:tcW w:w="1947" w:type="dxa"/>
            <w:vMerge/>
            <w:tcBorders>
              <w:left w:val="single" w:sz="6" w:space="0" w:color="auto"/>
              <w:right w:val="single" w:sz="12" w:space="0" w:color="auto"/>
            </w:tcBorders>
          </w:tcPr>
          <w:p w:rsidR="0058740B" w:rsidRPr="0058740B" w:rsidRDefault="0058740B" w:rsidP="0095011D">
            <w:pPr>
              <w:spacing w:after="120" w:line="276" w:lineRule="auto"/>
              <w:ind w:left="109"/>
            </w:pPr>
          </w:p>
        </w:tc>
      </w:tr>
      <w:tr w:rsidR="0058740B" w:rsidRPr="0058740B" w:rsidTr="0095011D">
        <w:trPr>
          <w:trHeight w:hRule="exact" w:val="1057"/>
        </w:trPr>
        <w:tc>
          <w:tcPr>
            <w:tcW w:w="1119" w:type="dxa"/>
            <w:vMerge/>
            <w:tcBorders>
              <w:left w:val="single" w:sz="12" w:space="0" w:color="auto"/>
              <w:right w:val="single" w:sz="6" w:space="0" w:color="auto"/>
            </w:tcBorders>
            <w:vAlign w:val="center"/>
            <w:hideMark/>
          </w:tcPr>
          <w:p w:rsidR="0058740B" w:rsidRPr="0058740B" w:rsidRDefault="0058740B" w:rsidP="0095011D">
            <w:pPr>
              <w:spacing w:after="120" w:line="276" w:lineRule="auto"/>
            </w:pPr>
          </w:p>
        </w:tc>
        <w:tc>
          <w:tcPr>
            <w:tcW w:w="113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58740B" w:rsidRPr="0058740B" w:rsidRDefault="0058740B" w:rsidP="0095011D">
            <w:pPr>
              <w:pStyle w:val="Tabletext9"/>
              <w:rPr>
                <w:rFonts w:ascii="Times New Roman" w:hAnsi="Times New Roman"/>
                <w:sz w:val="20"/>
              </w:rPr>
            </w:pPr>
            <w:r w:rsidRPr="0058740B">
              <w:rPr>
                <w:rFonts w:ascii="Times New Roman" w:hAnsi="Times New Roman"/>
                <w:sz w:val="20"/>
              </w:rPr>
              <w:t>Peeling</w:t>
            </w:r>
            <w:r w:rsidRPr="0058740B">
              <w:rPr>
                <w:rFonts w:ascii="Times New Roman" w:hAnsi="Times New Roman"/>
                <w:sz w:val="20"/>
              </w:rPr>
              <w:br/>
              <w:t>and</w:t>
            </w:r>
            <w:r w:rsidRPr="0058740B">
              <w:rPr>
                <w:rFonts w:ascii="Times New Roman" w:hAnsi="Times New Roman"/>
                <w:sz w:val="20"/>
              </w:rPr>
              <w:br/>
              <w:t>corrosion</w:t>
            </w:r>
          </w:p>
        </w:tc>
        <w:tc>
          <w:tcPr>
            <w:tcW w:w="115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58740B" w:rsidRPr="0058740B" w:rsidRDefault="0058740B" w:rsidP="0095011D">
            <w:pPr>
              <w:pStyle w:val="Tabletext9"/>
              <w:rPr>
                <w:rFonts w:ascii="Times New Roman" w:hAnsi="Times New Roman"/>
                <w:sz w:val="20"/>
              </w:rPr>
            </w:pPr>
            <w:r w:rsidRPr="0058740B">
              <w:rPr>
                <w:rFonts w:ascii="Times New Roman" w:hAnsi="Times New Roman"/>
                <w:sz w:val="20"/>
              </w:rPr>
              <w:t>EN ISO 4628-3:2004</w:t>
            </w:r>
          </w:p>
        </w:tc>
        <w:tc>
          <w:tcPr>
            <w:tcW w:w="22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58740B" w:rsidRPr="0058740B" w:rsidRDefault="0058740B" w:rsidP="0095011D">
            <w:pPr>
              <w:spacing w:after="120" w:line="276" w:lineRule="auto"/>
              <w:jc w:val="center"/>
            </w:pPr>
            <w:r w:rsidRPr="0058740B">
              <w:t>Max corrosion</w:t>
            </w:r>
            <w:r w:rsidRPr="0058740B">
              <w:br/>
              <w:t>grade:</w:t>
            </w:r>
          </w:p>
          <w:p w:rsidR="0058740B" w:rsidRPr="0058740B" w:rsidRDefault="0058740B" w:rsidP="0095011D">
            <w:pPr>
              <w:spacing w:after="120" w:line="276" w:lineRule="auto"/>
              <w:jc w:val="center"/>
            </w:pPr>
            <w:r w:rsidRPr="0058740B">
              <w:t>Ri2</w:t>
            </w:r>
          </w:p>
        </w:tc>
        <w:tc>
          <w:tcPr>
            <w:tcW w:w="22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58740B" w:rsidRPr="0058740B" w:rsidRDefault="0058740B" w:rsidP="0095011D">
            <w:pPr>
              <w:spacing w:after="120" w:line="276" w:lineRule="auto"/>
              <w:jc w:val="center"/>
            </w:pPr>
            <w:r w:rsidRPr="0058740B">
              <w:rPr>
                <w:iCs/>
                <w:w w:val="105"/>
              </w:rPr>
              <w:t>Q</w:t>
            </w:r>
            <w:r w:rsidRPr="0058740B">
              <w:t>/1 000</w:t>
            </w:r>
          </w:p>
        </w:tc>
        <w:tc>
          <w:tcPr>
            <w:tcW w:w="1947" w:type="dxa"/>
            <w:vMerge/>
            <w:tcBorders>
              <w:left w:val="single" w:sz="6" w:space="0" w:color="auto"/>
              <w:right w:val="single" w:sz="12" w:space="0" w:color="auto"/>
            </w:tcBorders>
            <w:vAlign w:val="center"/>
            <w:hideMark/>
          </w:tcPr>
          <w:p w:rsidR="0058740B" w:rsidRPr="0058740B" w:rsidRDefault="0058740B" w:rsidP="0095011D">
            <w:pPr>
              <w:spacing w:after="120" w:line="276" w:lineRule="auto"/>
            </w:pPr>
          </w:p>
        </w:tc>
      </w:tr>
      <w:tr w:rsidR="0058740B" w:rsidRPr="0058740B" w:rsidTr="0095011D">
        <w:trPr>
          <w:trHeight w:val="839"/>
        </w:trPr>
        <w:tc>
          <w:tcPr>
            <w:tcW w:w="1119" w:type="dxa"/>
            <w:vMerge/>
            <w:tcBorders>
              <w:left w:val="single" w:sz="12" w:space="0" w:color="auto"/>
              <w:right w:val="single" w:sz="6" w:space="0" w:color="auto"/>
            </w:tcBorders>
            <w:tcMar>
              <w:top w:w="0" w:type="dxa"/>
              <w:left w:w="108" w:type="dxa"/>
              <w:bottom w:w="0" w:type="dxa"/>
              <w:right w:w="108" w:type="dxa"/>
            </w:tcMar>
          </w:tcPr>
          <w:p w:rsidR="0058740B" w:rsidRPr="0058740B" w:rsidRDefault="0058740B" w:rsidP="0095011D">
            <w:pPr>
              <w:pStyle w:val="Tabletext9"/>
              <w:rPr>
                <w:rFonts w:ascii="Times New Roman" w:hAnsi="Times New Roman"/>
                <w:sz w:val="20"/>
              </w:rPr>
            </w:pPr>
          </w:p>
        </w:tc>
        <w:tc>
          <w:tcPr>
            <w:tcW w:w="1134" w:type="dxa"/>
            <w:tcBorders>
              <w:top w:val="single" w:sz="6" w:space="0" w:color="auto"/>
              <w:left w:val="single" w:sz="6" w:space="0" w:color="auto"/>
              <w:right w:val="single" w:sz="6" w:space="0" w:color="auto"/>
            </w:tcBorders>
            <w:tcMar>
              <w:top w:w="0" w:type="dxa"/>
              <w:left w:w="108" w:type="dxa"/>
              <w:bottom w:w="0" w:type="dxa"/>
              <w:right w:w="108" w:type="dxa"/>
            </w:tcMar>
          </w:tcPr>
          <w:p w:rsidR="0058740B" w:rsidRPr="0058740B" w:rsidRDefault="0058740B" w:rsidP="0095011D">
            <w:pPr>
              <w:pStyle w:val="Tabletext9"/>
              <w:rPr>
                <w:rFonts w:ascii="Times New Roman" w:hAnsi="Times New Roman"/>
                <w:sz w:val="20"/>
              </w:rPr>
            </w:pPr>
            <w:r w:rsidRPr="0058740B">
              <w:rPr>
                <w:rFonts w:ascii="Times New Roman" w:hAnsi="Times New Roman"/>
                <w:sz w:val="20"/>
              </w:rPr>
              <w:t>Adhesion of Polyurethane</w:t>
            </w:r>
          </w:p>
        </w:tc>
        <w:tc>
          <w:tcPr>
            <w:tcW w:w="1152" w:type="dxa"/>
            <w:tcBorders>
              <w:top w:val="single" w:sz="6" w:space="0" w:color="auto"/>
              <w:left w:val="single" w:sz="6" w:space="0" w:color="auto"/>
              <w:right w:val="single" w:sz="6" w:space="0" w:color="auto"/>
            </w:tcBorders>
            <w:tcMar>
              <w:top w:w="0" w:type="dxa"/>
              <w:left w:w="108" w:type="dxa"/>
              <w:bottom w:w="0" w:type="dxa"/>
              <w:right w:w="108" w:type="dxa"/>
            </w:tcMar>
          </w:tcPr>
          <w:p w:rsidR="0058740B" w:rsidRPr="0058740B" w:rsidRDefault="0058740B" w:rsidP="0095011D">
            <w:pPr>
              <w:pStyle w:val="Tabletext9"/>
              <w:rPr>
                <w:rFonts w:ascii="Times New Roman" w:hAnsi="Times New Roman"/>
                <w:sz w:val="20"/>
              </w:rPr>
            </w:pPr>
            <w:r w:rsidRPr="0058740B">
              <w:rPr>
                <w:rFonts w:ascii="Times New Roman" w:hAnsi="Times New Roman"/>
                <w:sz w:val="20"/>
              </w:rPr>
              <w:t>ISO 2859-1</w:t>
            </w:r>
          </w:p>
          <w:p w:rsidR="0058740B" w:rsidRPr="0058740B" w:rsidRDefault="0058740B" w:rsidP="0095011D">
            <w:pPr>
              <w:pStyle w:val="Tabletext9"/>
              <w:rPr>
                <w:rFonts w:ascii="Times New Roman" w:hAnsi="Times New Roman"/>
                <w:sz w:val="20"/>
              </w:rPr>
            </w:pPr>
            <w:r w:rsidRPr="0058740B">
              <w:rPr>
                <w:rFonts w:ascii="Times New Roman" w:hAnsi="Times New Roman"/>
                <w:sz w:val="20"/>
              </w:rPr>
              <w:t>EN 1442</w:t>
            </w:r>
          </w:p>
          <w:p w:rsidR="0058740B" w:rsidRPr="0058740B" w:rsidRDefault="0058740B" w:rsidP="0095011D">
            <w:pPr>
              <w:pStyle w:val="Tabletext9"/>
              <w:rPr>
                <w:rFonts w:ascii="Times New Roman" w:hAnsi="Times New Roman"/>
                <w:sz w:val="20"/>
              </w:rPr>
            </w:pPr>
            <w:r w:rsidRPr="0058740B">
              <w:rPr>
                <w:rFonts w:ascii="Times New Roman" w:hAnsi="Times New Roman"/>
                <w:sz w:val="20"/>
              </w:rPr>
              <w:t>EN 14140:2014</w:t>
            </w:r>
          </w:p>
        </w:tc>
        <w:tc>
          <w:tcPr>
            <w:tcW w:w="22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58740B" w:rsidRPr="0058740B" w:rsidRDefault="0058740B" w:rsidP="0095011D">
            <w:pPr>
              <w:spacing w:after="120" w:line="276" w:lineRule="auto"/>
              <w:jc w:val="center"/>
            </w:pPr>
            <w:r w:rsidRPr="0058740B">
              <w:t>Adhesion value &gt; 0.5 N/mm²</w:t>
            </w:r>
          </w:p>
        </w:tc>
        <w:tc>
          <w:tcPr>
            <w:tcW w:w="2268" w:type="dxa"/>
            <w:tcBorders>
              <w:top w:val="single" w:sz="6" w:space="0" w:color="auto"/>
              <w:left w:val="single" w:sz="6" w:space="0" w:color="auto"/>
              <w:right w:val="single" w:sz="6" w:space="0" w:color="auto"/>
            </w:tcBorders>
            <w:tcMar>
              <w:top w:w="0" w:type="dxa"/>
              <w:left w:w="108" w:type="dxa"/>
              <w:bottom w:w="0" w:type="dxa"/>
              <w:right w:w="108" w:type="dxa"/>
            </w:tcMar>
          </w:tcPr>
          <w:p w:rsidR="0058740B" w:rsidRPr="0058740B" w:rsidRDefault="0058740B" w:rsidP="0095011D">
            <w:pPr>
              <w:spacing w:after="120" w:line="276" w:lineRule="auto"/>
              <w:jc w:val="center"/>
              <w:rPr>
                <w:position w:val="-12"/>
              </w:rPr>
            </w:pPr>
            <w:r w:rsidRPr="0058740B">
              <w:rPr>
                <w:position w:val="-12"/>
              </w:rPr>
              <w:t>See ISO 2859-1 applied to Q/1000</w:t>
            </w:r>
          </w:p>
        </w:tc>
        <w:tc>
          <w:tcPr>
            <w:tcW w:w="1947" w:type="dxa"/>
            <w:vMerge/>
            <w:tcBorders>
              <w:left w:val="single" w:sz="6" w:space="0" w:color="auto"/>
              <w:right w:val="single" w:sz="12" w:space="0" w:color="auto"/>
            </w:tcBorders>
            <w:vAlign w:val="center"/>
          </w:tcPr>
          <w:p w:rsidR="0058740B" w:rsidRPr="0058740B" w:rsidRDefault="0058740B" w:rsidP="0095011D">
            <w:pPr>
              <w:spacing w:after="120" w:line="276" w:lineRule="auto"/>
            </w:pPr>
          </w:p>
        </w:tc>
      </w:tr>
      <w:tr w:rsidR="0058740B" w:rsidRPr="0058740B" w:rsidTr="0095011D">
        <w:trPr>
          <w:trHeight w:val="839"/>
        </w:trPr>
        <w:tc>
          <w:tcPr>
            <w:tcW w:w="1119" w:type="dxa"/>
            <w:vMerge w:val="restart"/>
            <w:tcBorders>
              <w:top w:val="single" w:sz="6" w:space="0" w:color="auto"/>
              <w:left w:val="single" w:sz="12" w:space="0" w:color="auto"/>
              <w:right w:val="single" w:sz="6" w:space="0" w:color="auto"/>
            </w:tcBorders>
            <w:tcMar>
              <w:top w:w="0" w:type="dxa"/>
              <w:left w:w="108" w:type="dxa"/>
              <w:bottom w:w="0" w:type="dxa"/>
              <w:right w:w="108" w:type="dxa"/>
            </w:tcMar>
            <w:hideMark/>
          </w:tcPr>
          <w:p w:rsidR="0058740B" w:rsidRPr="0058740B" w:rsidRDefault="0058740B" w:rsidP="0095011D">
            <w:pPr>
              <w:pStyle w:val="Tabletext9"/>
              <w:rPr>
                <w:rFonts w:ascii="Times New Roman" w:hAnsi="Times New Roman"/>
                <w:sz w:val="20"/>
              </w:rPr>
            </w:pPr>
            <w:r w:rsidRPr="0058740B">
              <w:rPr>
                <w:rFonts w:ascii="Times New Roman" w:hAnsi="Times New Roman"/>
                <w:sz w:val="20"/>
              </w:rPr>
              <w:t xml:space="preserve">Every </w:t>
            </w:r>
            <w:r w:rsidRPr="0058740B">
              <w:rPr>
                <w:rFonts w:ascii="Times New Roman" w:hAnsi="Times New Roman"/>
                <w:w w:val="105"/>
                <w:sz w:val="20"/>
              </w:rPr>
              <w:t>5 years thereafter</w:t>
            </w:r>
          </w:p>
        </w:tc>
        <w:tc>
          <w:tcPr>
            <w:tcW w:w="1134" w:type="dxa"/>
            <w:vMerge w:val="restart"/>
            <w:tcBorders>
              <w:top w:val="single" w:sz="6" w:space="0" w:color="auto"/>
              <w:left w:val="single" w:sz="6" w:space="0" w:color="auto"/>
              <w:right w:val="single" w:sz="6" w:space="0" w:color="auto"/>
            </w:tcBorders>
            <w:tcMar>
              <w:top w:w="0" w:type="dxa"/>
              <w:left w:w="108" w:type="dxa"/>
              <w:bottom w:w="0" w:type="dxa"/>
              <w:right w:w="108" w:type="dxa"/>
            </w:tcMar>
            <w:hideMark/>
          </w:tcPr>
          <w:p w:rsidR="0058740B" w:rsidRPr="0058740B" w:rsidRDefault="0058740B" w:rsidP="0095011D">
            <w:pPr>
              <w:pStyle w:val="Tabletext9"/>
              <w:rPr>
                <w:rFonts w:ascii="Times New Roman" w:hAnsi="Times New Roman"/>
                <w:sz w:val="20"/>
              </w:rPr>
            </w:pPr>
            <w:r w:rsidRPr="0058740B">
              <w:rPr>
                <w:rFonts w:ascii="Times New Roman" w:hAnsi="Times New Roman"/>
                <w:sz w:val="20"/>
              </w:rPr>
              <w:t>Burst test</w:t>
            </w:r>
          </w:p>
        </w:tc>
        <w:tc>
          <w:tcPr>
            <w:tcW w:w="1152" w:type="dxa"/>
            <w:vMerge w:val="restart"/>
            <w:tcBorders>
              <w:top w:val="single" w:sz="6" w:space="0" w:color="auto"/>
              <w:left w:val="single" w:sz="6" w:space="0" w:color="auto"/>
              <w:right w:val="single" w:sz="6" w:space="0" w:color="auto"/>
            </w:tcBorders>
            <w:tcMar>
              <w:top w:w="0" w:type="dxa"/>
              <w:left w:w="108" w:type="dxa"/>
              <w:bottom w:w="0" w:type="dxa"/>
              <w:right w:w="108" w:type="dxa"/>
            </w:tcMar>
            <w:hideMark/>
          </w:tcPr>
          <w:p w:rsidR="0058740B" w:rsidRPr="0058740B" w:rsidRDefault="0058740B" w:rsidP="0095011D">
            <w:pPr>
              <w:pStyle w:val="Tabletext9"/>
              <w:rPr>
                <w:rFonts w:ascii="Times New Roman" w:hAnsi="Times New Roman"/>
                <w:sz w:val="20"/>
              </w:rPr>
            </w:pPr>
            <w:r w:rsidRPr="0058740B">
              <w:rPr>
                <w:rFonts w:ascii="Times New Roman" w:hAnsi="Times New Roman"/>
                <w:sz w:val="20"/>
              </w:rPr>
              <w:t>EN 1442</w:t>
            </w:r>
          </w:p>
        </w:tc>
        <w:tc>
          <w:tcPr>
            <w:tcW w:w="22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58740B" w:rsidRPr="0058740B" w:rsidRDefault="0058740B" w:rsidP="0095011D">
            <w:pPr>
              <w:spacing w:after="120" w:line="276" w:lineRule="auto"/>
              <w:jc w:val="center"/>
            </w:pPr>
            <w:r w:rsidRPr="0058740B">
              <w:t>Burst pressure (*)</w:t>
            </w:r>
            <w:r w:rsidRPr="0058740B">
              <w:br/>
              <w:t xml:space="preserve">&lt; 70 bar in propane service </w:t>
            </w:r>
          </w:p>
          <w:p w:rsidR="0058740B" w:rsidRPr="0058740B" w:rsidRDefault="0058740B" w:rsidP="0095011D">
            <w:pPr>
              <w:spacing w:after="120" w:line="276" w:lineRule="auto"/>
              <w:jc w:val="center"/>
            </w:pPr>
            <w:r w:rsidRPr="0058740B">
              <w:t xml:space="preserve">or </w:t>
            </w:r>
          </w:p>
          <w:p w:rsidR="0058740B" w:rsidRPr="0058740B" w:rsidRDefault="0058740B" w:rsidP="0095011D">
            <w:pPr>
              <w:spacing w:after="120" w:line="276" w:lineRule="auto"/>
              <w:jc w:val="center"/>
            </w:pPr>
            <w:r w:rsidRPr="0058740B">
              <w:t>50 bar in butane service</w:t>
            </w:r>
          </w:p>
        </w:tc>
        <w:tc>
          <w:tcPr>
            <w:tcW w:w="2268" w:type="dxa"/>
            <w:vMerge w:val="restart"/>
            <w:tcBorders>
              <w:top w:val="single" w:sz="6" w:space="0" w:color="auto"/>
              <w:left w:val="single" w:sz="6" w:space="0" w:color="auto"/>
              <w:right w:val="single" w:sz="6" w:space="0" w:color="auto"/>
            </w:tcBorders>
            <w:tcMar>
              <w:top w:w="0" w:type="dxa"/>
              <w:left w:w="108" w:type="dxa"/>
              <w:bottom w:w="0" w:type="dxa"/>
              <w:right w:w="108" w:type="dxa"/>
            </w:tcMar>
          </w:tcPr>
          <w:p w:rsidR="0058740B" w:rsidRPr="0058740B" w:rsidRDefault="0058740B" w:rsidP="0095011D">
            <w:pPr>
              <w:spacing w:after="120" w:line="276" w:lineRule="auto"/>
              <w:jc w:val="center"/>
            </w:pPr>
            <w:r w:rsidRPr="0058740B">
              <w:rPr>
                <w:position w:val="-12"/>
              </w:rPr>
              <w:object w:dxaOrig="480" w:dyaOrig="380">
                <v:shape id="_x0000_i1035" type="#_x0000_t75" style="width:24pt;height:18.75pt" o:ole="">
                  <v:imagedata r:id="rId14" o:title=""/>
                </v:shape>
                <o:OLEObject Type="Embed" ProgID="Equation.3" ShapeID="_x0000_i1035" DrawAspect="Content" ObjectID="_1497273895" r:id="rId15"/>
              </w:object>
            </w:r>
            <w:r w:rsidRPr="0058740B">
              <w:t xml:space="preserve"> or </w:t>
            </w:r>
            <w:r w:rsidRPr="0058740B">
              <w:rPr>
                <w:position w:val="-10"/>
              </w:rPr>
              <w:object w:dxaOrig="660" w:dyaOrig="300">
                <v:shape id="_x0000_i1036" type="#_x0000_t75" style="width:33pt;height:15pt" o:ole="">
                  <v:imagedata r:id="rId16" o:title=""/>
                </v:shape>
                <o:OLEObject Type="Embed" ProgID="Equation.3" ShapeID="_x0000_i1036" DrawAspect="Content" ObjectID="_1497273896" r:id="rId17"/>
              </w:object>
            </w:r>
            <w:r w:rsidRPr="0058740B">
              <w:t xml:space="preserve"> </w:t>
            </w:r>
            <w:r w:rsidRPr="0058740B">
              <w:br/>
              <w:t>whichever is lower, </w:t>
            </w:r>
          </w:p>
          <w:p w:rsidR="0058740B" w:rsidRPr="0058740B" w:rsidRDefault="0058740B" w:rsidP="0095011D">
            <w:pPr>
              <w:spacing w:after="120" w:line="276" w:lineRule="auto"/>
              <w:jc w:val="center"/>
            </w:pPr>
            <w:r w:rsidRPr="0058740B">
              <w:t xml:space="preserve">and </w:t>
            </w:r>
          </w:p>
          <w:p w:rsidR="0058740B" w:rsidRPr="0058740B" w:rsidRDefault="0058740B" w:rsidP="0095011D">
            <w:pPr>
              <w:spacing w:after="120" w:line="276" w:lineRule="auto"/>
              <w:jc w:val="center"/>
            </w:pPr>
            <w:r w:rsidRPr="0058740B">
              <w:t>with a minimum of 40 per batch (Q)</w:t>
            </w:r>
          </w:p>
        </w:tc>
        <w:tc>
          <w:tcPr>
            <w:tcW w:w="1947" w:type="dxa"/>
            <w:vMerge/>
            <w:tcBorders>
              <w:left w:val="single" w:sz="6" w:space="0" w:color="auto"/>
              <w:right w:val="single" w:sz="12" w:space="0" w:color="auto"/>
            </w:tcBorders>
            <w:vAlign w:val="center"/>
            <w:hideMark/>
          </w:tcPr>
          <w:p w:rsidR="0058740B" w:rsidRPr="0058740B" w:rsidRDefault="0058740B" w:rsidP="0095011D">
            <w:pPr>
              <w:spacing w:after="120" w:line="276" w:lineRule="auto"/>
            </w:pPr>
          </w:p>
        </w:tc>
      </w:tr>
      <w:tr w:rsidR="0058740B" w:rsidRPr="0058740B" w:rsidTr="0095011D">
        <w:trPr>
          <w:trHeight w:hRule="exact" w:val="839"/>
        </w:trPr>
        <w:tc>
          <w:tcPr>
            <w:tcW w:w="1119" w:type="dxa"/>
            <w:vMerge/>
            <w:tcBorders>
              <w:left w:val="single" w:sz="12" w:space="0" w:color="auto"/>
              <w:right w:val="single" w:sz="6" w:space="0" w:color="auto"/>
            </w:tcBorders>
            <w:tcMar>
              <w:top w:w="0" w:type="dxa"/>
              <w:left w:w="108" w:type="dxa"/>
              <w:bottom w:w="0" w:type="dxa"/>
              <w:right w:w="108" w:type="dxa"/>
            </w:tcMar>
          </w:tcPr>
          <w:p w:rsidR="0058740B" w:rsidRPr="0058740B" w:rsidRDefault="0058740B" w:rsidP="0095011D">
            <w:pPr>
              <w:spacing w:after="120" w:line="276" w:lineRule="auto"/>
            </w:pPr>
          </w:p>
        </w:tc>
        <w:tc>
          <w:tcPr>
            <w:tcW w:w="1134" w:type="dxa"/>
            <w:vMerge/>
            <w:tcBorders>
              <w:left w:val="single" w:sz="6" w:space="0" w:color="auto"/>
              <w:bottom w:val="single" w:sz="6" w:space="0" w:color="auto"/>
              <w:right w:val="single" w:sz="6" w:space="0" w:color="auto"/>
            </w:tcBorders>
            <w:tcMar>
              <w:top w:w="0" w:type="dxa"/>
              <w:left w:w="108" w:type="dxa"/>
              <w:bottom w:w="0" w:type="dxa"/>
              <w:right w:w="108" w:type="dxa"/>
            </w:tcMar>
          </w:tcPr>
          <w:p w:rsidR="0058740B" w:rsidRPr="0058740B" w:rsidRDefault="0058740B" w:rsidP="0095011D">
            <w:pPr>
              <w:pStyle w:val="Tabletext9"/>
              <w:rPr>
                <w:rFonts w:ascii="Times New Roman" w:hAnsi="Times New Roman"/>
                <w:sz w:val="20"/>
              </w:rPr>
            </w:pPr>
          </w:p>
        </w:tc>
        <w:tc>
          <w:tcPr>
            <w:tcW w:w="1152" w:type="dxa"/>
            <w:vMerge/>
            <w:tcBorders>
              <w:left w:val="single" w:sz="6" w:space="0" w:color="auto"/>
              <w:bottom w:val="single" w:sz="6" w:space="0" w:color="auto"/>
              <w:right w:val="single" w:sz="6" w:space="0" w:color="auto"/>
            </w:tcBorders>
            <w:tcMar>
              <w:top w:w="0" w:type="dxa"/>
              <w:left w:w="108" w:type="dxa"/>
              <w:bottom w:w="0" w:type="dxa"/>
              <w:right w:w="108" w:type="dxa"/>
            </w:tcMar>
          </w:tcPr>
          <w:p w:rsidR="0058740B" w:rsidRPr="0058740B" w:rsidRDefault="0058740B" w:rsidP="0095011D">
            <w:pPr>
              <w:pStyle w:val="Tabletext9"/>
              <w:rPr>
                <w:rFonts w:ascii="Times New Roman" w:hAnsi="Times New Roman"/>
                <w:sz w:val="20"/>
              </w:rPr>
            </w:pPr>
          </w:p>
        </w:tc>
        <w:tc>
          <w:tcPr>
            <w:tcW w:w="22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58740B" w:rsidRPr="0058740B" w:rsidRDefault="0058740B" w:rsidP="0095011D">
            <w:pPr>
              <w:spacing w:after="120" w:line="276" w:lineRule="auto"/>
              <w:jc w:val="center"/>
            </w:pPr>
            <w:r w:rsidRPr="0058740B">
              <w:t>Volumetric</w:t>
            </w:r>
            <w:r w:rsidRPr="0058740B">
              <w:br/>
              <w:t>expansion (*)</w:t>
            </w:r>
            <w:r w:rsidRPr="0058740B">
              <w:br/>
              <w:t>&lt; 13, 12 or 9% (**)</w:t>
            </w:r>
          </w:p>
        </w:tc>
        <w:tc>
          <w:tcPr>
            <w:tcW w:w="2268" w:type="dxa"/>
            <w:vMerge/>
            <w:tcBorders>
              <w:left w:val="single" w:sz="6" w:space="0" w:color="auto"/>
              <w:bottom w:val="single" w:sz="6" w:space="0" w:color="auto"/>
              <w:right w:val="single" w:sz="6" w:space="0" w:color="auto"/>
            </w:tcBorders>
            <w:tcMar>
              <w:top w:w="0" w:type="dxa"/>
              <w:left w:w="108" w:type="dxa"/>
              <w:bottom w:w="0" w:type="dxa"/>
              <w:right w:w="108" w:type="dxa"/>
            </w:tcMar>
          </w:tcPr>
          <w:p w:rsidR="0058740B" w:rsidRPr="0058740B" w:rsidRDefault="0058740B" w:rsidP="0095011D">
            <w:pPr>
              <w:spacing w:after="120" w:line="276" w:lineRule="auto"/>
              <w:jc w:val="center"/>
              <w:rPr>
                <w:position w:val="-12"/>
              </w:rPr>
            </w:pPr>
          </w:p>
        </w:tc>
        <w:tc>
          <w:tcPr>
            <w:tcW w:w="1947" w:type="dxa"/>
            <w:vMerge/>
            <w:tcBorders>
              <w:left w:val="single" w:sz="6" w:space="0" w:color="auto"/>
              <w:right w:val="single" w:sz="12" w:space="0" w:color="auto"/>
            </w:tcBorders>
            <w:vAlign w:val="center"/>
          </w:tcPr>
          <w:p w:rsidR="0058740B" w:rsidRPr="0058740B" w:rsidRDefault="0058740B" w:rsidP="0095011D">
            <w:pPr>
              <w:spacing w:after="120" w:line="276" w:lineRule="auto"/>
            </w:pPr>
          </w:p>
        </w:tc>
      </w:tr>
      <w:tr w:rsidR="0058740B" w:rsidRPr="0058740B" w:rsidTr="0095011D">
        <w:trPr>
          <w:trHeight w:hRule="exact" w:val="957"/>
        </w:trPr>
        <w:tc>
          <w:tcPr>
            <w:tcW w:w="1119" w:type="dxa"/>
            <w:vMerge/>
            <w:tcBorders>
              <w:left w:val="single" w:sz="12" w:space="0" w:color="auto"/>
              <w:right w:val="single" w:sz="6" w:space="0" w:color="auto"/>
            </w:tcBorders>
            <w:vAlign w:val="center"/>
            <w:hideMark/>
          </w:tcPr>
          <w:p w:rsidR="0058740B" w:rsidRPr="0058740B" w:rsidRDefault="0058740B" w:rsidP="0095011D">
            <w:pPr>
              <w:spacing w:after="120" w:line="276" w:lineRule="auto"/>
            </w:pPr>
          </w:p>
        </w:tc>
        <w:tc>
          <w:tcPr>
            <w:tcW w:w="113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58740B" w:rsidRPr="0058740B" w:rsidRDefault="0058740B" w:rsidP="0095011D">
            <w:pPr>
              <w:pStyle w:val="Tabletext9"/>
              <w:rPr>
                <w:rFonts w:ascii="Times New Roman" w:hAnsi="Times New Roman"/>
                <w:sz w:val="20"/>
              </w:rPr>
            </w:pPr>
            <w:r w:rsidRPr="0058740B">
              <w:rPr>
                <w:rFonts w:ascii="Times New Roman" w:hAnsi="Times New Roman"/>
                <w:sz w:val="20"/>
              </w:rPr>
              <w:t>Peeling</w:t>
            </w:r>
            <w:r w:rsidRPr="0058740B">
              <w:rPr>
                <w:rFonts w:ascii="Times New Roman" w:hAnsi="Times New Roman"/>
                <w:sz w:val="20"/>
              </w:rPr>
              <w:br/>
              <w:t>and</w:t>
            </w:r>
            <w:r w:rsidRPr="0058740B">
              <w:rPr>
                <w:rFonts w:ascii="Times New Roman" w:hAnsi="Times New Roman"/>
                <w:sz w:val="20"/>
              </w:rPr>
              <w:br/>
              <w:t>corrosion</w:t>
            </w:r>
          </w:p>
        </w:tc>
        <w:tc>
          <w:tcPr>
            <w:tcW w:w="115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58740B" w:rsidRPr="0058740B" w:rsidRDefault="0058740B" w:rsidP="0095011D">
            <w:pPr>
              <w:pStyle w:val="Tabletext9"/>
              <w:rPr>
                <w:rFonts w:ascii="Times New Roman" w:hAnsi="Times New Roman"/>
                <w:sz w:val="20"/>
              </w:rPr>
            </w:pPr>
            <w:r w:rsidRPr="0058740B">
              <w:rPr>
                <w:rFonts w:ascii="Times New Roman" w:hAnsi="Times New Roman"/>
                <w:sz w:val="20"/>
              </w:rPr>
              <w:t>EN ISO 4628-3:2004</w:t>
            </w:r>
          </w:p>
          <w:p w:rsidR="0058740B" w:rsidRPr="0058740B" w:rsidRDefault="0058740B" w:rsidP="0095011D">
            <w:pPr>
              <w:pStyle w:val="Tabletext9"/>
              <w:rPr>
                <w:rFonts w:ascii="Times New Roman" w:hAnsi="Times New Roman"/>
                <w:sz w:val="20"/>
              </w:rPr>
            </w:pPr>
          </w:p>
        </w:tc>
        <w:tc>
          <w:tcPr>
            <w:tcW w:w="22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58740B" w:rsidRPr="0058740B" w:rsidRDefault="0058740B" w:rsidP="0095011D">
            <w:pPr>
              <w:spacing w:after="120" w:line="276" w:lineRule="auto"/>
              <w:jc w:val="center"/>
            </w:pPr>
            <w:r w:rsidRPr="0058740B">
              <w:t>Max corrosion</w:t>
            </w:r>
            <w:r w:rsidRPr="0058740B">
              <w:br/>
              <w:t>grade:</w:t>
            </w:r>
          </w:p>
          <w:p w:rsidR="0058740B" w:rsidRPr="0058740B" w:rsidRDefault="0058740B" w:rsidP="0095011D">
            <w:pPr>
              <w:spacing w:after="120" w:line="276" w:lineRule="auto"/>
              <w:jc w:val="center"/>
            </w:pPr>
            <w:r w:rsidRPr="0058740B">
              <w:t>Ri2</w:t>
            </w:r>
          </w:p>
        </w:tc>
        <w:tc>
          <w:tcPr>
            <w:tcW w:w="22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58740B" w:rsidRPr="0058740B" w:rsidRDefault="0058740B" w:rsidP="0095011D">
            <w:pPr>
              <w:spacing w:after="120" w:line="276" w:lineRule="auto"/>
              <w:jc w:val="center"/>
            </w:pPr>
            <w:r w:rsidRPr="0058740B">
              <w:rPr>
                <w:iCs/>
                <w:w w:val="105"/>
              </w:rPr>
              <w:t>Q</w:t>
            </w:r>
            <w:r w:rsidRPr="0058740B">
              <w:t>/1 000</w:t>
            </w:r>
          </w:p>
        </w:tc>
        <w:tc>
          <w:tcPr>
            <w:tcW w:w="1947" w:type="dxa"/>
            <w:vMerge/>
            <w:tcBorders>
              <w:left w:val="single" w:sz="6" w:space="0" w:color="auto"/>
              <w:right w:val="single" w:sz="12" w:space="0" w:color="auto"/>
            </w:tcBorders>
            <w:vAlign w:val="center"/>
            <w:hideMark/>
          </w:tcPr>
          <w:p w:rsidR="0058740B" w:rsidRPr="0058740B" w:rsidRDefault="0058740B" w:rsidP="0095011D">
            <w:pPr>
              <w:spacing w:after="120" w:line="276" w:lineRule="auto"/>
            </w:pPr>
          </w:p>
        </w:tc>
      </w:tr>
      <w:tr w:rsidR="0058740B" w:rsidRPr="0058740B" w:rsidTr="0095011D">
        <w:trPr>
          <w:trHeight w:hRule="exact" w:val="957"/>
        </w:trPr>
        <w:tc>
          <w:tcPr>
            <w:tcW w:w="1119" w:type="dxa"/>
            <w:vMerge/>
            <w:tcBorders>
              <w:left w:val="single" w:sz="12" w:space="0" w:color="auto"/>
              <w:bottom w:val="single" w:sz="6" w:space="0" w:color="auto"/>
              <w:right w:val="single" w:sz="6" w:space="0" w:color="auto"/>
            </w:tcBorders>
            <w:vAlign w:val="center"/>
          </w:tcPr>
          <w:p w:rsidR="0058740B" w:rsidRPr="0058740B" w:rsidRDefault="0058740B" w:rsidP="0095011D">
            <w:pPr>
              <w:spacing w:after="120" w:line="276" w:lineRule="auto"/>
            </w:pPr>
          </w:p>
        </w:tc>
        <w:tc>
          <w:tcPr>
            <w:tcW w:w="113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58740B" w:rsidRPr="0058740B" w:rsidRDefault="0058740B" w:rsidP="0095011D">
            <w:pPr>
              <w:pStyle w:val="Tabletext9"/>
              <w:rPr>
                <w:rFonts w:ascii="Times New Roman" w:hAnsi="Times New Roman"/>
                <w:sz w:val="20"/>
              </w:rPr>
            </w:pPr>
            <w:r w:rsidRPr="0058740B">
              <w:rPr>
                <w:rFonts w:ascii="Times New Roman" w:hAnsi="Times New Roman"/>
                <w:sz w:val="20"/>
              </w:rPr>
              <w:t>Adhesion of Polyurethane</w:t>
            </w:r>
          </w:p>
        </w:tc>
        <w:tc>
          <w:tcPr>
            <w:tcW w:w="115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58740B" w:rsidRPr="0058740B" w:rsidRDefault="0058740B" w:rsidP="0095011D">
            <w:pPr>
              <w:pStyle w:val="Tabletext9"/>
              <w:rPr>
                <w:rFonts w:ascii="Times New Roman" w:hAnsi="Times New Roman"/>
                <w:sz w:val="20"/>
              </w:rPr>
            </w:pPr>
            <w:r w:rsidRPr="0058740B">
              <w:rPr>
                <w:rFonts w:ascii="Times New Roman" w:hAnsi="Times New Roman"/>
                <w:sz w:val="20"/>
              </w:rPr>
              <w:t>ISO 2859-1</w:t>
            </w:r>
          </w:p>
        </w:tc>
        <w:tc>
          <w:tcPr>
            <w:tcW w:w="22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58740B" w:rsidRPr="0058740B" w:rsidRDefault="0058740B" w:rsidP="0095011D">
            <w:pPr>
              <w:spacing w:after="120" w:line="276" w:lineRule="auto"/>
              <w:jc w:val="center"/>
            </w:pPr>
            <w:r w:rsidRPr="0058740B">
              <w:t>Adhesion value &gt; 0.5 N/mm²</w:t>
            </w:r>
          </w:p>
        </w:tc>
        <w:tc>
          <w:tcPr>
            <w:tcW w:w="22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58740B" w:rsidRPr="0058740B" w:rsidRDefault="0058740B" w:rsidP="0095011D">
            <w:pPr>
              <w:spacing w:after="120" w:line="276" w:lineRule="auto"/>
              <w:jc w:val="center"/>
              <w:rPr>
                <w:position w:val="-12"/>
              </w:rPr>
            </w:pPr>
            <w:r w:rsidRPr="0058740B">
              <w:rPr>
                <w:position w:val="-12"/>
              </w:rPr>
              <w:t>See ISO 2859-1 applied to Q/1000</w:t>
            </w:r>
          </w:p>
        </w:tc>
        <w:tc>
          <w:tcPr>
            <w:tcW w:w="1947" w:type="dxa"/>
            <w:vMerge/>
            <w:tcBorders>
              <w:left w:val="single" w:sz="6" w:space="0" w:color="auto"/>
              <w:bottom w:val="single" w:sz="6" w:space="0" w:color="auto"/>
              <w:right w:val="single" w:sz="12" w:space="0" w:color="auto"/>
            </w:tcBorders>
            <w:vAlign w:val="center"/>
          </w:tcPr>
          <w:p w:rsidR="0058740B" w:rsidRPr="0058740B" w:rsidRDefault="0058740B" w:rsidP="0095011D">
            <w:pPr>
              <w:spacing w:after="120" w:line="276" w:lineRule="auto"/>
            </w:pPr>
          </w:p>
        </w:tc>
      </w:tr>
      <w:tr w:rsidR="0058740B" w:rsidRPr="0058740B" w:rsidTr="0095011D">
        <w:trPr>
          <w:trHeight w:val="694"/>
        </w:trPr>
        <w:tc>
          <w:tcPr>
            <w:tcW w:w="9870" w:type="dxa"/>
            <w:gridSpan w:val="6"/>
            <w:tcBorders>
              <w:top w:val="single" w:sz="6"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58740B" w:rsidRPr="0058740B" w:rsidRDefault="0058740B" w:rsidP="0095011D">
            <w:pPr>
              <w:spacing w:after="120" w:line="276" w:lineRule="auto"/>
            </w:pPr>
            <w:r w:rsidRPr="0058740B">
              <w:rPr>
                <w:iCs/>
                <w:w w:val="105"/>
              </w:rPr>
              <w:t>Q</w:t>
            </w:r>
            <w:r w:rsidRPr="0058740B">
              <w:rPr>
                <w:iCs/>
                <w:w w:val="105"/>
              </w:rPr>
              <w:tab/>
            </w:r>
            <w:r w:rsidRPr="0058740B">
              <w:t>Represents the production group.</w:t>
            </w:r>
          </w:p>
          <w:p w:rsidR="0058740B" w:rsidRPr="0058740B" w:rsidRDefault="0058740B" w:rsidP="0095011D">
            <w:pPr>
              <w:spacing w:after="120" w:line="276" w:lineRule="auto"/>
            </w:pPr>
            <w:r w:rsidRPr="0058740B">
              <w:rPr>
                <w:iCs/>
                <w:w w:val="105"/>
              </w:rPr>
              <w:t>q</w:t>
            </w:r>
            <w:r w:rsidRPr="0058740B">
              <w:rPr>
                <w:iCs/>
                <w:w w:val="105"/>
              </w:rPr>
              <w:tab/>
            </w:r>
            <w:r w:rsidRPr="0058740B">
              <w:t>Represents a continuous over-moulded cylinder batch.</w:t>
            </w:r>
          </w:p>
        </w:tc>
      </w:tr>
    </w:tbl>
    <w:p w:rsidR="00456308" w:rsidRPr="009E323B" w:rsidRDefault="00456308" w:rsidP="00873E14">
      <w:pPr>
        <w:pStyle w:val="ListContinue2"/>
        <w:spacing w:line="220" w:lineRule="exact"/>
        <w:ind w:left="826"/>
        <w:rPr>
          <w:rFonts w:cs="Arial"/>
          <w:iCs/>
          <w:w w:val="105"/>
        </w:rPr>
      </w:pPr>
    </w:p>
    <w:p w:rsidR="00940807" w:rsidRPr="002866A3" w:rsidRDefault="002D5E46" w:rsidP="0055613B">
      <w:pPr>
        <w:pStyle w:val="SingleTxtG"/>
        <w:ind w:left="1689"/>
        <w:rPr>
          <w:i/>
          <w:lang w:val="en-GB"/>
        </w:rPr>
      </w:pPr>
      <w:r w:rsidRPr="002866A3">
        <w:rPr>
          <w:vertAlign w:val="superscript"/>
          <w:lang w:val="en-GB"/>
        </w:rPr>
        <w:t>(*)</w:t>
      </w:r>
      <w:r w:rsidRPr="009E323B">
        <w:rPr>
          <w:lang w:val="en-GB"/>
        </w:rPr>
        <w:t xml:space="preserve"> </w:t>
      </w:r>
      <w:r w:rsidR="002866A3">
        <w:rPr>
          <w:lang w:val="en-GB"/>
        </w:rPr>
        <w:tab/>
      </w:r>
      <w:proofErr w:type="gramStart"/>
      <w:r w:rsidRPr="002866A3">
        <w:rPr>
          <w:i/>
          <w:lang w:val="en-GB"/>
        </w:rPr>
        <w:t>For each of the two groups of figures (burst pressure and volumetric expansion), the “right” unilateral</w:t>
      </w:r>
      <w:r w:rsidR="0012564C" w:rsidRPr="002866A3">
        <w:rPr>
          <w:i/>
          <w:lang w:val="en-GB"/>
        </w:rPr>
        <w:t xml:space="preserve"> </w:t>
      </w:r>
      <w:r w:rsidRPr="002866A3">
        <w:rPr>
          <w:i/>
          <w:lang w:val="en-GB"/>
        </w:rPr>
        <w:t>statistical tolerance interval shall be calculated for a confidence level of 95% and a fraction of population equal to 99%.</w:t>
      </w:r>
      <w:proofErr w:type="gramEnd"/>
      <w:r w:rsidRPr="002866A3">
        <w:rPr>
          <w:i/>
          <w:lang w:val="en-GB"/>
        </w:rPr>
        <w:t xml:space="preserve"> The calculation is made in accordance with the standard ISO 16269-6</w:t>
      </w:r>
      <w:r w:rsidR="00DC76C1" w:rsidRPr="002866A3">
        <w:rPr>
          <w:i/>
          <w:lang w:val="en-GB"/>
        </w:rPr>
        <w:t>:2005</w:t>
      </w:r>
      <w:r w:rsidRPr="002866A3">
        <w:rPr>
          <w:i/>
          <w:lang w:val="en-GB"/>
        </w:rPr>
        <w:t xml:space="preserve"> admitting, for each of the OMC inspection lots, the normality of the population and considering that the variance is unknown.</w:t>
      </w:r>
    </w:p>
    <w:p w:rsidR="002D5E46" w:rsidRPr="002866A3" w:rsidRDefault="00940807" w:rsidP="0055613B">
      <w:pPr>
        <w:pStyle w:val="SingleTxtG"/>
        <w:ind w:left="1689"/>
        <w:rPr>
          <w:i/>
          <w:lang w:val="en-GB"/>
        </w:rPr>
      </w:pPr>
      <w:r w:rsidRPr="002866A3">
        <w:rPr>
          <w:i/>
          <w:lang w:val="en-GB"/>
        </w:rPr>
        <w:lastRenderedPageBreak/>
        <w:t>Tests results of each sample shall be checked concerning their character of distribution function</w:t>
      </w:r>
      <w:r w:rsidR="00644A0F" w:rsidRPr="002866A3">
        <w:rPr>
          <w:i/>
          <w:lang w:val="en-GB"/>
        </w:rPr>
        <w:t xml:space="preserve">. If the distribution </w:t>
      </w:r>
      <w:r w:rsidRPr="002866A3">
        <w:rPr>
          <w:i/>
          <w:lang w:val="en-GB"/>
        </w:rPr>
        <w:t xml:space="preserve">of tests results </w:t>
      </w:r>
      <w:r w:rsidR="00644A0F" w:rsidRPr="002866A3">
        <w:rPr>
          <w:i/>
          <w:lang w:val="en-GB"/>
        </w:rPr>
        <w:t>do</w:t>
      </w:r>
      <w:r w:rsidR="007F30E2" w:rsidRPr="002866A3">
        <w:rPr>
          <w:i/>
          <w:lang w:val="en-GB"/>
        </w:rPr>
        <w:t>es</w:t>
      </w:r>
      <w:r w:rsidR="00644A0F" w:rsidRPr="002866A3">
        <w:rPr>
          <w:i/>
          <w:lang w:val="en-GB"/>
        </w:rPr>
        <w:t xml:space="preserve"> not </w:t>
      </w:r>
      <w:r w:rsidR="00B91738" w:rsidRPr="002866A3">
        <w:rPr>
          <w:i/>
          <w:lang w:val="en-GB"/>
        </w:rPr>
        <w:t>follow a</w:t>
      </w:r>
      <w:r w:rsidR="00644A0F" w:rsidRPr="002866A3">
        <w:rPr>
          <w:i/>
          <w:lang w:val="en-GB"/>
        </w:rPr>
        <w:t xml:space="preserve"> normal</w:t>
      </w:r>
      <w:r w:rsidR="00B91738" w:rsidRPr="002866A3">
        <w:rPr>
          <w:i/>
          <w:lang w:val="en-GB"/>
        </w:rPr>
        <w:t xml:space="preserve"> distribution</w:t>
      </w:r>
      <w:r w:rsidR="00644A0F" w:rsidRPr="002866A3">
        <w:rPr>
          <w:i/>
          <w:lang w:val="en-GB"/>
        </w:rPr>
        <w:t>, the</w:t>
      </w:r>
      <w:r w:rsidR="004A0608" w:rsidRPr="002866A3">
        <w:rPr>
          <w:i/>
          <w:lang w:val="en-GB"/>
        </w:rPr>
        <w:t xml:space="preserve"> relevant distribution shall be </w:t>
      </w:r>
      <w:r w:rsidR="00644A0F" w:rsidRPr="002866A3">
        <w:rPr>
          <w:i/>
          <w:lang w:val="en-GB"/>
        </w:rPr>
        <w:t>used to make the calculation</w:t>
      </w:r>
      <w:r w:rsidR="004A0608" w:rsidRPr="002866A3">
        <w:rPr>
          <w:i/>
          <w:lang w:val="en-GB"/>
        </w:rPr>
        <w:t>, and this additional complement shall be validated by an independent institute, according to sub-section (h) of 6.2.3.5.3.1</w:t>
      </w:r>
      <w:r w:rsidR="00644A0F" w:rsidRPr="002866A3">
        <w:rPr>
          <w:i/>
          <w:lang w:val="en-GB"/>
        </w:rPr>
        <w:t>.</w:t>
      </w:r>
    </w:p>
    <w:p w:rsidR="00057A0B" w:rsidRPr="002866A3" w:rsidRDefault="002D5E46" w:rsidP="00A15650">
      <w:pPr>
        <w:pStyle w:val="SingleTxtG"/>
        <w:ind w:left="1689"/>
        <w:rPr>
          <w:i/>
          <w:lang w:val="en-GB"/>
        </w:rPr>
      </w:pPr>
      <w:r w:rsidRPr="002866A3">
        <w:rPr>
          <w:i/>
          <w:lang w:val="en-GB"/>
        </w:rPr>
        <w:t xml:space="preserve">The tolerance interval with coverage p at confidence level 1 – α has lower limit </w:t>
      </w:r>
      <w:proofErr w:type="spellStart"/>
      <w:proofErr w:type="gramStart"/>
      <w:r w:rsidRPr="002866A3">
        <w:rPr>
          <w:i/>
          <w:lang w:val="en-GB"/>
        </w:rPr>
        <w:t>xL</w:t>
      </w:r>
      <w:proofErr w:type="spellEnd"/>
      <w:proofErr w:type="gramEnd"/>
      <w:r w:rsidRPr="002866A3">
        <w:rPr>
          <w:i/>
          <w:lang w:val="en-GB"/>
        </w:rPr>
        <w:t xml:space="preserve"> defined by this formula:</w:t>
      </w:r>
    </w:p>
    <w:p w:rsidR="00057A0B" w:rsidRPr="002866A3" w:rsidRDefault="002D5E46" w:rsidP="00A15650">
      <w:pPr>
        <w:pStyle w:val="SingleTxtG"/>
        <w:ind w:left="1689"/>
        <w:jc w:val="center"/>
        <w:rPr>
          <w:i/>
          <w:lang w:val="en-GB"/>
        </w:rPr>
      </w:pPr>
      <w:proofErr w:type="spellStart"/>
      <w:proofErr w:type="gramStart"/>
      <w:r w:rsidRPr="002866A3">
        <w:rPr>
          <w:i/>
          <w:lang w:val="en-GB"/>
        </w:rPr>
        <w:t>xL</w:t>
      </w:r>
      <w:proofErr w:type="spellEnd"/>
      <w:proofErr w:type="gramEnd"/>
      <w:r w:rsidRPr="002866A3">
        <w:rPr>
          <w:i/>
          <w:lang w:val="en-GB"/>
        </w:rPr>
        <w:t xml:space="preserve"> = x – k3(n</w:t>
      </w:r>
      <w:r w:rsidR="00057A0B" w:rsidRPr="002866A3">
        <w:rPr>
          <w:i/>
          <w:lang w:val="en-GB"/>
        </w:rPr>
        <w:t>;p;1-α)×s</w:t>
      </w:r>
    </w:p>
    <w:p w:rsidR="002D5E46" w:rsidRPr="002866A3" w:rsidRDefault="002D5E46" w:rsidP="0012564C">
      <w:pPr>
        <w:pStyle w:val="SingleTxtG"/>
        <w:ind w:left="1689"/>
        <w:rPr>
          <w:i/>
          <w:lang w:val="en-GB"/>
        </w:rPr>
      </w:pPr>
      <w:proofErr w:type="gramStart"/>
      <w:r w:rsidRPr="002866A3">
        <w:rPr>
          <w:i/>
          <w:lang w:val="en-GB"/>
        </w:rPr>
        <w:t>with</w:t>
      </w:r>
      <w:proofErr w:type="gramEnd"/>
    </w:p>
    <w:p w:rsidR="002D5E46" w:rsidRPr="002866A3" w:rsidRDefault="002D5E46" w:rsidP="0012564C">
      <w:pPr>
        <w:pStyle w:val="SingleTxtG"/>
        <w:ind w:left="2268"/>
        <w:rPr>
          <w:i/>
          <w:lang w:val="en-GB"/>
        </w:rPr>
      </w:pPr>
      <w:proofErr w:type="gramStart"/>
      <w:r w:rsidRPr="002866A3">
        <w:rPr>
          <w:i/>
          <w:lang w:val="en-GB"/>
        </w:rPr>
        <w:t xml:space="preserve">x </w:t>
      </w:r>
      <w:r w:rsidR="00057A0B" w:rsidRPr="002866A3">
        <w:rPr>
          <w:i/>
          <w:lang w:val="en-GB"/>
        </w:rPr>
        <w:t>:</w:t>
      </w:r>
      <w:proofErr w:type="gramEnd"/>
      <w:r w:rsidR="00057A0B" w:rsidRPr="002866A3">
        <w:rPr>
          <w:i/>
          <w:lang w:val="en-GB"/>
        </w:rPr>
        <w:t xml:space="preserve"> </w:t>
      </w:r>
      <w:r w:rsidRPr="002866A3">
        <w:rPr>
          <w:i/>
          <w:lang w:val="en-GB"/>
        </w:rPr>
        <w:t>sample mean;</w:t>
      </w:r>
    </w:p>
    <w:p w:rsidR="002D5E46" w:rsidRPr="002866A3" w:rsidRDefault="002D5E46" w:rsidP="0012564C">
      <w:pPr>
        <w:pStyle w:val="SingleTxtG"/>
        <w:ind w:left="2268"/>
        <w:rPr>
          <w:i/>
          <w:lang w:val="en-GB"/>
        </w:rPr>
      </w:pPr>
      <w:proofErr w:type="gramStart"/>
      <w:r w:rsidRPr="002866A3">
        <w:rPr>
          <w:i/>
          <w:lang w:val="en-GB"/>
        </w:rPr>
        <w:t xml:space="preserve">s </w:t>
      </w:r>
      <w:r w:rsidR="00057A0B" w:rsidRPr="002866A3">
        <w:rPr>
          <w:i/>
          <w:lang w:val="en-GB"/>
        </w:rPr>
        <w:t>:</w:t>
      </w:r>
      <w:proofErr w:type="gramEnd"/>
      <w:r w:rsidR="00057A0B" w:rsidRPr="002866A3">
        <w:rPr>
          <w:i/>
          <w:lang w:val="en-GB"/>
        </w:rPr>
        <w:t xml:space="preserve"> </w:t>
      </w:r>
      <w:r w:rsidRPr="002866A3">
        <w:rPr>
          <w:i/>
          <w:lang w:val="en-GB"/>
        </w:rPr>
        <w:t>sample standard deviation;</w:t>
      </w:r>
    </w:p>
    <w:p w:rsidR="00057A0B" w:rsidRPr="002866A3" w:rsidRDefault="002D5E46" w:rsidP="00305E1E">
      <w:pPr>
        <w:pStyle w:val="SingleTxtG"/>
        <w:ind w:left="2268"/>
        <w:rPr>
          <w:i/>
          <w:lang w:val="en-GB"/>
        </w:rPr>
      </w:pPr>
      <w:r w:rsidRPr="002866A3">
        <w:rPr>
          <w:i/>
          <w:lang w:val="en-GB"/>
        </w:rPr>
        <w:t>k3</w:t>
      </w:r>
      <w:r w:rsidR="00057A0B" w:rsidRPr="002866A3">
        <w:rPr>
          <w:i/>
          <w:lang w:val="en-GB"/>
        </w:rPr>
        <w:t xml:space="preserve">: </w:t>
      </w:r>
      <w:r w:rsidRPr="002866A3">
        <w:rPr>
          <w:i/>
          <w:lang w:val="en-GB"/>
        </w:rPr>
        <w:t xml:space="preserve"> tabulated factor function of n, p and 1-α;</w:t>
      </w:r>
    </w:p>
    <w:p w:rsidR="00057A0B" w:rsidRPr="002866A3" w:rsidRDefault="002D5E46" w:rsidP="00305E1E">
      <w:pPr>
        <w:pStyle w:val="SingleTxtG"/>
        <w:ind w:left="1689"/>
        <w:rPr>
          <w:i/>
          <w:lang w:val="en-GB"/>
        </w:rPr>
      </w:pPr>
      <w:proofErr w:type="gramStart"/>
      <w:r w:rsidRPr="002866A3">
        <w:rPr>
          <w:i/>
          <w:lang w:val="en-GB"/>
        </w:rPr>
        <w:t xml:space="preserve">NOTE </w:t>
      </w:r>
      <w:r w:rsidR="00057A0B" w:rsidRPr="002866A3">
        <w:rPr>
          <w:i/>
          <w:lang w:val="en-GB"/>
        </w:rPr>
        <w:t>:</w:t>
      </w:r>
      <w:proofErr w:type="gramEnd"/>
      <w:r w:rsidR="00057A0B" w:rsidRPr="002866A3">
        <w:rPr>
          <w:i/>
          <w:lang w:val="en-GB"/>
        </w:rPr>
        <w:t xml:space="preserve"> </w:t>
      </w:r>
      <w:r w:rsidRPr="002866A3">
        <w:rPr>
          <w:i/>
          <w:lang w:val="en-GB"/>
        </w:rPr>
        <w:t>This value can be read from the Table D.4 given in Annex D of ISO 16269-6:2005.</w:t>
      </w:r>
    </w:p>
    <w:p w:rsidR="002D5E46" w:rsidRPr="002866A3" w:rsidRDefault="002D5E46" w:rsidP="0012564C">
      <w:pPr>
        <w:pStyle w:val="SingleTxtG"/>
        <w:ind w:left="2268"/>
        <w:rPr>
          <w:i/>
          <w:lang w:val="en-GB"/>
        </w:rPr>
      </w:pPr>
      <w:proofErr w:type="gramStart"/>
      <w:r w:rsidRPr="002866A3">
        <w:rPr>
          <w:i/>
          <w:lang w:val="en-GB"/>
        </w:rPr>
        <w:t xml:space="preserve">p </w:t>
      </w:r>
      <w:r w:rsidR="00057A0B" w:rsidRPr="002866A3">
        <w:rPr>
          <w:i/>
          <w:lang w:val="en-GB"/>
        </w:rPr>
        <w:t>:</w:t>
      </w:r>
      <w:proofErr w:type="gramEnd"/>
      <w:r w:rsidR="00057A0B" w:rsidRPr="002866A3">
        <w:rPr>
          <w:i/>
          <w:lang w:val="en-GB"/>
        </w:rPr>
        <w:t xml:space="preserve"> </w:t>
      </w:r>
      <w:r w:rsidRPr="002866A3">
        <w:rPr>
          <w:i/>
          <w:lang w:val="en-GB"/>
        </w:rPr>
        <w:t>proportion of the population selected for the tolerance interval (99%);</w:t>
      </w:r>
    </w:p>
    <w:p w:rsidR="002D5E46" w:rsidRPr="002866A3" w:rsidRDefault="002D5E46" w:rsidP="0012564C">
      <w:pPr>
        <w:pStyle w:val="SingleTxtG"/>
        <w:ind w:left="2268"/>
        <w:rPr>
          <w:i/>
          <w:lang w:val="en-GB"/>
        </w:rPr>
      </w:pPr>
      <w:r w:rsidRPr="002866A3">
        <w:rPr>
          <w:i/>
          <w:lang w:val="en-GB"/>
        </w:rPr>
        <w:t xml:space="preserve">1- </w:t>
      </w:r>
      <w:proofErr w:type="gramStart"/>
      <w:r w:rsidRPr="002866A3">
        <w:rPr>
          <w:i/>
          <w:lang w:val="en-GB"/>
        </w:rPr>
        <w:t xml:space="preserve">α </w:t>
      </w:r>
      <w:r w:rsidR="00057A0B" w:rsidRPr="002866A3">
        <w:rPr>
          <w:i/>
          <w:lang w:val="en-GB"/>
        </w:rPr>
        <w:t>:</w:t>
      </w:r>
      <w:proofErr w:type="gramEnd"/>
      <w:r w:rsidR="00057A0B" w:rsidRPr="002866A3">
        <w:rPr>
          <w:i/>
          <w:lang w:val="en-GB"/>
        </w:rPr>
        <w:t xml:space="preserve"> </w:t>
      </w:r>
      <w:r w:rsidRPr="002866A3">
        <w:rPr>
          <w:i/>
          <w:lang w:val="en-GB"/>
        </w:rPr>
        <w:t>confidence level (95%);</w:t>
      </w:r>
    </w:p>
    <w:p w:rsidR="002D5E46" w:rsidRPr="002866A3" w:rsidRDefault="002D5E46" w:rsidP="0012564C">
      <w:pPr>
        <w:pStyle w:val="SingleTxtG"/>
        <w:ind w:left="2268"/>
        <w:rPr>
          <w:i/>
          <w:lang w:val="en-GB"/>
        </w:rPr>
      </w:pPr>
      <w:proofErr w:type="gramStart"/>
      <w:r w:rsidRPr="002866A3">
        <w:rPr>
          <w:i/>
          <w:lang w:val="en-GB"/>
        </w:rPr>
        <w:t xml:space="preserve">n </w:t>
      </w:r>
      <w:r w:rsidR="00057A0B" w:rsidRPr="002866A3">
        <w:rPr>
          <w:i/>
          <w:lang w:val="en-GB"/>
        </w:rPr>
        <w:t>:</w:t>
      </w:r>
      <w:proofErr w:type="gramEnd"/>
      <w:r w:rsidR="00057A0B" w:rsidRPr="002866A3">
        <w:rPr>
          <w:i/>
          <w:lang w:val="en-GB"/>
        </w:rPr>
        <w:t xml:space="preserve"> </w:t>
      </w:r>
      <w:r w:rsidRPr="002866A3">
        <w:rPr>
          <w:i/>
          <w:lang w:val="en-GB"/>
        </w:rPr>
        <w:t>sample size.</w:t>
      </w:r>
    </w:p>
    <w:p w:rsidR="002D5E46" w:rsidRPr="002866A3" w:rsidRDefault="002D5E46" w:rsidP="0012564C">
      <w:pPr>
        <w:pStyle w:val="SingleTxtG"/>
        <w:ind w:left="1689"/>
        <w:rPr>
          <w:i/>
          <w:lang w:val="en-GB"/>
        </w:rPr>
      </w:pPr>
      <w:r w:rsidRPr="002866A3">
        <w:rPr>
          <w:vertAlign w:val="superscript"/>
          <w:lang w:val="en-GB"/>
        </w:rPr>
        <w:t>(**)</w:t>
      </w:r>
      <w:r w:rsidR="002866A3" w:rsidRPr="002866A3">
        <w:rPr>
          <w:i/>
          <w:lang w:val="en-GB"/>
        </w:rPr>
        <w:tab/>
      </w:r>
      <w:r w:rsidR="005934A0" w:rsidRPr="002866A3">
        <w:rPr>
          <w:i/>
          <w:lang w:val="en-GB"/>
        </w:rPr>
        <w:t>-</w:t>
      </w:r>
      <w:r w:rsidR="005934A0" w:rsidRPr="002866A3">
        <w:rPr>
          <w:i/>
          <w:lang w:val="en-GB"/>
        </w:rPr>
        <w:tab/>
      </w:r>
      <w:r w:rsidRPr="002866A3">
        <w:rPr>
          <w:i/>
          <w:lang w:val="en-GB"/>
        </w:rPr>
        <w:t>For the cylinders manufactured according to Directive 84/527/EEC [8], the volumetric expansion</w:t>
      </w:r>
      <w:r w:rsidR="0012564C" w:rsidRPr="002866A3">
        <w:rPr>
          <w:i/>
          <w:lang w:val="en-GB"/>
        </w:rPr>
        <w:t xml:space="preserve"> </w:t>
      </w:r>
      <w:r w:rsidRPr="002866A3">
        <w:rPr>
          <w:i/>
          <w:lang w:val="en-GB"/>
        </w:rPr>
        <w:t>cannot be lower than:</w:t>
      </w:r>
    </w:p>
    <w:p w:rsidR="002D5E46" w:rsidRPr="002866A3" w:rsidRDefault="005934A0" w:rsidP="0012564C">
      <w:pPr>
        <w:pStyle w:val="SingleTxtG"/>
        <w:ind w:left="2268"/>
        <w:rPr>
          <w:i/>
          <w:lang w:val="en-GB"/>
        </w:rPr>
      </w:pPr>
      <w:r w:rsidRPr="002866A3">
        <w:rPr>
          <w:i/>
          <w:lang w:val="en-GB"/>
        </w:rPr>
        <w:t>(a)</w:t>
      </w:r>
      <w:r w:rsidRPr="002866A3">
        <w:rPr>
          <w:i/>
          <w:lang w:val="en-GB"/>
        </w:rPr>
        <w:tab/>
      </w:r>
      <w:r w:rsidR="002D5E46" w:rsidRPr="002866A3">
        <w:rPr>
          <w:i/>
          <w:lang w:val="en-GB"/>
        </w:rPr>
        <w:t>15% for the tests done 3 years after manufacturing;</w:t>
      </w:r>
    </w:p>
    <w:p w:rsidR="002D5E46" w:rsidRPr="002866A3" w:rsidRDefault="005934A0" w:rsidP="0012564C">
      <w:pPr>
        <w:pStyle w:val="SingleTxtG"/>
        <w:ind w:left="2268"/>
        <w:rPr>
          <w:i/>
          <w:lang w:val="en-GB"/>
        </w:rPr>
      </w:pPr>
      <w:r w:rsidRPr="002866A3">
        <w:rPr>
          <w:i/>
          <w:lang w:val="en-GB"/>
        </w:rPr>
        <w:t>(b)</w:t>
      </w:r>
      <w:r w:rsidRPr="002866A3">
        <w:rPr>
          <w:i/>
          <w:lang w:val="en-GB"/>
        </w:rPr>
        <w:tab/>
      </w:r>
      <w:r w:rsidR="002D5E46" w:rsidRPr="002866A3">
        <w:rPr>
          <w:i/>
          <w:lang w:val="en-GB"/>
        </w:rPr>
        <w:t>13% for the tests done 8 years after manufacturing;</w:t>
      </w:r>
    </w:p>
    <w:p w:rsidR="00057A0B" w:rsidRPr="002866A3" w:rsidRDefault="005934A0" w:rsidP="0055613B">
      <w:pPr>
        <w:pStyle w:val="SingleTxtG"/>
        <w:ind w:left="2268"/>
        <w:rPr>
          <w:i/>
          <w:lang w:val="en-GB"/>
        </w:rPr>
      </w:pPr>
      <w:r w:rsidRPr="002866A3">
        <w:rPr>
          <w:i/>
          <w:lang w:val="en-GB"/>
        </w:rPr>
        <w:t>(c)</w:t>
      </w:r>
      <w:r w:rsidRPr="002866A3">
        <w:rPr>
          <w:i/>
          <w:lang w:val="en-GB"/>
        </w:rPr>
        <w:tab/>
      </w:r>
      <w:r w:rsidR="002D5E46" w:rsidRPr="002866A3">
        <w:rPr>
          <w:i/>
          <w:lang w:val="en-GB"/>
        </w:rPr>
        <w:t xml:space="preserve">12% for the tests done every 5 years </w:t>
      </w:r>
      <w:proofErr w:type="gramStart"/>
      <w:r w:rsidR="002D5E46" w:rsidRPr="002866A3">
        <w:rPr>
          <w:i/>
          <w:lang w:val="en-GB"/>
        </w:rPr>
        <w:t>thereafter ;</w:t>
      </w:r>
      <w:proofErr w:type="gramEnd"/>
    </w:p>
    <w:p w:rsidR="00057A0B" w:rsidRPr="002866A3" w:rsidRDefault="002866A3" w:rsidP="0055613B">
      <w:pPr>
        <w:pStyle w:val="SingleTxtG"/>
        <w:ind w:left="1689"/>
        <w:rPr>
          <w:i/>
          <w:lang w:val="en-GB"/>
        </w:rPr>
      </w:pPr>
      <w:r w:rsidRPr="002866A3">
        <w:rPr>
          <w:i/>
          <w:lang w:val="en-GB"/>
        </w:rPr>
        <w:tab/>
      </w:r>
      <w:r w:rsidRPr="002866A3">
        <w:rPr>
          <w:i/>
          <w:lang w:val="en-GB"/>
        </w:rPr>
        <w:tab/>
      </w:r>
      <w:r w:rsidR="005934A0" w:rsidRPr="002866A3">
        <w:rPr>
          <w:i/>
          <w:lang w:val="en-GB"/>
        </w:rPr>
        <w:t>-</w:t>
      </w:r>
      <w:r w:rsidR="005934A0" w:rsidRPr="002866A3">
        <w:rPr>
          <w:i/>
          <w:lang w:val="en-GB"/>
        </w:rPr>
        <w:tab/>
      </w:r>
      <w:r w:rsidR="00057A0B" w:rsidRPr="002866A3">
        <w:rPr>
          <w:i/>
          <w:lang w:val="en-GB"/>
        </w:rPr>
        <w:t>F</w:t>
      </w:r>
      <w:r w:rsidR="002D5E46" w:rsidRPr="002866A3">
        <w:rPr>
          <w:i/>
          <w:lang w:val="en-GB"/>
        </w:rPr>
        <w:t>or the cylinders manufactured according to Directive 1999/36/</w:t>
      </w:r>
      <w:proofErr w:type="gramStart"/>
      <w:r w:rsidR="002D5E46" w:rsidRPr="002866A3">
        <w:rPr>
          <w:i/>
          <w:lang w:val="en-GB"/>
        </w:rPr>
        <w:t>EC[</w:t>
      </w:r>
      <w:proofErr w:type="gramEnd"/>
      <w:r w:rsidR="002D5E46" w:rsidRPr="002866A3">
        <w:rPr>
          <w:i/>
          <w:lang w:val="en-GB"/>
        </w:rPr>
        <w:t>9] or Directive 2010/35/EU[10] and</w:t>
      </w:r>
      <w:r w:rsidR="0012564C" w:rsidRPr="002866A3">
        <w:rPr>
          <w:i/>
          <w:lang w:val="en-GB"/>
        </w:rPr>
        <w:t xml:space="preserve"> </w:t>
      </w:r>
      <w:r w:rsidR="002D5E46" w:rsidRPr="002866A3">
        <w:rPr>
          <w:i/>
          <w:lang w:val="en-GB"/>
        </w:rPr>
        <w:t>according to EN 1442, the volumetric expansion cannot be lower than 9%;</w:t>
      </w:r>
    </w:p>
    <w:p w:rsidR="00A84A49" w:rsidRPr="002866A3" w:rsidRDefault="002866A3" w:rsidP="0055613B">
      <w:pPr>
        <w:pStyle w:val="SingleTxtG"/>
        <w:ind w:left="1689"/>
        <w:rPr>
          <w:i/>
          <w:lang w:val="en-GB"/>
        </w:rPr>
      </w:pPr>
      <w:r w:rsidRPr="002866A3">
        <w:rPr>
          <w:i/>
          <w:lang w:val="en-GB"/>
        </w:rPr>
        <w:tab/>
      </w:r>
      <w:r w:rsidRPr="002866A3">
        <w:rPr>
          <w:i/>
          <w:lang w:val="en-GB"/>
        </w:rPr>
        <w:tab/>
      </w:r>
      <w:r w:rsidR="005934A0" w:rsidRPr="002866A3">
        <w:rPr>
          <w:i/>
          <w:lang w:val="en-GB"/>
        </w:rPr>
        <w:t>-</w:t>
      </w:r>
      <w:r w:rsidR="005934A0" w:rsidRPr="002866A3">
        <w:rPr>
          <w:i/>
          <w:lang w:val="en-GB"/>
        </w:rPr>
        <w:tab/>
      </w:r>
      <w:r w:rsidR="00057A0B" w:rsidRPr="002866A3">
        <w:rPr>
          <w:i/>
          <w:lang w:val="en-GB"/>
        </w:rPr>
        <w:t>F</w:t>
      </w:r>
      <w:r w:rsidR="002D5E46" w:rsidRPr="002866A3">
        <w:rPr>
          <w:i/>
          <w:lang w:val="en-GB"/>
        </w:rPr>
        <w:t>or the cylinders manufactured according to Directive 1999/36/EC [9] or Directive 2010/35/EU [10]</w:t>
      </w:r>
      <w:r w:rsidR="0012564C" w:rsidRPr="002866A3">
        <w:rPr>
          <w:i/>
          <w:lang w:val="en-GB"/>
        </w:rPr>
        <w:t xml:space="preserve"> </w:t>
      </w:r>
      <w:r w:rsidR="002D5E46" w:rsidRPr="002866A3">
        <w:rPr>
          <w:i/>
          <w:lang w:val="en-GB"/>
        </w:rPr>
        <w:t>according to EN 14140, it is necessary to have at least 8 years of experience related to the cylinder</w:t>
      </w:r>
      <w:r w:rsidR="0012564C" w:rsidRPr="002866A3">
        <w:rPr>
          <w:i/>
          <w:lang w:val="en-GB"/>
        </w:rPr>
        <w:t xml:space="preserve"> </w:t>
      </w:r>
      <w:r w:rsidR="002D5E46" w:rsidRPr="002866A3">
        <w:rPr>
          <w:i/>
          <w:lang w:val="en-GB"/>
        </w:rPr>
        <w:t>type to determine the criteria for the volumetric expansion.</w:t>
      </w:r>
    </w:p>
    <w:p w:rsidR="00374CB2" w:rsidRPr="009E323B" w:rsidRDefault="005934A0" w:rsidP="005934A0">
      <w:pPr>
        <w:pStyle w:val="SingleTxtG"/>
        <w:ind w:firstLine="567"/>
        <w:rPr>
          <w:lang w:val="en-GB"/>
        </w:rPr>
      </w:pPr>
      <w:r w:rsidRPr="009E323B">
        <w:rPr>
          <w:lang w:val="en-GB"/>
        </w:rPr>
        <w:t>(g)</w:t>
      </w:r>
      <w:r w:rsidRPr="009E323B">
        <w:rPr>
          <w:lang w:val="en-GB"/>
        </w:rPr>
        <w:tab/>
      </w:r>
      <w:r w:rsidR="00374CB2" w:rsidRPr="009E323B">
        <w:rPr>
          <w:lang w:val="en-GB"/>
        </w:rPr>
        <w:t>Measures in case of not satisfying requirements</w:t>
      </w:r>
    </w:p>
    <w:p w:rsidR="00374CB2" w:rsidRPr="009E323B" w:rsidRDefault="00374CB2" w:rsidP="002866A3">
      <w:pPr>
        <w:pStyle w:val="SingleTxtG"/>
        <w:ind w:left="2268"/>
        <w:rPr>
          <w:lang w:val="en-GB"/>
        </w:rPr>
      </w:pPr>
      <w:r w:rsidRPr="009E323B">
        <w:rPr>
          <w:lang w:val="en-GB"/>
        </w:rPr>
        <w:t xml:space="preserve">If a result of the burst test, peeling test or adhesion test does not comply with the criteria detailed in the </w:t>
      </w:r>
      <w:r w:rsidR="00F76846" w:rsidRPr="009E323B">
        <w:rPr>
          <w:lang w:val="en-GB"/>
        </w:rPr>
        <w:t>previous</w:t>
      </w:r>
      <w:r w:rsidRPr="009E323B">
        <w:rPr>
          <w:lang w:val="en-GB"/>
        </w:rPr>
        <w:t xml:space="preserve"> table, potentially affected production batches of over-moulded cylinders shall not be offered for transport and use. In agreement with the competent authority, its delegates or the body which issued the design approval, additional tests might be performed to determine the root cause of the failure and the affected period of the steel cylinder production or of the production of the over-moulding. Over-moulded cylinders not produced in the affected period may be offered for filling again.</w:t>
      </w:r>
    </w:p>
    <w:p w:rsidR="00374CB2" w:rsidRPr="009E323B" w:rsidRDefault="005934A0" w:rsidP="005934A0">
      <w:pPr>
        <w:pStyle w:val="SingleTxtG"/>
        <w:ind w:left="1689"/>
        <w:rPr>
          <w:lang w:val="en-GB"/>
        </w:rPr>
      </w:pPr>
      <w:r w:rsidRPr="009E323B">
        <w:rPr>
          <w:lang w:val="en-GB"/>
        </w:rPr>
        <w:t>(h)</w:t>
      </w:r>
      <w:r w:rsidRPr="009E323B">
        <w:rPr>
          <w:lang w:val="en-GB"/>
        </w:rPr>
        <w:tab/>
      </w:r>
      <w:r w:rsidR="00374CB2" w:rsidRPr="009E323B">
        <w:rPr>
          <w:lang w:val="en-GB"/>
        </w:rPr>
        <w:t xml:space="preserve">Filling </w:t>
      </w:r>
      <w:r w:rsidR="008B5A75" w:rsidRPr="009E323B">
        <w:rPr>
          <w:lang w:val="en-GB"/>
        </w:rPr>
        <w:t>centre</w:t>
      </w:r>
      <w:r w:rsidR="00374CB2" w:rsidRPr="009E323B">
        <w:rPr>
          <w:lang w:val="en-GB"/>
        </w:rPr>
        <w:t xml:space="preserve"> requirements</w:t>
      </w:r>
    </w:p>
    <w:p w:rsidR="00374CB2" w:rsidRPr="009E323B" w:rsidRDefault="00374CB2" w:rsidP="00990E3D">
      <w:pPr>
        <w:pStyle w:val="SingleTxtG"/>
        <w:ind w:left="2268"/>
        <w:rPr>
          <w:lang w:val="en-GB"/>
        </w:rPr>
      </w:pPr>
      <w:r w:rsidRPr="009E323B">
        <w:rPr>
          <w:lang w:val="en-GB"/>
        </w:rPr>
        <w:t xml:space="preserve">The owner shall demonstrate to the satisfaction of the competent authority that the over-moulded cylinders are only filled in filling </w:t>
      </w:r>
      <w:r w:rsidR="008B5A75" w:rsidRPr="009E323B">
        <w:rPr>
          <w:lang w:val="en-GB"/>
        </w:rPr>
        <w:t>centres</w:t>
      </w:r>
      <w:r w:rsidRPr="009E323B">
        <w:rPr>
          <w:lang w:val="en-GB"/>
        </w:rPr>
        <w:t xml:space="preserve"> applying a documented quality system to ensure that all the provisions of paragraph (7) </w:t>
      </w:r>
      <w:r w:rsidRPr="009E323B">
        <w:rPr>
          <w:lang w:val="en-GB"/>
        </w:rPr>
        <w:lastRenderedPageBreak/>
        <w:t xml:space="preserve">of packaging instruction P200 are fulfilled and that the requirements of EN1439:2008 are correctly applied. Each filling </w:t>
      </w:r>
      <w:r w:rsidR="008B5A75" w:rsidRPr="009E323B">
        <w:rPr>
          <w:lang w:val="en-GB"/>
        </w:rPr>
        <w:t>centre</w:t>
      </w:r>
      <w:r w:rsidRPr="009E323B">
        <w:rPr>
          <w:lang w:val="en-GB"/>
        </w:rPr>
        <w:t xml:space="preserve"> shall have:</w:t>
      </w:r>
    </w:p>
    <w:p w:rsidR="00374CB2" w:rsidRPr="009E323B" w:rsidRDefault="002866A3" w:rsidP="002866A3">
      <w:pPr>
        <w:spacing w:after="120"/>
        <w:ind w:left="2268" w:right="1134"/>
        <w:jc w:val="both"/>
      </w:pPr>
      <w:r>
        <w:t>-</w:t>
      </w:r>
      <w:r>
        <w:tab/>
      </w:r>
      <w:r w:rsidR="00374CB2" w:rsidRPr="009E323B">
        <w:t>The appropriate means to identify the over-moulded cylinders through the electronic identification device</w:t>
      </w:r>
      <w:r>
        <w:t>;</w:t>
      </w:r>
    </w:p>
    <w:p w:rsidR="00374CB2" w:rsidRPr="009E323B" w:rsidRDefault="002866A3" w:rsidP="002866A3">
      <w:pPr>
        <w:spacing w:after="120"/>
        <w:ind w:left="2268" w:right="1134"/>
        <w:jc w:val="both"/>
      </w:pPr>
      <w:r>
        <w:t>-</w:t>
      </w:r>
      <w:r>
        <w:tab/>
      </w:r>
      <w:r w:rsidR="00374CB2" w:rsidRPr="009E323B">
        <w:t>Availability of the relevant information</w:t>
      </w:r>
      <w:r>
        <w:t>;</w:t>
      </w:r>
    </w:p>
    <w:p w:rsidR="00374CB2" w:rsidRPr="009E323B" w:rsidRDefault="002866A3" w:rsidP="002866A3">
      <w:pPr>
        <w:spacing w:after="120"/>
        <w:ind w:left="2268" w:right="1134"/>
        <w:jc w:val="both"/>
      </w:pPr>
      <w:r>
        <w:t>-</w:t>
      </w:r>
      <w:r>
        <w:tab/>
      </w:r>
      <w:r w:rsidR="00374CB2" w:rsidRPr="009E323B">
        <w:t>The capacity to update the relevant information</w:t>
      </w:r>
      <w:r>
        <w:t>.</w:t>
      </w:r>
    </w:p>
    <w:p w:rsidR="00374CB2" w:rsidRPr="009E323B" w:rsidRDefault="00374CB2" w:rsidP="002866A3">
      <w:pPr>
        <w:pStyle w:val="SingleTxtG"/>
        <w:ind w:left="2268"/>
        <w:rPr>
          <w:lang w:val="en-GB"/>
        </w:rPr>
      </w:pPr>
      <w:r w:rsidRPr="009E323B">
        <w:rPr>
          <w:lang w:val="en-GB"/>
        </w:rPr>
        <w:t xml:space="preserve">The owner shall provide documentary evidence to the competent authority that the filling </w:t>
      </w:r>
      <w:r w:rsidR="008B5A75" w:rsidRPr="009E323B">
        <w:rPr>
          <w:lang w:val="en-GB"/>
        </w:rPr>
        <w:t>centre</w:t>
      </w:r>
      <w:r w:rsidRPr="009E323B">
        <w:rPr>
          <w:lang w:val="en-GB"/>
        </w:rPr>
        <w:t xml:space="preserve"> co</w:t>
      </w:r>
      <w:r w:rsidR="008F0618" w:rsidRPr="009E323B">
        <w:rPr>
          <w:lang w:val="en-GB"/>
        </w:rPr>
        <w:t xml:space="preserve">mplies with these requirements and that the quality system, according to the ISO 9000 (series) or equivalent, </w:t>
      </w:r>
      <w:r w:rsidR="008C1E78" w:rsidRPr="009E323B">
        <w:rPr>
          <w:lang w:val="en-GB"/>
        </w:rPr>
        <w:t>is</w:t>
      </w:r>
      <w:r w:rsidR="008F0618" w:rsidRPr="009E323B">
        <w:rPr>
          <w:lang w:val="en-GB"/>
        </w:rPr>
        <w:t xml:space="preserve"> certified by an accredited independent body recognized by the competent authority.</w:t>
      </w:r>
      <w:proofErr w:type="gramStart"/>
      <w:r w:rsidR="002866A3">
        <w:rPr>
          <w:lang w:val="en-GB"/>
        </w:rPr>
        <w:t>”.</w:t>
      </w:r>
      <w:proofErr w:type="gramEnd"/>
    </w:p>
    <w:p w:rsidR="00D9388B" w:rsidRPr="009E323B" w:rsidRDefault="002866A3" w:rsidP="005934A0">
      <w:pPr>
        <w:pStyle w:val="SingleTxtG"/>
        <w:rPr>
          <w:lang w:val="en-GB"/>
        </w:rPr>
      </w:pPr>
      <w:r>
        <w:rPr>
          <w:lang w:val="en-GB"/>
        </w:rPr>
        <w:t>23</w:t>
      </w:r>
      <w:r w:rsidR="005934A0" w:rsidRPr="009E323B">
        <w:rPr>
          <w:lang w:val="en-GB"/>
        </w:rPr>
        <w:t>.</w:t>
      </w:r>
      <w:r w:rsidR="005934A0" w:rsidRPr="009E323B">
        <w:rPr>
          <w:lang w:val="en-GB"/>
        </w:rPr>
        <w:tab/>
      </w:r>
      <w:r w:rsidR="000F4932" w:rsidRPr="009E323B">
        <w:rPr>
          <w:lang w:val="en-GB"/>
        </w:rPr>
        <w:t xml:space="preserve">Remove the exclusion of </w:t>
      </w:r>
      <w:r w:rsidR="008C1E78" w:rsidRPr="009E323B">
        <w:rPr>
          <w:lang w:val="en-GB"/>
        </w:rPr>
        <w:t>sub-section</w:t>
      </w:r>
      <w:r w:rsidR="000F4932" w:rsidRPr="009E323B">
        <w:rPr>
          <w:lang w:val="en-GB"/>
        </w:rPr>
        <w:t xml:space="preserve"> 3.5 and of annex G for EN 1439:20</w:t>
      </w:r>
      <w:r w:rsidR="00456308" w:rsidRPr="009E323B">
        <w:rPr>
          <w:lang w:val="en-GB"/>
        </w:rPr>
        <w:t>08</w:t>
      </w:r>
      <w:r w:rsidR="000F4932" w:rsidRPr="009E323B">
        <w:rPr>
          <w:lang w:val="en-GB"/>
        </w:rPr>
        <w:t xml:space="preserve"> in the table in point 11 in P200.</w:t>
      </w:r>
    </w:p>
    <w:p w:rsidR="0055613B" w:rsidRPr="009E323B" w:rsidRDefault="002866A3" w:rsidP="005934A0">
      <w:pPr>
        <w:pStyle w:val="SingleTxtG"/>
        <w:rPr>
          <w:lang w:val="en-GB"/>
        </w:rPr>
      </w:pPr>
      <w:r>
        <w:rPr>
          <w:lang w:val="en-GB"/>
        </w:rPr>
        <w:t>24</w:t>
      </w:r>
      <w:r w:rsidR="005934A0" w:rsidRPr="009E323B">
        <w:rPr>
          <w:lang w:val="en-GB"/>
        </w:rPr>
        <w:t>.</w:t>
      </w:r>
      <w:r w:rsidR="005934A0" w:rsidRPr="009E323B">
        <w:rPr>
          <w:lang w:val="en-GB"/>
        </w:rPr>
        <w:tab/>
      </w:r>
      <w:r w:rsidR="008C1E78" w:rsidRPr="009E323B">
        <w:rPr>
          <w:lang w:val="en-GB"/>
        </w:rPr>
        <w:t>A</w:t>
      </w:r>
      <w:r w:rsidR="0055613B" w:rsidRPr="009E323B">
        <w:rPr>
          <w:lang w:val="en-GB"/>
        </w:rPr>
        <w:t xml:space="preserve">dd </w:t>
      </w:r>
      <w:r w:rsidR="008C1E78" w:rsidRPr="009E323B">
        <w:rPr>
          <w:lang w:val="en-GB"/>
        </w:rPr>
        <w:t xml:space="preserve">a reference to </w:t>
      </w:r>
      <w:r w:rsidR="00F76846" w:rsidRPr="009E323B">
        <w:rPr>
          <w:lang w:val="en-GB"/>
        </w:rPr>
        <w:t>pr</w:t>
      </w:r>
      <w:r w:rsidR="0055613B" w:rsidRPr="009E323B">
        <w:rPr>
          <w:lang w:val="en-GB"/>
        </w:rPr>
        <w:t>EN16728</w:t>
      </w:r>
      <w:r w:rsidR="00F76846" w:rsidRPr="009E323B">
        <w:rPr>
          <w:lang w:val="en-GB"/>
        </w:rPr>
        <w:t>:2014</w:t>
      </w:r>
      <w:r w:rsidR="0055613B" w:rsidRPr="009E323B">
        <w:rPr>
          <w:lang w:val="en-GB"/>
        </w:rPr>
        <w:t xml:space="preserve"> in </w:t>
      </w:r>
      <w:r w:rsidR="008C1E78" w:rsidRPr="009E323B">
        <w:rPr>
          <w:lang w:val="en-GB"/>
        </w:rPr>
        <w:t xml:space="preserve">the </w:t>
      </w:r>
      <w:r w:rsidR="0055613B" w:rsidRPr="009E323B">
        <w:rPr>
          <w:lang w:val="en-GB"/>
        </w:rPr>
        <w:t xml:space="preserve">table in </w:t>
      </w:r>
      <w:r w:rsidR="008C1E78" w:rsidRPr="009E323B">
        <w:rPr>
          <w:lang w:val="en-GB"/>
        </w:rPr>
        <w:t>sub-section</w:t>
      </w:r>
      <w:r w:rsidR="0055613B" w:rsidRPr="009E323B">
        <w:rPr>
          <w:lang w:val="en-GB"/>
        </w:rPr>
        <w:t xml:space="preserve"> 6.2.4.2</w:t>
      </w:r>
    </w:p>
    <w:p w:rsidR="00E41752" w:rsidRPr="009E323B" w:rsidRDefault="005934A0" w:rsidP="00F96010">
      <w:pPr>
        <w:pStyle w:val="HChG"/>
        <w:rPr>
          <w:sz w:val="32"/>
          <w:szCs w:val="32"/>
          <w:lang w:val="en-GB"/>
        </w:rPr>
      </w:pPr>
      <w:r w:rsidRPr="009E323B">
        <w:rPr>
          <w:sz w:val="32"/>
          <w:szCs w:val="32"/>
          <w:lang w:val="en-GB"/>
        </w:rPr>
        <w:tab/>
      </w:r>
      <w:r w:rsidRPr="009E323B">
        <w:rPr>
          <w:sz w:val="32"/>
          <w:szCs w:val="32"/>
          <w:lang w:val="en-GB"/>
        </w:rPr>
        <w:tab/>
      </w:r>
      <w:r w:rsidR="00E41752" w:rsidRPr="009E323B">
        <w:rPr>
          <w:sz w:val="32"/>
          <w:szCs w:val="32"/>
          <w:lang w:val="en-GB"/>
        </w:rPr>
        <w:t>Justification</w:t>
      </w:r>
    </w:p>
    <w:p w:rsidR="00276EE7" w:rsidRPr="009E323B" w:rsidRDefault="002866A3" w:rsidP="005934A0">
      <w:pPr>
        <w:pStyle w:val="SingleTxtG"/>
        <w:rPr>
          <w:lang w:val="en-GB"/>
        </w:rPr>
      </w:pPr>
      <w:r>
        <w:rPr>
          <w:lang w:val="en-GB"/>
        </w:rPr>
        <w:t>25</w:t>
      </w:r>
      <w:r w:rsidR="005934A0" w:rsidRPr="009E323B">
        <w:rPr>
          <w:lang w:val="en-GB"/>
        </w:rPr>
        <w:t>.</w:t>
      </w:r>
      <w:r w:rsidR="005934A0" w:rsidRPr="009E323B">
        <w:rPr>
          <w:lang w:val="en-GB"/>
        </w:rPr>
        <w:tab/>
      </w:r>
      <w:r w:rsidR="00707C3A" w:rsidRPr="009E323B">
        <w:rPr>
          <w:lang w:val="en-GB"/>
        </w:rPr>
        <w:t>As a replacement for</w:t>
      </w:r>
      <w:r w:rsidR="00276EE7" w:rsidRPr="009E323B">
        <w:rPr>
          <w:lang w:val="en-GB"/>
        </w:rPr>
        <w:t xml:space="preserve"> periodic inspection requirements of 6.2.1.6.1 a) (done every 10 or 15 years), the proposal </w:t>
      </w:r>
      <w:r>
        <w:rPr>
          <w:lang w:val="en-GB"/>
        </w:rPr>
        <w:t>offers to</w:t>
      </w:r>
      <w:r w:rsidR="00276EE7" w:rsidRPr="009E323B">
        <w:rPr>
          <w:lang w:val="en-GB"/>
        </w:rPr>
        <w:t>:</w:t>
      </w:r>
    </w:p>
    <w:p w:rsidR="00276EE7" w:rsidRPr="009E323B" w:rsidRDefault="005934A0" w:rsidP="005934A0">
      <w:pPr>
        <w:pStyle w:val="SingleTxtG"/>
        <w:ind w:firstLine="567"/>
        <w:rPr>
          <w:lang w:val="en-GB"/>
        </w:rPr>
      </w:pPr>
      <w:r w:rsidRPr="009E323B">
        <w:rPr>
          <w:lang w:val="en-GB"/>
        </w:rPr>
        <w:t>-</w:t>
      </w:r>
      <w:r w:rsidRPr="009E323B">
        <w:rPr>
          <w:lang w:val="en-GB"/>
        </w:rPr>
        <w:tab/>
      </w:r>
      <w:r w:rsidR="00276EE7" w:rsidRPr="009E323B">
        <w:rPr>
          <w:lang w:val="en-GB"/>
        </w:rPr>
        <w:t>Performing a</w:t>
      </w:r>
      <w:r w:rsidR="00707C3A" w:rsidRPr="009E323B">
        <w:rPr>
          <w:lang w:val="en-GB"/>
        </w:rPr>
        <w:t>n</w:t>
      </w:r>
      <w:r w:rsidR="00276EE7" w:rsidRPr="009E323B">
        <w:rPr>
          <w:lang w:val="en-GB"/>
        </w:rPr>
        <w:t xml:space="preserve"> external visual inspection before each filling,</w:t>
      </w:r>
      <w:r w:rsidR="00707C3A" w:rsidRPr="009E323B">
        <w:rPr>
          <w:lang w:val="en-GB"/>
        </w:rPr>
        <w:t xml:space="preserve"> on each OMC</w:t>
      </w:r>
      <w:r w:rsidR="002866A3">
        <w:rPr>
          <w:lang w:val="en-GB"/>
        </w:rPr>
        <w:t>;</w:t>
      </w:r>
    </w:p>
    <w:p w:rsidR="00276EE7" w:rsidRPr="009E323B" w:rsidRDefault="005934A0" w:rsidP="005934A0">
      <w:pPr>
        <w:pStyle w:val="SingleTxtG"/>
        <w:ind w:firstLine="567"/>
        <w:rPr>
          <w:lang w:val="en-GB"/>
        </w:rPr>
      </w:pPr>
      <w:r w:rsidRPr="009E323B">
        <w:rPr>
          <w:lang w:val="en-GB"/>
        </w:rPr>
        <w:t>-</w:t>
      </w:r>
      <w:r w:rsidRPr="009E323B">
        <w:rPr>
          <w:lang w:val="en-GB"/>
        </w:rPr>
        <w:tab/>
      </w:r>
      <w:r w:rsidR="00276EE7" w:rsidRPr="009E323B">
        <w:rPr>
          <w:lang w:val="en-GB"/>
        </w:rPr>
        <w:t>Performing destructive Adhesion Tests and destructive Peeling Tests on samples, back from customers, after 3 years in service and thereafter every 5 years</w:t>
      </w:r>
      <w:r w:rsidR="002866A3">
        <w:rPr>
          <w:lang w:val="en-GB"/>
        </w:rPr>
        <w:t>.</w:t>
      </w:r>
    </w:p>
    <w:p w:rsidR="00276EE7" w:rsidRPr="009E323B" w:rsidRDefault="002866A3" w:rsidP="005934A0">
      <w:pPr>
        <w:pStyle w:val="SingleTxtG"/>
        <w:rPr>
          <w:lang w:val="en-GB"/>
        </w:rPr>
      </w:pPr>
      <w:r>
        <w:rPr>
          <w:lang w:val="en-GB"/>
        </w:rPr>
        <w:t>26.</w:t>
      </w:r>
      <w:r>
        <w:rPr>
          <w:lang w:val="en-GB"/>
        </w:rPr>
        <w:tab/>
      </w:r>
      <w:r w:rsidR="00276EE7" w:rsidRPr="009E323B">
        <w:rPr>
          <w:lang w:val="en-GB"/>
        </w:rPr>
        <w:t>In addition to the specific OMC design and manufacturing requirements and properties (increased resistance to corrosion, impacts and drops), the periodic inspection proposal offers, compared to an ordinary steel cylinder, less risks of external corrosion, therefore less risk of leakage.</w:t>
      </w:r>
    </w:p>
    <w:p w:rsidR="00276EE7" w:rsidRPr="009E323B" w:rsidRDefault="002866A3" w:rsidP="005934A0">
      <w:pPr>
        <w:pStyle w:val="SingleTxtG"/>
        <w:rPr>
          <w:lang w:val="en-GB"/>
        </w:rPr>
      </w:pPr>
      <w:r>
        <w:rPr>
          <w:lang w:val="en-GB"/>
        </w:rPr>
        <w:t>27.</w:t>
      </w:r>
      <w:r>
        <w:rPr>
          <w:lang w:val="en-GB"/>
        </w:rPr>
        <w:tab/>
      </w:r>
      <w:r w:rsidR="00276EE7" w:rsidRPr="009E323B">
        <w:rPr>
          <w:lang w:val="en-GB"/>
        </w:rPr>
        <w:t>Furthermore, these additional controls on the protective case do provide regular quantified return of experience on material ageing and permit to follow up the performance of such cylinders, all along their life.</w:t>
      </w:r>
    </w:p>
    <w:p w:rsidR="00276EE7" w:rsidRPr="009E323B" w:rsidRDefault="002866A3" w:rsidP="005934A0">
      <w:pPr>
        <w:pStyle w:val="SingleTxtG"/>
        <w:rPr>
          <w:lang w:val="en-GB"/>
        </w:rPr>
      </w:pPr>
      <w:r>
        <w:rPr>
          <w:lang w:val="en-GB"/>
        </w:rPr>
        <w:t>28</w:t>
      </w:r>
      <w:r w:rsidR="005934A0" w:rsidRPr="009E323B">
        <w:rPr>
          <w:lang w:val="en-GB"/>
        </w:rPr>
        <w:t>.</w:t>
      </w:r>
      <w:r w:rsidR="005934A0" w:rsidRPr="009E323B">
        <w:rPr>
          <w:lang w:val="en-GB"/>
        </w:rPr>
        <w:tab/>
      </w:r>
      <w:r w:rsidR="00276EE7" w:rsidRPr="009E323B">
        <w:rPr>
          <w:lang w:val="en-GB"/>
        </w:rPr>
        <w:t xml:space="preserve">Dealing with the individual hydraulic pressure test required in 6.2.1.6.1 d), done every 10 or 15 years, which provides a qualitative result on each cylinder, the proposal offers to replace it by a destructive rupture test repeated after 3 years in service and thereafter every 5 years. </w:t>
      </w:r>
    </w:p>
    <w:p w:rsidR="00276EE7" w:rsidRPr="009E323B" w:rsidRDefault="002866A3" w:rsidP="005934A0">
      <w:pPr>
        <w:pStyle w:val="SingleTxtG"/>
        <w:rPr>
          <w:lang w:val="en-GB"/>
        </w:rPr>
      </w:pPr>
      <w:r>
        <w:rPr>
          <w:lang w:val="en-GB"/>
        </w:rPr>
        <w:t>29.</w:t>
      </w:r>
      <w:r>
        <w:rPr>
          <w:lang w:val="en-GB"/>
        </w:rPr>
        <w:tab/>
      </w:r>
      <w:r w:rsidR="00276EE7" w:rsidRPr="009E323B">
        <w:rPr>
          <w:lang w:val="en-GB"/>
        </w:rPr>
        <w:t>This method requires and provides:</w:t>
      </w:r>
    </w:p>
    <w:p w:rsidR="00276EE7" w:rsidRPr="009E323B" w:rsidRDefault="005934A0" w:rsidP="005934A0">
      <w:pPr>
        <w:pStyle w:val="SingleTxtG"/>
        <w:ind w:firstLine="567"/>
        <w:rPr>
          <w:lang w:val="en-GB"/>
        </w:rPr>
      </w:pPr>
      <w:r w:rsidRPr="009E323B">
        <w:rPr>
          <w:lang w:val="en-GB"/>
        </w:rPr>
        <w:t>-</w:t>
      </w:r>
      <w:r w:rsidRPr="009E323B">
        <w:rPr>
          <w:lang w:val="en-GB"/>
        </w:rPr>
        <w:tab/>
      </w:r>
      <w:r w:rsidR="00276EE7" w:rsidRPr="009E323B">
        <w:rPr>
          <w:lang w:val="en-GB"/>
        </w:rPr>
        <w:t>Technical quantitative performance assessment of the mechanical and structural integrity of the inner receptacle, for each production group, from their manufacturing and during their lifetime.</w:t>
      </w:r>
    </w:p>
    <w:p w:rsidR="00276EE7" w:rsidRPr="009E323B" w:rsidRDefault="005934A0" w:rsidP="005934A0">
      <w:pPr>
        <w:pStyle w:val="SingleTxtG"/>
        <w:ind w:firstLine="567"/>
        <w:rPr>
          <w:lang w:val="en-GB"/>
        </w:rPr>
      </w:pPr>
      <w:r w:rsidRPr="009E323B">
        <w:rPr>
          <w:lang w:val="en-GB"/>
        </w:rPr>
        <w:t>-</w:t>
      </w:r>
      <w:r w:rsidRPr="009E323B">
        <w:rPr>
          <w:lang w:val="en-GB"/>
        </w:rPr>
        <w:tab/>
      </w:r>
      <w:r w:rsidR="00276EE7" w:rsidRPr="009E323B">
        <w:rPr>
          <w:lang w:val="en-GB"/>
        </w:rPr>
        <w:t>No risks of remaining water due to pressure tests (main sources of internal corrosion)</w:t>
      </w:r>
    </w:p>
    <w:p w:rsidR="00276EE7" w:rsidRPr="009E323B" w:rsidRDefault="002866A3" w:rsidP="005934A0">
      <w:pPr>
        <w:pStyle w:val="SingleTxtG"/>
        <w:rPr>
          <w:lang w:val="en-GB"/>
        </w:rPr>
      </w:pPr>
      <w:r>
        <w:rPr>
          <w:lang w:val="en-GB"/>
        </w:rPr>
        <w:t>30.</w:t>
      </w:r>
      <w:r>
        <w:rPr>
          <w:lang w:val="en-GB"/>
        </w:rPr>
        <w:tab/>
      </w:r>
      <w:r w:rsidR="00276EE7" w:rsidRPr="009E323B">
        <w:rPr>
          <w:lang w:val="en-GB"/>
        </w:rPr>
        <w:t>This quantified return of experience on material properties and ageing permit to follow up the performance of such cylinders, all along their life.</w:t>
      </w:r>
    </w:p>
    <w:p w:rsidR="00276EE7" w:rsidRPr="009E323B" w:rsidRDefault="002866A3" w:rsidP="005934A0">
      <w:pPr>
        <w:pStyle w:val="SingleTxtG"/>
        <w:rPr>
          <w:lang w:val="en-GB"/>
        </w:rPr>
      </w:pPr>
      <w:r>
        <w:rPr>
          <w:lang w:val="en-GB"/>
        </w:rPr>
        <w:t>3</w:t>
      </w:r>
      <w:r w:rsidR="00844FA0" w:rsidRPr="009E323B">
        <w:rPr>
          <w:lang w:val="en-GB"/>
        </w:rPr>
        <w:t>1.</w:t>
      </w:r>
      <w:r w:rsidR="00844FA0" w:rsidRPr="009E323B">
        <w:rPr>
          <w:lang w:val="en-GB"/>
        </w:rPr>
        <w:tab/>
      </w:r>
      <w:r w:rsidR="00276EE7" w:rsidRPr="009E323B">
        <w:rPr>
          <w:lang w:val="en-GB"/>
        </w:rPr>
        <w:t xml:space="preserve">In case of an unsuccessful periodic inspection, the proposal requires 100% reliable segregation of potential defective cylinders using an electronic identification device and a database. This has to be done automatically at the filling plant when the cylinders are returned from customers, </w:t>
      </w:r>
    </w:p>
    <w:p w:rsidR="00276EE7" w:rsidRPr="009E323B" w:rsidRDefault="002866A3" w:rsidP="005934A0">
      <w:pPr>
        <w:pStyle w:val="SingleTxtG"/>
        <w:rPr>
          <w:lang w:val="en-GB"/>
        </w:rPr>
      </w:pPr>
      <w:r>
        <w:rPr>
          <w:lang w:val="en-GB"/>
        </w:rPr>
        <w:lastRenderedPageBreak/>
        <w:t>3</w:t>
      </w:r>
      <w:r w:rsidR="00844FA0" w:rsidRPr="009E323B">
        <w:rPr>
          <w:lang w:val="en-GB"/>
        </w:rPr>
        <w:t>2.</w:t>
      </w:r>
      <w:r w:rsidR="00844FA0" w:rsidRPr="009E323B">
        <w:rPr>
          <w:lang w:val="en-GB"/>
        </w:rPr>
        <w:tab/>
      </w:r>
      <w:r w:rsidR="00276EE7" w:rsidRPr="009E323B">
        <w:rPr>
          <w:lang w:val="en-GB"/>
        </w:rPr>
        <w:t>The risk</w:t>
      </w:r>
      <w:r w:rsidR="00C7741C" w:rsidRPr="009E323B">
        <w:rPr>
          <w:lang w:val="en-GB"/>
        </w:rPr>
        <w:t>s</w:t>
      </w:r>
      <w:r w:rsidR="00276EE7" w:rsidRPr="009E323B">
        <w:rPr>
          <w:lang w:val="en-GB"/>
        </w:rPr>
        <w:t xml:space="preserve"> analysis performed on the proposal, compared to standard periodic controls on ordinary steel cylinders, </w:t>
      </w:r>
      <w:r w:rsidR="00C7741C" w:rsidRPr="009E323B">
        <w:rPr>
          <w:lang w:val="en-GB"/>
        </w:rPr>
        <w:t>the</w:t>
      </w:r>
      <w:r w:rsidR="00276EE7" w:rsidRPr="009E323B">
        <w:rPr>
          <w:lang w:val="en-GB"/>
        </w:rPr>
        <w:t xml:space="preserve"> availability of regular quantitative technical data which permits to proactively withdraw potential defective cylinders in advance, </w:t>
      </w:r>
      <w:r w:rsidR="00C7741C" w:rsidRPr="009E323B">
        <w:rPr>
          <w:lang w:val="en-GB"/>
        </w:rPr>
        <w:t>are elements that contribute to the equivalence of safety level, which ha</w:t>
      </w:r>
      <w:r w:rsidR="00940807" w:rsidRPr="009E323B">
        <w:rPr>
          <w:lang w:val="en-GB"/>
        </w:rPr>
        <w:t>d</w:t>
      </w:r>
      <w:r w:rsidR="00C7741C" w:rsidRPr="009E323B">
        <w:rPr>
          <w:lang w:val="en-GB"/>
        </w:rPr>
        <w:t xml:space="preserve"> already been accepted by the French Authorit</w:t>
      </w:r>
      <w:r w:rsidR="00823DE2" w:rsidRPr="009E323B">
        <w:rPr>
          <w:lang w:val="en-GB"/>
        </w:rPr>
        <w:t>y</w:t>
      </w:r>
      <w:r w:rsidR="00C7741C" w:rsidRPr="009E323B">
        <w:rPr>
          <w:lang w:val="en-GB"/>
        </w:rPr>
        <w:t xml:space="preserve">. </w:t>
      </w:r>
      <w:r w:rsidR="00940807" w:rsidRPr="009E323B">
        <w:rPr>
          <w:lang w:val="en-GB"/>
        </w:rPr>
        <w:t>C</w:t>
      </w:r>
      <w:r w:rsidR="00C7741C" w:rsidRPr="009E323B">
        <w:rPr>
          <w:lang w:val="en-GB"/>
        </w:rPr>
        <w:t>omplementary assessment</w:t>
      </w:r>
      <w:r w:rsidR="00940807" w:rsidRPr="009E323B">
        <w:rPr>
          <w:lang w:val="en-GB"/>
        </w:rPr>
        <w:t>,</w:t>
      </w:r>
      <w:r w:rsidR="00C7741C" w:rsidRPr="009E323B">
        <w:rPr>
          <w:lang w:val="en-GB"/>
        </w:rPr>
        <w:t xml:space="preserve"> according to the paragraph (h) of the proposed general provision</w:t>
      </w:r>
      <w:r w:rsidR="00940807" w:rsidRPr="009E323B">
        <w:rPr>
          <w:lang w:val="en-GB"/>
        </w:rPr>
        <w:t xml:space="preserve">, </w:t>
      </w:r>
      <w:r w:rsidR="00C7741C" w:rsidRPr="009E323B">
        <w:rPr>
          <w:lang w:val="en-GB"/>
        </w:rPr>
        <w:t>is in progress.</w:t>
      </w:r>
    </w:p>
    <w:p w:rsidR="00276EE7" w:rsidRPr="009E323B" w:rsidRDefault="002866A3" w:rsidP="005934A0">
      <w:pPr>
        <w:pStyle w:val="SingleTxtG"/>
        <w:rPr>
          <w:lang w:val="en-GB"/>
        </w:rPr>
      </w:pPr>
      <w:r>
        <w:rPr>
          <w:lang w:val="en-GB"/>
        </w:rPr>
        <w:t>3</w:t>
      </w:r>
      <w:r w:rsidR="00844FA0" w:rsidRPr="009E323B">
        <w:rPr>
          <w:lang w:val="en-GB"/>
        </w:rPr>
        <w:t>3.</w:t>
      </w:r>
      <w:r w:rsidR="00844FA0" w:rsidRPr="009E323B">
        <w:rPr>
          <w:lang w:val="en-GB"/>
        </w:rPr>
        <w:tab/>
      </w:r>
      <w:r w:rsidR="00276EE7" w:rsidRPr="009E323B">
        <w:rPr>
          <w:lang w:val="en-GB"/>
        </w:rPr>
        <w:t>In conclusion, by increasing requirements on the design, manufacturing, dedicated operating procedures, exhaustive traceability means and a mix of increased regular individual visual inspection and destructive tests by sampling, compared to standard periodic controls on ordinary steel cylinders, such over-moulded cylinders, and the proposed progressive (agreed step by step with the French competent authorities) inspection scheme, offer an equivalent safety level along their lifetime, although not individually pressure testes every 10 or 15 years</w:t>
      </w:r>
    </w:p>
    <w:p w:rsidR="00276EE7" w:rsidRPr="009E323B" w:rsidRDefault="002866A3" w:rsidP="005934A0">
      <w:pPr>
        <w:pStyle w:val="SingleTxtG"/>
        <w:rPr>
          <w:lang w:val="en-GB"/>
        </w:rPr>
      </w:pPr>
      <w:r>
        <w:rPr>
          <w:lang w:val="en-GB"/>
        </w:rPr>
        <w:t>34.</w:t>
      </w:r>
      <w:r>
        <w:rPr>
          <w:lang w:val="en-GB"/>
        </w:rPr>
        <w:tab/>
      </w:r>
      <w:r w:rsidR="00276EE7" w:rsidRPr="009E323B">
        <w:rPr>
          <w:lang w:val="en-GB"/>
        </w:rPr>
        <w:t xml:space="preserve">In addition, the OMC inspection scheme provides quantitative evidences which permit to decide in advance about the end of life of any </w:t>
      </w:r>
      <w:r w:rsidR="000E5226" w:rsidRPr="009E323B">
        <w:rPr>
          <w:lang w:val="en-GB"/>
        </w:rPr>
        <w:t>group</w:t>
      </w:r>
      <w:r w:rsidR="00276EE7" w:rsidRPr="009E323B">
        <w:rPr>
          <w:lang w:val="en-GB"/>
        </w:rPr>
        <w:t xml:space="preserve"> of production.</w:t>
      </w:r>
    </w:p>
    <w:p w:rsidR="00BA760D" w:rsidRPr="009E323B" w:rsidRDefault="00BA760D" w:rsidP="00BA760D">
      <w:pPr>
        <w:pStyle w:val="SingleTxtG"/>
        <w:spacing w:before="240" w:after="0"/>
        <w:jc w:val="center"/>
        <w:rPr>
          <w:u w:val="single"/>
          <w:lang w:val="en-GB"/>
        </w:rPr>
      </w:pPr>
      <w:r w:rsidRPr="009E323B">
        <w:rPr>
          <w:u w:val="single"/>
          <w:lang w:val="en-GB"/>
        </w:rPr>
        <w:tab/>
      </w:r>
      <w:r w:rsidRPr="009E323B">
        <w:rPr>
          <w:u w:val="single"/>
          <w:lang w:val="en-GB"/>
        </w:rPr>
        <w:tab/>
      </w:r>
      <w:r w:rsidRPr="009E323B">
        <w:rPr>
          <w:u w:val="single"/>
          <w:lang w:val="en-GB"/>
        </w:rPr>
        <w:tab/>
      </w:r>
    </w:p>
    <w:sectPr w:rsidR="00BA760D" w:rsidRPr="009E323B" w:rsidSect="009D2A5B">
      <w:headerReference w:type="even" r:id="rId18"/>
      <w:headerReference w:type="default" r:id="rId19"/>
      <w:footerReference w:type="even" r:id="rId20"/>
      <w:footerReference w:type="default" r:id="rId21"/>
      <w:footerReference w:type="first" r:id="rId2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6C0" w:rsidRDefault="005316C0"/>
  </w:endnote>
  <w:endnote w:type="continuationSeparator" w:id="0">
    <w:p w:rsidR="005316C0" w:rsidRDefault="005316C0"/>
  </w:endnote>
  <w:endnote w:type="continuationNotice" w:id="1">
    <w:p w:rsidR="005316C0" w:rsidRDefault="005316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F7A" w:rsidRPr="009D2A5B" w:rsidRDefault="00E47F7A"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A444B7">
      <w:rPr>
        <w:b/>
        <w:noProof/>
        <w:sz w:val="18"/>
      </w:rPr>
      <w:t>10</w:t>
    </w:r>
    <w:r w:rsidRPr="009D2A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F7A" w:rsidRPr="009D2A5B" w:rsidRDefault="00E47F7A"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A444B7">
      <w:rPr>
        <w:b/>
        <w:noProof/>
        <w:sz w:val="18"/>
      </w:rPr>
      <w:t>11</w:t>
    </w:r>
    <w:r w:rsidRPr="009D2A5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F7A" w:rsidRPr="0048397A" w:rsidRDefault="002E58AD">
    <w:pPr>
      <w:pStyle w:val="Footer"/>
      <w:rPr>
        <w:sz w:val="20"/>
      </w:rPr>
    </w:pPr>
    <w:r>
      <w:rPr>
        <w:noProof/>
        <w:lang w:val="en-GB"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E47F7A">
      <w:rPr>
        <w:sz w:val="18"/>
        <w:szCs w:val="18"/>
      </w:rPr>
      <w:t>GE.1</w:t>
    </w:r>
    <w:r w:rsidR="00E47F7A">
      <w:rPr>
        <w:sz w:val="18"/>
        <w:szCs w:val="18"/>
        <w:lang w:val="fr-CH"/>
      </w:rPr>
      <w:t>5</w:t>
    </w:r>
    <w:r w:rsidR="00E47F7A">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6C0" w:rsidRPr="000B175B" w:rsidRDefault="005316C0" w:rsidP="000B175B">
      <w:pPr>
        <w:tabs>
          <w:tab w:val="right" w:pos="2155"/>
        </w:tabs>
        <w:spacing w:after="80"/>
        <w:ind w:left="680"/>
        <w:rPr>
          <w:u w:val="single"/>
        </w:rPr>
      </w:pPr>
      <w:r>
        <w:rPr>
          <w:u w:val="single"/>
        </w:rPr>
        <w:tab/>
      </w:r>
    </w:p>
  </w:footnote>
  <w:footnote w:type="continuationSeparator" w:id="0">
    <w:p w:rsidR="005316C0" w:rsidRPr="00FC68B7" w:rsidRDefault="005316C0" w:rsidP="00FC68B7">
      <w:pPr>
        <w:tabs>
          <w:tab w:val="left" w:pos="2155"/>
        </w:tabs>
        <w:spacing w:after="80"/>
        <w:ind w:left="680"/>
        <w:rPr>
          <w:u w:val="single"/>
        </w:rPr>
      </w:pPr>
      <w:r>
        <w:rPr>
          <w:u w:val="single"/>
        </w:rPr>
        <w:tab/>
      </w:r>
    </w:p>
  </w:footnote>
  <w:footnote w:type="continuationNotice" w:id="1">
    <w:p w:rsidR="005316C0" w:rsidRDefault="005316C0"/>
  </w:footnote>
  <w:footnote w:id="2">
    <w:p w:rsidR="00E47F7A" w:rsidRPr="00CD50B1" w:rsidRDefault="00E47F7A" w:rsidP="00D831E3">
      <w:pPr>
        <w:pStyle w:val="FootnoteText"/>
        <w:widowControl w:val="0"/>
        <w:tabs>
          <w:tab w:val="clear" w:pos="1021"/>
          <w:tab w:val="right" w:pos="1020"/>
        </w:tabs>
      </w:pPr>
      <w:r w:rsidRPr="00CD50B1">
        <w:tab/>
      </w:r>
      <w:r w:rsidRPr="00CD50B1">
        <w:rPr>
          <w:rStyle w:val="FootnoteReference"/>
        </w:rPr>
        <w:footnoteRef/>
      </w:r>
      <w:r w:rsidRPr="00CD50B1">
        <w:tab/>
        <w:t>In accordance with the programme of work of the Inland Transport Committee for 2014–2015 (ECE/TRANS/240, para. 100, ECE/TRANS/2014/23, cluster 9, para.9.2).</w:t>
      </w:r>
    </w:p>
  </w:footnote>
  <w:footnote w:id="3">
    <w:p w:rsidR="00E47F7A" w:rsidRPr="00CD50B1" w:rsidRDefault="00E47F7A" w:rsidP="00D831E3">
      <w:pPr>
        <w:pStyle w:val="FootnoteText"/>
        <w:widowControl w:val="0"/>
        <w:tabs>
          <w:tab w:val="clear" w:pos="1021"/>
          <w:tab w:val="right" w:pos="1020"/>
        </w:tabs>
      </w:pPr>
      <w:r w:rsidRPr="00CD50B1">
        <w:tab/>
      </w:r>
      <w:r w:rsidRPr="00CD50B1">
        <w:rPr>
          <w:rStyle w:val="FootnoteReference"/>
        </w:rPr>
        <w:footnoteRef/>
      </w:r>
      <w:r w:rsidRPr="00CD50B1">
        <w:tab/>
        <w:t>Circulated by the Intergovernmental Organisation for International Carriage by Rail (OTIF) under the symbol OTIF/RID/RC/2015/</w:t>
      </w:r>
      <w:r w:rsidRPr="00D831E3">
        <w:rPr>
          <w:lang w:val="en-GB"/>
        </w:rPr>
        <w:t>48</w:t>
      </w:r>
      <w:r w:rsidRPr="00CD50B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F7A" w:rsidRPr="00D9388B" w:rsidRDefault="00E47F7A" w:rsidP="009D2A5B">
    <w:pPr>
      <w:pStyle w:val="Header"/>
      <w:rPr>
        <w:lang w:val="fr-FR"/>
      </w:rPr>
    </w:pPr>
    <w:r w:rsidRPr="009D2A5B">
      <w:t>ECE/TRANS/WP.15/AC.1/201</w:t>
    </w:r>
    <w:r>
      <w:rPr>
        <w:lang w:val="fr-FR"/>
      </w:rPr>
      <w:t>5</w:t>
    </w:r>
    <w:r w:rsidRPr="009D2A5B">
      <w:t>/</w:t>
    </w:r>
    <w:r>
      <w:rPr>
        <w:lang w:val="fr-FR"/>
      </w:rPr>
      <w:t>48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F7A" w:rsidRPr="00D9388B" w:rsidRDefault="00E47F7A" w:rsidP="009D2A5B">
    <w:pPr>
      <w:pStyle w:val="Header"/>
      <w:jc w:val="right"/>
      <w:rPr>
        <w:lang w:val="fr-FR"/>
      </w:rPr>
    </w:pPr>
    <w:r w:rsidRPr="009D2A5B">
      <w:t>ECE/TRANS/WP.15/AC.1/201</w:t>
    </w:r>
    <w:r>
      <w:rPr>
        <w:lang w:val="fr-FR"/>
      </w:rPr>
      <w:t>5</w:t>
    </w:r>
    <w:r w:rsidRPr="009D2A5B">
      <w:t>/</w:t>
    </w:r>
    <w:r>
      <w:rPr>
        <w:lang w:val="fr-FR"/>
      </w:rPr>
      <w:t>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B2380D"/>
    <w:multiLevelType w:val="hybridMultilevel"/>
    <w:tmpl w:val="C0DC4320"/>
    <w:lvl w:ilvl="0" w:tplc="2274279A">
      <w:start w:val="1"/>
      <w:numFmt w:val="lowerLetter"/>
      <w:lvlText w:val="(%1)"/>
      <w:lvlJc w:val="left"/>
      <w:pPr>
        <w:ind w:left="2049" w:hanging="360"/>
      </w:pPr>
      <w:rPr>
        <w:rFonts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12">
    <w:nsid w:val="07520D9E"/>
    <w:multiLevelType w:val="hybridMultilevel"/>
    <w:tmpl w:val="13BEA414"/>
    <w:lvl w:ilvl="0" w:tplc="8A988064">
      <w:start w:val="1"/>
      <w:numFmt w:val="decimal"/>
      <w:lvlText w:val="%1."/>
      <w:lvlJc w:val="left"/>
      <w:pPr>
        <w:ind w:left="1689" w:hanging="555"/>
      </w:pPr>
      <w:rPr>
        <w:rFonts w:hint="default"/>
      </w:rPr>
    </w:lvl>
    <w:lvl w:ilvl="1" w:tplc="040C0019">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8A55008"/>
    <w:multiLevelType w:val="multilevel"/>
    <w:tmpl w:val="BD5016D4"/>
    <w:name w:val="WW8Num3"/>
    <w:lvl w:ilvl="0">
      <w:start w:val="7"/>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502"/>
        </w:tabs>
        <w:ind w:left="142" w:firstLine="0"/>
      </w:pPr>
      <w:rPr>
        <w:rFonts w:hint="default"/>
        <w:b/>
        <w:i w:val="0"/>
      </w:rPr>
    </w:lvl>
    <w:lvl w:ilvl="2">
      <w:start w:val="1"/>
      <w:numFmt w:val="decimal"/>
      <w:pStyle w:val="a3"/>
      <w:lvlText w:val="%1.%2.%3"/>
      <w:lvlJc w:val="left"/>
      <w:pPr>
        <w:tabs>
          <w:tab w:val="num" w:pos="720"/>
        </w:tabs>
        <w:ind w:left="0" w:firstLine="0"/>
      </w:pPr>
      <w:rPr>
        <w:rFonts w:hint="default"/>
        <w:b/>
        <w:i w:val="0"/>
      </w:rPr>
    </w:lvl>
    <w:lvl w:ilvl="3">
      <w:start w:val="1"/>
      <w:numFmt w:val="decimal"/>
      <w:pStyle w:val="a4"/>
      <w:lvlText w:val="%1.%2.%3.%4"/>
      <w:lvlJc w:val="left"/>
      <w:pPr>
        <w:tabs>
          <w:tab w:val="num" w:pos="1080"/>
        </w:tabs>
        <w:ind w:left="0" w:firstLine="0"/>
      </w:pPr>
      <w:rPr>
        <w:rFonts w:hint="default"/>
        <w:b/>
        <w:i w:val="0"/>
      </w:rPr>
    </w:lvl>
    <w:lvl w:ilvl="4">
      <w:start w:val="1"/>
      <w:numFmt w:val="decimal"/>
      <w:pStyle w:val="a5"/>
      <w:lvlText w:val="%1.%2.%3.%4.%5"/>
      <w:lvlJc w:val="left"/>
      <w:pPr>
        <w:tabs>
          <w:tab w:val="num" w:pos="1080"/>
        </w:tabs>
        <w:ind w:left="0" w:firstLine="0"/>
      </w:pPr>
      <w:rPr>
        <w:rFonts w:hint="default"/>
        <w:b/>
        <w:i w:val="0"/>
      </w:rPr>
    </w:lvl>
    <w:lvl w:ilvl="5">
      <w:start w:val="1"/>
      <w:numFmt w:val="decimal"/>
      <w:pStyle w:val="a6"/>
      <w:lvlText w:val="%1.%2.%3.%4.%5.%6"/>
      <w:lvlJc w:val="left"/>
      <w:pPr>
        <w:tabs>
          <w:tab w:val="num" w:pos="1440"/>
        </w:tabs>
        <w:ind w:left="0" w:firstLine="0"/>
      </w:pPr>
      <w:rPr>
        <w:rFonts w:hint="default"/>
        <w:b/>
        <w:i w:val="0"/>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nsid w:val="0C106D87"/>
    <w:multiLevelType w:val="hybridMultilevel"/>
    <w:tmpl w:val="5DD29CA2"/>
    <w:lvl w:ilvl="0" w:tplc="08070001">
      <w:start w:val="1"/>
      <w:numFmt w:val="bullet"/>
      <w:lvlText w:val=""/>
      <w:lvlJc w:val="left"/>
      <w:pPr>
        <w:ind w:left="2251" w:hanging="360"/>
      </w:pPr>
      <w:rPr>
        <w:rFonts w:ascii="Symbol" w:hAnsi="Symbol" w:hint="default"/>
      </w:rPr>
    </w:lvl>
    <w:lvl w:ilvl="1" w:tplc="08070003" w:tentative="1">
      <w:start w:val="1"/>
      <w:numFmt w:val="bullet"/>
      <w:lvlText w:val="o"/>
      <w:lvlJc w:val="left"/>
      <w:pPr>
        <w:ind w:left="2971" w:hanging="360"/>
      </w:pPr>
      <w:rPr>
        <w:rFonts w:ascii="Courier New" w:hAnsi="Courier New" w:cs="Courier New" w:hint="default"/>
      </w:rPr>
    </w:lvl>
    <w:lvl w:ilvl="2" w:tplc="08070005" w:tentative="1">
      <w:start w:val="1"/>
      <w:numFmt w:val="bullet"/>
      <w:lvlText w:val=""/>
      <w:lvlJc w:val="left"/>
      <w:pPr>
        <w:ind w:left="3691" w:hanging="360"/>
      </w:pPr>
      <w:rPr>
        <w:rFonts w:ascii="Wingdings" w:hAnsi="Wingdings" w:hint="default"/>
      </w:rPr>
    </w:lvl>
    <w:lvl w:ilvl="3" w:tplc="08070001" w:tentative="1">
      <w:start w:val="1"/>
      <w:numFmt w:val="bullet"/>
      <w:lvlText w:val=""/>
      <w:lvlJc w:val="left"/>
      <w:pPr>
        <w:ind w:left="4411" w:hanging="360"/>
      </w:pPr>
      <w:rPr>
        <w:rFonts w:ascii="Symbol" w:hAnsi="Symbol" w:hint="default"/>
      </w:rPr>
    </w:lvl>
    <w:lvl w:ilvl="4" w:tplc="08070003" w:tentative="1">
      <w:start w:val="1"/>
      <w:numFmt w:val="bullet"/>
      <w:lvlText w:val="o"/>
      <w:lvlJc w:val="left"/>
      <w:pPr>
        <w:ind w:left="5131" w:hanging="360"/>
      </w:pPr>
      <w:rPr>
        <w:rFonts w:ascii="Courier New" w:hAnsi="Courier New" w:cs="Courier New" w:hint="default"/>
      </w:rPr>
    </w:lvl>
    <w:lvl w:ilvl="5" w:tplc="08070005" w:tentative="1">
      <w:start w:val="1"/>
      <w:numFmt w:val="bullet"/>
      <w:lvlText w:val=""/>
      <w:lvlJc w:val="left"/>
      <w:pPr>
        <w:ind w:left="5851" w:hanging="360"/>
      </w:pPr>
      <w:rPr>
        <w:rFonts w:ascii="Wingdings" w:hAnsi="Wingdings" w:hint="default"/>
      </w:rPr>
    </w:lvl>
    <w:lvl w:ilvl="6" w:tplc="08070001" w:tentative="1">
      <w:start w:val="1"/>
      <w:numFmt w:val="bullet"/>
      <w:lvlText w:val=""/>
      <w:lvlJc w:val="left"/>
      <w:pPr>
        <w:ind w:left="6571" w:hanging="360"/>
      </w:pPr>
      <w:rPr>
        <w:rFonts w:ascii="Symbol" w:hAnsi="Symbol" w:hint="default"/>
      </w:rPr>
    </w:lvl>
    <w:lvl w:ilvl="7" w:tplc="08070003" w:tentative="1">
      <w:start w:val="1"/>
      <w:numFmt w:val="bullet"/>
      <w:lvlText w:val="o"/>
      <w:lvlJc w:val="left"/>
      <w:pPr>
        <w:ind w:left="7291" w:hanging="360"/>
      </w:pPr>
      <w:rPr>
        <w:rFonts w:ascii="Courier New" w:hAnsi="Courier New" w:cs="Courier New" w:hint="default"/>
      </w:rPr>
    </w:lvl>
    <w:lvl w:ilvl="8" w:tplc="08070005" w:tentative="1">
      <w:start w:val="1"/>
      <w:numFmt w:val="bullet"/>
      <w:lvlText w:val=""/>
      <w:lvlJc w:val="left"/>
      <w:pPr>
        <w:ind w:left="8011"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9131943"/>
    <w:multiLevelType w:val="multilevel"/>
    <w:tmpl w:val="BD420188"/>
    <w:name w:val="List test level"/>
    <w:lvl w:ilvl="0">
      <w:start w:val="1"/>
      <w:numFmt w:val="upperRoman"/>
      <w:pStyle w:val="List1"/>
      <w:lvlText w:val="%1."/>
      <w:lvlJc w:val="left"/>
      <w:pPr>
        <w:ind w:left="567" w:hanging="567"/>
      </w:pPr>
      <w:rPr>
        <w:rFonts w:ascii="Arial" w:hAnsi="Arial" w:hint="default"/>
        <w:b/>
        <w:i w:val="0"/>
        <w:sz w:val="22"/>
      </w:rPr>
    </w:lvl>
    <w:lvl w:ilvl="1">
      <w:start w:val="1"/>
      <w:numFmt w:val="decimal"/>
      <w:pStyle w:val="List2"/>
      <w:lvlText w:val="%2."/>
      <w:lvlJc w:val="left"/>
      <w:pPr>
        <w:ind w:left="567" w:hanging="567"/>
      </w:pPr>
      <w:rPr>
        <w:rFonts w:hint="default"/>
      </w:rPr>
    </w:lvl>
    <w:lvl w:ilvl="2">
      <w:start w:val="1"/>
      <w:numFmt w:val="lowerLetter"/>
      <w:pStyle w:val="List3"/>
      <w:lvlText w:val="%3)"/>
      <w:lvlJc w:val="left"/>
      <w:pPr>
        <w:ind w:left="567" w:hanging="567"/>
      </w:pPr>
      <w:rPr>
        <w:rFonts w:ascii="Arial" w:hAnsi="Arial" w:hint="default"/>
        <w:sz w:val="22"/>
      </w:rPr>
    </w:lvl>
    <w:lvl w:ilvl="3">
      <w:start w:val="1"/>
      <w:numFmt w:val="bullet"/>
      <w:pStyle w:val="List4"/>
      <w:lvlText w:val=""/>
      <w:lvlJc w:val="left"/>
      <w:pPr>
        <w:ind w:left="567" w:hanging="567"/>
      </w:pPr>
      <w:rPr>
        <w:rFonts w:ascii="Symbol" w:hAnsi="Symbol" w:hint="default"/>
      </w:rPr>
    </w:lvl>
    <w:lvl w:ilvl="4">
      <w:start w:val="1"/>
      <w:numFmt w:val="bullet"/>
      <w:pStyle w:val="List5"/>
      <w:lvlText w:val=""/>
      <w:lvlJc w:val="left"/>
      <w:pPr>
        <w:ind w:left="1134" w:hanging="567"/>
      </w:pPr>
      <w:rPr>
        <w:rFonts w:ascii="Symbol" w:hAnsi="Symbol" w:hint="default"/>
      </w:rPr>
    </w:lvl>
    <w:lvl w:ilvl="5">
      <w:start w:val="1"/>
      <w:numFmt w:val="bullet"/>
      <w:pStyle w:val="List6"/>
      <w:lvlText w:val=""/>
      <w:lvlJc w:val="left"/>
      <w:pPr>
        <w:ind w:left="1134" w:hanging="567"/>
      </w:pPr>
      <w:rPr>
        <w:rFonts w:ascii="Wingdings" w:hAnsi="Wingding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8">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4672DBB"/>
    <w:multiLevelType w:val="hybridMultilevel"/>
    <w:tmpl w:val="13CA83B8"/>
    <w:lvl w:ilvl="0" w:tplc="04090001">
      <w:start w:val="1"/>
      <w:numFmt w:val="bullet"/>
      <w:lvlText w:val=""/>
      <w:lvlJc w:val="left"/>
      <w:pPr>
        <w:ind w:left="2409" w:hanging="360"/>
      </w:pPr>
      <w:rPr>
        <w:rFonts w:ascii="Symbol" w:hAnsi="Symbol" w:hint="default"/>
      </w:rPr>
    </w:lvl>
    <w:lvl w:ilvl="1" w:tplc="04090003" w:tentative="1">
      <w:start w:val="1"/>
      <w:numFmt w:val="bullet"/>
      <w:lvlText w:val="o"/>
      <w:lvlJc w:val="left"/>
      <w:pPr>
        <w:ind w:left="3129" w:hanging="360"/>
      </w:pPr>
      <w:rPr>
        <w:rFonts w:ascii="Courier New" w:hAnsi="Courier New" w:cs="Courier New" w:hint="default"/>
      </w:rPr>
    </w:lvl>
    <w:lvl w:ilvl="2" w:tplc="04090005" w:tentative="1">
      <w:start w:val="1"/>
      <w:numFmt w:val="bullet"/>
      <w:lvlText w:val=""/>
      <w:lvlJc w:val="left"/>
      <w:pPr>
        <w:ind w:left="3849" w:hanging="360"/>
      </w:pPr>
      <w:rPr>
        <w:rFonts w:ascii="Wingdings" w:hAnsi="Wingdings" w:hint="default"/>
      </w:rPr>
    </w:lvl>
    <w:lvl w:ilvl="3" w:tplc="04090001" w:tentative="1">
      <w:start w:val="1"/>
      <w:numFmt w:val="bullet"/>
      <w:lvlText w:val=""/>
      <w:lvlJc w:val="left"/>
      <w:pPr>
        <w:ind w:left="4569" w:hanging="360"/>
      </w:pPr>
      <w:rPr>
        <w:rFonts w:ascii="Symbol" w:hAnsi="Symbol" w:hint="default"/>
      </w:rPr>
    </w:lvl>
    <w:lvl w:ilvl="4" w:tplc="04090003" w:tentative="1">
      <w:start w:val="1"/>
      <w:numFmt w:val="bullet"/>
      <w:lvlText w:val="o"/>
      <w:lvlJc w:val="left"/>
      <w:pPr>
        <w:ind w:left="5289" w:hanging="360"/>
      </w:pPr>
      <w:rPr>
        <w:rFonts w:ascii="Courier New" w:hAnsi="Courier New" w:cs="Courier New" w:hint="default"/>
      </w:rPr>
    </w:lvl>
    <w:lvl w:ilvl="5" w:tplc="04090005" w:tentative="1">
      <w:start w:val="1"/>
      <w:numFmt w:val="bullet"/>
      <w:lvlText w:val=""/>
      <w:lvlJc w:val="left"/>
      <w:pPr>
        <w:ind w:left="6009" w:hanging="360"/>
      </w:pPr>
      <w:rPr>
        <w:rFonts w:ascii="Wingdings" w:hAnsi="Wingdings" w:hint="default"/>
      </w:rPr>
    </w:lvl>
    <w:lvl w:ilvl="6" w:tplc="04090001" w:tentative="1">
      <w:start w:val="1"/>
      <w:numFmt w:val="bullet"/>
      <w:lvlText w:val=""/>
      <w:lvlJc w:val="left"/>
      <w:pPr>
        <w:ind w:left="6729" w:hanging="360"/>
      </w:pPr>
      <w:rPr>
        <w:rFonts w:ascii="Symbol" w:hAnsi="Symbol" w:hint="default"/>
      </w:rPr>
    </w:lvl>
    <w:lvl w:ilvl="7" w:tplc="04090003" w:tentative="1">
      <w:start w:val="1"/>
      <w:numFmt w:val="bullet"/>
      <w:lvlText w:val="o"/>
      <w:lvlJc w:val="left"/>
      <w:pPr>
        <w:ind w:left="7449" w:hanging="360"/>
      </w:pPr>
      <w:rPr>
        <w:rFonts w:ascii="Courier New" w:hAnsi="Courier New" w:cs="Courier New" w:hint="default"/>
      </w:rPr>
    </w:lvl>
    <w:lvl w:ilvl="8" w:tplc="04090005" w:tentative="1">
      <w:start w:val="1"/>
      <w:numFmt w:val="bullet"/>
      <w:lvlText w:val=""/>
      <w:lvlJc w:val="left"/>
      <w:pPr>
        <w:ind w:left="8169" w:hanging="360"/>
      </w:pPr>
      <w:rPr>
        <w:rFonts w:ascii="Wingdings" w:hAnsi="Wingdings" w:hint="default"/>
      </w:rPr>
    </w:lvl>
  </w:abstractNum>
  <w:abstractNum w:abstractNumId="2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0E087E"/>
    <w:multiLevelType w:val="hybridMultilevel"/>
    <w:tmpl w:val="09823908"/>
    <w:lvl w:ilvl="0" w:tplc="04090001">
      <w:start w:val="1"/>
      <w:numFmt w:val="bullet"/>
      <w:lvlText w:val=""/>
      <w:lvlJc w:val="left"/>
      <w:pPr>
        <w:ind w:left="2251" w:hanging="360"/>
      </w:pPr>
      <w:rPr>
        <w:rFonts w:ascii="Symbol" w:hAnsi="Symbol" w:hint="default"/>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22">
    <w:nsid w:val="354557D0"/>
    <w:multiLevelType w:val="hybridMultilevel"/>
    <w:tmpl w:val="77709676"/>
    <w:lvl w:ilvl="0" w:tplc="63ECEF2E">
      <w:start w:val="7"/>
      <w:numFmt w:val="lowerLetter"/>
      <w:lvlText w:val="(%1)"/>
      <w:lvlJc w:val="left"/>
      <w:pPr>
        <w:ind w:left="1891" w:hanging="360"/>
      </w:pPr>
      <w:rPr>
        <w:rFonts w:hint="default"/>
      </w:rPr>
    </w:lvl>
    <w:lvl w:ilvl="1" w:tplc="04090019" w:tentative="1">
      <w:start w:val="1"/>
      <w:numFmt w:val="lowerLetter"/>
      <w:lvlText w:val="%2."/>
      <w:lvlJc w:val="left"/>
      <w:pPr>
        <w:ind w:left="2611" w:hanging="360"/>
      </w:pPr>
    </w:lvl>
    <w:lvl w:ilvl="2" w:tplc="0409001B" w:tentative="1">
      <w:start w:val="1"/>
      <w:numFmt w:val="lowerRoman"/>
      <w:lvlText w:val="%3."/>
      <w:lvlJc w:val="right"/>
      <w:pPr>
        <w:ind w:left="3331" w:hanging="180"/>
      </w:pPr>
    </w:lvl>
    <w:lvl w:ilvl="3" w:tplc="0409000F" w:tentative="1">
      <w:start w:val="1"/>
      <w:numFmt w:val="decimal"/>
      <w:lvlText w:val="%4."/>
      <w:lvlJc w:val="left"/>
      <w:pPr>
        <w:ind w:left="4051" w:hanging="360"/>
      </w:pPr>
    </w:lvl>
    <w:lvl w:ilvl="4" w:tplc="04090019" w:tentative="1">
      <w:start w:val="1"/>
      <w:numFmt w:val="lowerLetter"/>
      <w:lvlText w:val="%5."/>
      <w:lvlJc w:val="left"/>
      <w:pPr>
        <w:ind w:left="4771" w:hanging="360"/>
      </w:pPr>
    </w:lvl>
    <w:lvl w:ilvl="5" w:tplc="0409001B" w:tentative="1">
      <w:start w:val="1"/>
      <w:numFmt w:val="lowerRoman"/>
      <w:lvlText w:val="%6."/>
      <w:lvlJc w:val="right"/>
      <w:pPr>
        <w:ind w:left="5491" w:hanging="180"/>
      </w:pPr>
    </w:lvl>
    <w:lvl w:ilvl="6" w:tplc="0409000F" w:tentative="1">
      <w:start w:val="1"/>
      <w:numFmt w:val="decimal"/>
      <w:lvlText w:val="%7."/>
      <w:lvlJc w:val="left"/>
      <w:pPr>
        <w:ind w:left="6211" w:hanging="360"/>
      </w:pPr>
    </w:lvl>
    <w:lvl w:ilvl="7" w:tplc="04090019" w:tentative="1">
      <w:start w:val="1"/>
      <w:numFmt w:val="lowerLetter"/>
      <w:lvlText w:val="%8."/>
      <w:lvlJc w:val="left"/>
      <w:pPr>
        <w:ind w:left="6931" w:hanging="360"/>
      </w:pPr>
    </w:lvl>
    <w:lvl w:ilvl="8" w:tplc="0409001B" w:tentative="1">
      <w:start w:val="1"/>
      <w:numFmt w:val="lowerRoman"/>
      <w:lvlText w:val="%9."/>
      <w:lvlJc w:val="right"/>
      <w:pPr>
        <w:ind w:left="7651" w:hanging="180"/>
      </w:pPr>
    </w:lvl>
  </w:abstractNum>
  <w:abstractNum w:abstractNumId="23">
    <w:nsid w:val="362B4582"/>
    <w:multiLevelType w:val="hybridMultilevel"/>
    <w:tmpl w:val="98C088B0"/>
    <w:name w:val="List test level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B611D6"/>
    <w:multiLevelType w:val="hybridMultilevel"/>
    <w:tmpl w:val="DDB2A07C"/>
    <w:name w:val="heading"/>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50D70DDA"/>
    <w:multiLevelType w:val="hybridMultilevel"/>
    <w:tmpl w:val="2A7AF988"/>
    <w:lvl w:ilvl="0" w:tplc="04090005">
      <w:start w:val="1"/>
      <w:numFmt w:val="bullet"/>
      <w:lvlText w:val=""/>
      <w:lvlJc w:val="left"/>
      <w:pPr>
        <w:ind w:left="2988" w:hanging="360"/>
      </w:pPr>
      <w:rPr>
        <w:rFonts w:ascii="Wingdings" w:hAnsi="Wingdings"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70890D43"/>
    <w:multiLevelType w:val="hybridMultilevel"/>
    <w:tmpl w:val="C564310A"/>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8">
    <w:nsid w:val="71C60353"/>
    <w:multiLevelType w:val="hybridMultilevel"/>
    <w:tmpl w:val="13BEA414"/>
    <w:lvl w:ilvl="0" w:tplc="8A988064">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8"/>
  </w:num>
  <w:num w:numId="13">
    <w:abstractNumId w:val="10"/>
  </w:num>
  <w:num w:numId="14">
    <w:abstractNumId w:val="26"/>
  </w:num>
  <w:num w:numId="15">
    <w:abstractNumId w:val="16"/>
  </w:num>
  <w:num w:numId="16">
    <w:abstractNumId w:val="13"/>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2"/>
  </w:num>
  <w:num w:numId="20">
    <w:abstractNumId w:val="27"/>
  </w:num>
  <w:num w:numId="21">
    <w:abstractNumId w:val="25"/>
  </w:num>
  <w:num w:numId="22">
    <w:abstractNumId w:val="11"/>
  </w:num>
  <w:num w:numId="23">
    <w:abstractNumId w:val="21"/>
  </w:num>
  <w:num w:numId="24">
    <w:abstractNumId w:val="15"/>
  </w:num>
  <w:num w:numId="25">
    <w:abstractNumId w:val="22"/>
  </w:num>
  <w:num w:numId="26">
    <w:abstractNumId w:val="23"/>
  </w:num>
  <w:num w:numId="27">
    <w:abstractNumId w:val="28"/>
  </w:num>
  <w:num w:numId="28">
    <w:abstractNumId w:val="19"/>
  </w:num>
  <w:num w:numId="29">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de-AT" w:vendorID="64" w:dllVersion="131078" w:nlCheck="1" w:checkStyle="1"/>
  <w:activeWritingStyle w:appName="MSWord" w:lang="en-I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003B4"/>
    <w:rsid w:val="00005331"/>
    <w:rsid w:val="000070A7"/>
    <w:rsid w:val="00020331"/>
    <w:rsid w:val="00022E1C"/>
    <w:rsid w:val="00030573"/>
    <w:rsid w:val="00037F90"/>
    <w:rsid w:val="00042BD3"/>
    <w:rsid w:val="00046B1F"/>
    <w:rsid w:val="00046DE6"/>
    <w:rsid w:val="00050F6B"/>
    <w:rsid w:val="000550C7"/>
    <w:rsid w:val="00057A0B"/>
    <w:rsid w:val="00057E97"/>
    <w:rsid w:val="00061AA1"/>
    <w:rsid w:val="0006312B"/>
    <w:rsid w:val="00072C8C"/>
    <w:rsid w:val="000733B5"/>
    <w:rsid w:val="00076508"/>
    <w:rsid w:val="00081417"/>
    <w:rsid w:val="00081815"/>
    <w:rsid w:val="00084E9D"/>
    <w:rsid w:val="000931C0"/>
    <w:rsid w:val="00095219"/>
    <w:rsid w:val="00096682"/>
    <w:rsid w:val="000A09D9"/>
    <w:rsid w:val="000A10F2"/>
    <w:rsid w:val="000A369E"/>
    <w:rsid w:val="000B047E"/>
    <w:rsid w:val="000B0595"/>
    <w:rsid w:val="000B175B"/>
    <w:rsid w:val="000B179D"/>
    <w:rsid w:val="000B3A0F"/>
    <w:rsid w:val="000B44EF"/>
    <w:rsid w:val="000B4EF7"/>
    <w:rsid w:val="000B6C64"/>
    <w:rsid w:val="000B6F1B"/>
    <w:rsid w:val="000C2C03"/>
    <w:rsid w:val="000C2D2E"/>
    <w:rsid w:val="000C4D51"/>
    <w:rsid w:val="000C588B"/>
    <w:rsid w:val="000C58B1"/>
    <w:rsid w:val="000D3292"/>
    <w:rsid w:val="000D3917"/>
    <w:rsid w:val="000D3DE4"/>
    <w:rsid w:val="000E0415"/>
    <w:rsid w:val="000E0588"/>
    <w:rsid w:val="000E439C"/>
    <w:rsid w:val="000E5226"/>
    <w:rsid w:val="000E5688"/>
    <w:rsid w:val="000E7091"/>
    <w:rsid w:val="000E74B9"/>
    <w:rsid w:val="000F4932"/>
    <w:rsid w:val="000F5124"/>
    <w:rsid w:val="00101F43"/>
    <w:rsid w:val="00103978"/>
    <w:rsid w:val="0010533F"/>
    <w:rsid w:val="00105BC0"/>
    <w:rsid w:val="00106F4E"/>
    <w:rsid w:val="001103AA"/>
    <w:rsid w:val="0011073E"/>
    <w:rsid w:val="001126B7"/>
    <w:rsid w:val="0011666B"/>
    <w:rsid w:val="00117E48"/>
    <w:rsid w:val="00122C85"/>
    <w:rsid w:val="001242DA"/>
    <w:rsid w:val="0012564C"/>
    <w:rsid w:val="001320EA"/>
    <w:rsid w:val="00132EDD"/>
    <w:rsid w:val="00142BFC"/>
    <w:rsid w:val="001517BB"/>
    <w:rsid w:val="00155068"/>
    <w:rsid w:val="00155A03"/>
    <w:rsid w:val="001625DC"/>
    <w:rsid w:val="00165F3A"/>
    <w:rsid w:val="001668B4"/>
    <w:rsid w:val="001855F7"/>
    <w:rsid w:val="00186CF5"/>
    <w:rsid w:val="00195F0C"/>
    <w:rsid w:val="001A69F3"/>
    <w:rsid w:val="001B090E"/>
    <w:rsid w:val="001B13A5"/>
    <w:rsid w:val="001B4B04"/>
    <w:rsid w:val="001B64BA"/>
    <w:rsid w:val="001B70CF"/>
    <w:rsid w:val="001C1FB3"/>
    <w:rsid w:val="001C6663"/>
    <w:rsid w:val="001C774B"/>
    <w:rsid w:val="001C7895"/>
    <w:rsid w:val="001D0C8C"/>
    <w:rsid w:val="001D1419"/>
    <w:rsid w:val="001D1EDC"/>
    <w:rsid w:val="001D26DF"/>
    <w:rsid w:val="001D2F24"/>
    <w:rsid w:val="001D3A03"/>
    <w:rsid w:val="001D3E68"/>
    <w:rsid w:val="001E0B9E"/>
    <w:rsid w:val="001E1C43"/>
    <w:rsid w:val="001E5C65"/>
    <w:rsid w:val="001E7B67"/>
    <w:rsid w:val="001F20D7"/>
    <w:rsid w:val="001F7435"/>
    <w:rsid w:val="00202DA8"/>
    <w:rsid w:val="00205AB9"/>
    <w:rsid w:val="0021157B"/>
    <w:rsid w:val="00211E0B"/>
    <w:rsid w:val="00223542"/>
    <w:rsid w:val="00236F25"/>
    <w:rsid w:val="00245515"/>
    <w:rsid w:val="002516B1"/>
    <w:rsid w:val="002529C7"/>
    <w:rsid w:val="0026733A"/>
    <w:rsid w:val="00267F5F"/>
    <w:rsid w:val="00276EE7"/>
    <w:rsid w:val="00277C09"/>
    <w:rsid w:val="0028126B"/>
    <w:rsid w:val="00284DD4"/>
    <w:rsid w:val="00284EB0"/>
    <w:rsid w:val="00284F6A"/>
    <w:rsid w:val="0028604B"/>
    <w:rsid w:val="002866A3"/>
    <w:rsid w:val="00286B4D"/>
    <w:rsid w:val="00296C64"/>
    <w:rsid w:val="00297267"/>
    <w:rsid w:val="002A1339"/>
    <w:rsid w:val="002A3A1D"/>
    <w:rsid w:val="002A3B73"/>
    <w:rsid w:val="002A4522"/>
    <w:rsid w:val="002A603B"/>
    <w:rsid w:val="002B17C0"/>
    <w:rsid w:val="002B18A1"/>
    <w:rsid w:val="002C2C0B"/>
    <w:rsid w:val="002C4A0D"/>
    <w:rsid w:val="002D37B3"/>
    <w:rsid w:val="002D4643"/>
    <w:rsid w:val="002D4B6C"/>
    <w:rsid w:val="002D5E46"/>
    <w:rsid w:val="002D6FB9"/>
    <w:rsid w:val="002E215E"/>
    <w:rsid w:val="002E58AD"/>
    <w:rsid w:val="002F175C"/>
    <w:rsid w:val="002F2240"/>
    <w:rsid w:val="002F37B0"/>
    <w:rsid w:val="002F7C92"/>
    <w:rsid w:val="00302E18"/>
    <w:rsid w:val="00304193"/>
    <w:rsid w:val="00305E1E"/>
    <w:rsid w:val="0031495B"/>
    <w:rsid w:val="00321D0C"/>
    <w:rsid w:val="003229D8"/>
    <w:rsid w:val="00333D05"/>
    <w:rsid w:val="00340E64"/>
    <w:rsid w:val="003525EA"/>
    <w:rsid w:val="00352709"/>
    <w:rsid w:val="003528F0"/>
    <w:rsid w:val="00371178"/>
    <w:rsid w:val="00374CB2"/>
    <w:rsid w:val="00375F7D"/>
    <w:rsid w:val="00381068"/>
    <w:rsid w:val="003825A4"/>
    <w:rsid w:val="003875A3"/>
    <w:rsid w:val="00393BAF"/>
    <w:rsid w:val="00395747"/>
    <w:rsid w:val="003A513D"/>
    <w:rsid w:val="003A6810"/>
    <w:rsid w:val="003B5BEE"/>
    <w:rsid w:val="003B6750"/>
    <w:rsid w:val="003C27FB"/>
    <w:rsid w:val="003C2CC4"/>
    <w:rsid w:val="003C4B0B"/>
    <w:rsid w:val="003D4B23"/>
    <w:rsid w:val="003E5DE2"/>
    <w:rsid w:val="003E6724"/>
    <w:rsid w:val="003F024F"/>
    <w:rsid w:val="003F0A53"/>
    <w:rsid w:val="003F1DAC"/>
    <w:rsid w:val="00410C89"/>
    <w:rsid w:val="0041196A"/>
    <w:rsid w:val="00414A12"/>
    <w:rsid w:val="0041592F"/>
    <w:rsid w:val="00417AD1"/>
    <w:rsid w:val="00422081"/>
    <w:rsid w:val="00422E03"/>
    <w:rsid w:val="00426B9B"/>
    <w:rsid w:val="004325CB"/>
    <w:rsid w:val="00433B3A"/>
    <w:rsid w:val="004358D0"/>
    <w:rsid w:val="00442A83"/>
    <w:rsid w:val="00446E3C"/>
    <w:rsid w:val="00446F18"/>
    <w:rsid w:val="0045381B"/>
    <w:rsid w:val="0045495B"/>
    <w:rsid w:val="00456308"/>
    <w:rsid w:val="00462C53"/>
    <w:rsid w:val="00467A2D"/>
    <w:rsid w:val="0048397A"/>
    <w:rsid w:val="00494C89"/>
    <w:rsid w:val="00495710"/>
    <w:rsid w:val="004A0608"/>
    <w:rsid w:val="004A12F2"/>
    <w:rsid w:val="004A362D"/>
    <w:rsid w:val="004A513E"/>
    <w:rsid w:val="004A6F01"/>
    <w:rsid w:val="004A7584"/>
    <w:rsid w:val="004B139A"/>
    <w:rsid w:val="004B2DBF"/>
    <w:rsid w:val="004B3B68"/>
    <w:rsid w:val="004B4963"/>
    <w:rsid w:val="004B601E"/>
    <w:rsid w:val="004B775E"/>
    <w:rsid w:val="004C0248"/>
    <w:rsid w:val="004C2461"/>
    <w:rsid w:val="004C71D8"/>
    <w:rsid w:val="004C7462"/>
    <w:rsid w:val="004D42B6"/>
    <w:rsid w:val="004D4E04"/>
    <w:rsid w:val="004D53EE"/>
    <w:rsid w:val="004E0C05"/>
    <w:rsid w:val="004E77B2"/>
    <w:rsid w:val="00500F11"/>
    <w:rsid w:val="00503DEB"/>
    <w:rsid w:val="00504B2D"/>
    <w:rsid w:val="00507545"/>
    <w:rsid w:val="00511CA4"/>
    <w:rsid w:val="005138A7"/>
    <w:rsid w:val="00515740"/>
    <w:rsid w:val="00516D9A"/>
    <w:rsid w:val="0052136D"/>
    <w:rsid w:val="005226E3"/>
    <w:rsid w:val="00522B58"/>
    <w:rsid w:val="0052775E"/>
    <w:rsid w:val="00527937"/>
    <w:rsid w:val="005316C0"/>
    <w:rsid w:val="00534F52"/>
    <w:rsid w:val="00536A26"/>
    <w:rsid w:val="00537DE2"/>
    <w:rsid w:val="005420F2"/>
    <w:rsid w:val="00545856"/>
    <w:rsid w:val="00546F19"/>
    <w:rsid w:val="005526F2"/>
    <w:rsid w:val="0055613B"/>
    <w:rsid w:val="005628B6"/>
    <w:rsid w:val="005715E8"/>
    <w:rsid w:val="00571B6C"/>
    <w:rsid w:val="00572217"/>
    <w:rsid w:val="00573594"/>
    <w:rsid w:val="00580343"/>
    <w:rsid w:val="00582702"/>
    <w:rsid w:val="00585898"/>
    <w:rsid w:val="0058740B"/>
    <w:rsid w:val="00591641"/>
    <w:rsid w:val="00592C49"/>
    <w:rsid w:val="005934A0"/>
    <w:rsid w:val="00594917"/>
    <w:rsid w:val="00596A7A"/>
    <w:rsid w:val="00596DFC"/>
    <w:rsid w:val="00596E74"/>
    <w:rsid w:val="00597897"/>
    <w:rsid w:val="005A36EA"/>
    <w:rsid w:val="005A70E0"/>
    <w:rsid w:val="005B2170"/>
    <w:rsid w:val="005B3225"/>
    <w:rsid w:val="005B3DB3"/>
    <w:rsid w:val="005B4E13"/>
    <w:rsid w:val="005D6D90"/>
    <w:rsid w:val="005E4834"/>
    <w:rsid w:val="005E4D6C"/>
    <w:rsid w:val="005F502C"/>
    <w:rsid w:val="005F7B75"/>
    <w:rsid w:val="006001EE"/>
    <w:rsid w:val="00605042"/>
    <w:rsid w:val="00605804"/>
    <w:rsid w:val="006064AF"/>
    <w:rsid w:val="00607E90"/>
    <w:rsid w:val="00610B39"/>
    <w:rsid w:val="00611E5F"/>
    <w:rsid w:val="00611FC4"/>
    <w:rsid w:val="006147C9"/>
    <w:rsid w:val="00615A8C"/>
    <w:rsid w:val="006176FB"/>
    <w:rsid w:val="006217B9"/>
    <w:rsid w:val="00624A11"/>
    <w:rsid w:val="00625942"/>
    <w:rsid w:val="00634770"/>
    <w:rsid w:val="006348B1"/>
    <w:rsid w:val="00635FFB"/>
    <w:rsid w:val="00636EDC"/>
    <w:rsid w:val="00640B26"/>
    <w:rsid w:val="00642783"/>
    <w:rsid w:val="00644A0F"/>
    <w:rsid w:val="00645CC9"/>
    <w:rsid w:val="00652D0A"/>
    <w:rsid w:val="00653BAC"/>
    <w:rsid w:val="006623D5"/>
    <w:rsid w:val="00662BB6"/>
    <w:rsid w:val="00667F8F"/>
    <w:rsid w:val="00672F1A"/>
    <w:rsid w:val="00683720"/>
    <w:rsid w:val="00684C21"/>
    <w:rsid w:val="006944AE"/>
    <w:rsid w:val="006A0D16"/>
    <w:rsid w:val="006A2530"/>
    <w:rsid w:val="006A50B7"/>
    <w:rsid w:val="006A64E1"/>
    <w:rsid w:val="006A7D45"/>
    <w:rsid w:val="006B2201"/>
    <w:rsid w:val="006B6B08"/>
    <w:rsid w:val="006C3589"/>
    <w:rsid w:val="006C370C"/>
    <w:rsid w:val="006C6ABE"/>
    <w:rsid w:val="006D37AF"/>
    <w:rsid w:val="006D37F2"/>
    <w:rsid w:val="006D48C2"/>
    <w:rsid w:val="006D51D0"/>
    <w:rsid w:val="006D5297"/>
    <w:rsid w:val="006E42E0"/>
    <w:rsid w:val="006E564B"/>
    <w:rsid w:val="006E7191"/>
    <w:rsid w:val="00703577"/>
    <w:rsid w:val="00705894"/>
    <w:rsid w:val="00705E08"/>
    <w:rsid w:val="00706DF1"/>
    <w:rsid w:val="00707C3A"/>
    <w:rsid w:val="00717B32"/>
    <w:rsid w:val="00725755"/>
    <w:rsid w:val="0072632A"/>
    <w:rsid w:val="00731335"/>
    <w:rsid w:val="007327D5"/>
    <w:rsid w:val="007335AA"/>
    <w:rsid w:val="00734E9C"/>
    <w:rsid w:val="00742369"/>
    <w:rsid w:val="0074447B"/>
    <w:rsid w:val="00754727"/>
    <w:rsid w:val="007611CF"/>
    <w:rsid w:val="0076242B"/>
    <w:rsid w:val="007629C8"/>
    <w:rsid w:val="007659AE"/>
    <w:rsid w:val="0077047D"/>
    <w:rsid w:val="007714D9"/>
    <w:rsid w:val="00784997"/>
    <w:rsid w:val="00795A95"/>
    <w:rsid w:val="00795DB9"/>
    <w:rsid w:val="00797F5E"/>
    <w:rsid w:val="007A08B6"/>
    <w:rsid w:val="007A6687"/>
    <w:rsid w:val="007B1FC1"/>
    <w:rsid w:val="007B63A9"/>
    <w:rsid w:val="007B6BA5"/>
    <w:rsid w:val="007C0A3F"/>
    <w:rsid w:val="007C3390"/>
    <w:rsid w:val="007C4F4B"/>
    <w:rsid w:val="007D1B5D"/>
    <w:rsid w:val="007D7FF7"/>
    <w:rsid w:val="007E0073"/>
    <w:rsid w:val="007E01E9"/>
    <w:rsid w:val="007E63F3"/>
    <w:rsid w:val="007E6D37"/>
    <w:rsid w:val="007E7B78"/>
    <w:rsid w:val="007F007D"/>
    <w:rsid w:val="007F30E2"/>
    <w:rsid w:val="007F6611"/>
    <w:rsid w:val="007F68F8"/>
    <w:rsid w:val="007F7106"/>
    <w:rsid w:val="00801941"/>
    <w:rsid w:val="00802B58"/>
    <w:rsid w:val="00803EB6"/>
    <w:rsid w:val="00810899"/>
    <w:rsid w:val="00811920"/>
    <w:rsid w:val="00815AD0"/>
    <w:rsid w:val="00821892"/>
    <w:rsid w:val="00823DE2"/>
    <w:rsid w:val="008242D7"/>
    <w:rsid w:val="008257B1"/>
    <w:rsid w:val="0082637D"/>
    <w:rsid w:val="0082760E"/>
    <w:rsid w:val="00836050"/>
    <w:rsid w:val="008378EA"/>
    <w:rsid w:val="00837DC1"/>
    <w:rsid w:val="00843767"/>
    <w:rsid w:val="00844FA0"/>
    <w:rsid w:val="00845A29"/>
    <w:rsid w:val="00847C0C"/>
    <w:rsid w:val="008533BD"/>
    <w:rsid w:val="008679D9"/>
    <w:rsid w:val="00871389"/>
    <w:rsid w:val="008716AA"/>
    <w:rsid w:val="00873E14"/>
    <w:rsid w:val="00874D85"/>
    <w:rsid w:val="00883999"/>
    <w:rsid w:val="00885370"/>
    <w:rsid w:val="00886706"/>
    <w:rsid w:val="008878DE"/>
    <w:rsid w:val="00891235"/>
    <w:rsid w:val="008979B1"/>
    <w:rsid w:val="008A512E"/>
    <w:rsid w:val="008A603C"/>
    <w:rsid w:val="008A6B25"/>
    <w:rsid w:val="008A6C4F"/>
    <w:rsid w:val="008B2335"/>
    <w:rsid w:val="008B31B1"/>
    <w:rsid w:val="008B52AB"/>
    <w:rsid w:val="008B5A75"/>
    <w:rsid w:val="008C1E78"/>
    <w:rsid w:val="008D045B"/>
    <w:rsid w:val="008D19AD"/>
    <w:rsid w:val="008D5F79"/>
    <w:rsid w:val="008E0678"/>
    <w:rsid w:val="008F0618"/>
    <w:rsid w:val="008F0F38"/>
    <w:rsid w:val="00903066"/>
    <w:rsid w:val="00903D7F"/>
    <w:rsid w:val="009110F4"/>
    <w:rsid w:val="009125E4"/>
    <w:rsid w:val="009135BA"/>
    <w:rsid w:val="009223CA"/>
    <w:rsid w:val="00924F5C"/>
    <w:rsid w:val="00926C53"/>
    <w:rsid w:val="0093453C"/>
    <w:rsid w:val="009371C1"/>
    <w:rsid w:val="00940807"/>
    <w:rsid w:val="00940B1D"/>
    <w:rsid w:val="00940F93"/>
    <w:rsid w:val="00942326"/>
    <w:rsid w:val="00956823"/>
    <w:rsid w:val="009760F3"/>
    <w:rsid w:val="0097625A"/>
    <w:rsid w:val="00976960"/>
    <w:rsid w:val="009814DB"/>
    <w:rsid w:val="00984572"/>
    <w:rsid w:val="00990E3D"/>
    <w:rsid w:val="00993706"/>
    <w:rsid w:val="00993827"/>
    <w:rsid w:val="00995409"/>
    <w:rsid w:val="009A0E8D"/>
    <w:rsid w:val="009A1480"/>
    <w:rsid w:val="009A2ADC"/>
    <w:rsid w:val="009B1518"/>
    <w:rsid w:val="009B18AB"/>
    <w:rsid w:val="009B26E7"/>
    <w:rsid w:val="009B4D77"/>
    <w:rsid w:val="009C21BF"/>
    <w:rsid w:val="009C454F"/>
    <w:rsid w:val="009D2A5B"/>
    <w:rsid w:val="009E323B"/>
    <w:rsid w:val="009E4D23"/>
    <w:rsid w:val="00A00A3F"/>
    <w:rsid w:val="00A01489"/>
    <w:rsid w:val="00A01941"/>
    <w:rsid w:val="00A12216"/>
    <w:rsid w:val="00A15650"/>
    <w:rsid w:val="00A222B0"/>
    <w:rsid w:val="00A23543"/>
    <w:rsid w:val="00A23D40"/>
    <w:rsid w:val="00A27B93"/>
    <w:rsid w:val="00A3009E"/>
    <w:rsid w:val="00A3026E"/>
    <w:rsid w:val="00A31303"/>
    <w:rsid w:val="00A316E9"/>
    <w:rsid w:val="00A32924"/>
    <w:rsid w:val="00A338F1"/>
    <w:rsid w:val="00A41C9B"/>
    <w:rsid w:val="00A444B7"/>
    <w:rsid w:val="00A52908"/>
    <w:rsid w:val="00A5546F"/>
    <w:rsid w:val="00A579C9"/>
    <w:rsid w:val="00A60058"/>
    <w:rsid w:val="00A64787"/>
    <w:rsid w:val="00A6677D"/>
    <w:rsid w:val="00A66A79"/>
    <w:rsid w:val="00A72C55"/>
    <w:rsid w:val="00A72F22"/>
    <w:rsid w:val="00A7360F"/>
    <w:rsid w:val="00A748A6"/>
    <w:rsid w:val="00A74B6F"/>
    <w:rsid w:val="00A754C4"/>
    <w:rsid w:val="00A769F4"/>
    <w:rsid w:val="00A76A7E"/>
    <w:rsid w:val="00A776B4"/>
    <w:rsid w:val="00A84A49"/>
    <w:rsid w:val="00A932F4"/>
    <w:rsid w:val="00A9395C"/>
    <w:rsid w:val="00A94361"/>
    <w:rsid w:val="00A96D8A"/>
    <w:rsid w:val="00AA293C"/>
    <w:rsid w:val="00AA5B9C"/>
    <w:rsid w:val="00AA78CE"/>
    <w:rsid w:val="00AB3240"/>
    <w:rsid w:val="00AB449C"/>
    <w:rsid w:val="00AB4DE0"/>
    <w:rsid w:val="00AC26E8"/>
    <w:rsid w:val="00AD3665"/>
    <w:rsid w:val="00AD4EFD"/>
    <w:rsid w:val="00AE04FE"/>
    <w:rsid w:val="00AE05C5"/>
    <w:rsid w:val="00AE5438"/>
    <w:rsid w:val="00AF25C6"/>
    <w:rsid w:val="00AF3DAD"/>
    <w:rsid w:val="00AF5442"/>
    <w:rsid w:val="00AF6790"/>
    <w:rsid w:val="00AF67FA"/>
    <w:rsid w:val="00B01087"/>
    <w:rsid w:val="00B024D1"/>
    <w:rsid w:val="00B11BB4"/>
    <w:rsid w:val="00B13977"/>
    <w:rsid w:val="00B14430"/>
    <w:rsid w:val="00B21041"/>
    <w:rsid w:val="00B22BC2"/>
    <w:rsid w:val="00B30179"/>
    <w:rsid w:val="00B3124A"/>
    <w:rsid w:val="00B408AF"/>
    <w:rsid w:val="00B40ADD"/>
    <w:rsid w:val="00B41346"/>
    <w:rsid w:val="00B421C1"/>
    <w:rsid w:val="00B461C5"/>
    <w:rsid w:val="00B47EF4"/>
    <w:rsid w:val="00B53165"/>
    <w:rsid w:val="00B55C71"/>
    <w:rsid w:val="00B56E4A"/>
    <w:rsid w:val="00B56E5F"/>
    <w:rsid w:val="00B56E9C"/>
    <w:rsid w:val="00B61320"/>
    <w:rsid w:val="00B64B1F"/>
    <w:rsid w:val="00B6553F"/>
    <w:rsid w:val="00B70366"/>
    <w:rsid w:val="00B70F1E"/>
    <w:rsid w:val="00B77D05"/>
    <w:rsid w:val="00B81206"/>
    <w:rsid w:val="00B81E12"/>
    <w:rsid w:val="00B85C81"/>
    <w:rsid w:val="00B90FF9"/>
    <w:rsid w:val="00B912BB"/>
    <w:rsid w:val="00B91698"/>
    <w:rsid w:val="00B91738"/>
    <w:rsid w:val="00BA6884"/>
    <w:rsid w:val="00BA760D"/>
    <w:rsid w:val="00BB7CD1"/>
    <w:rsid w:val="00BC24AC"/>
    <w:rsid w:val="00BC2D26"/>
    <w:rsid w:val="00BC2E61"/>
    <w:rsid w:val="00BC3FA0"/>
    <w:rsid w:val="00BC74E9"/>
    <w:rsid w:val="00BD5D88"/>
    <w:rsid w:val="00BE0277"/>
    <w:rsid w:val="00BE0F9A"/>
    <w:rsid w:val="00BF11CB"/>
    <w:rsid w:val="00BF68A8"/>
    <w:rsid w:val="00BF7313"/>
    <w:rsid w:val="00C04976"/>
    <w:rsid w:val="00C06BC7"/>
    <w:rsid w:val="00C10FE6"/>
    <w:rsid w:val="00C11A03"/>
    <w:rsid w:val="00C140EE"/>
    <w:rsid w:val="00C15DC7"/>
    <w:rsid w:val="00C22C0C"/>
    <w:rsid w:val="00C2723E"/>
    <w:rsid w:val="00C33131"/>
    <w:rsid w:val="00C36972"/>
    <w:rsid w:val="00C4304B"/>
    <w:rsid w:val="00C4527F"/>
    <w:rsid w:val="00C463DD"/>
    <w:rsid w:val="00C4724C"/>
    <w:rsid w:val="00C5361B"/>
    <w:rsid w:val="00C629A0"/>
    <w:rsid w:val="00C64629"/>
    <w:rsid w:val="00C727A1"/>
    <w:rsid w:val="00C745C3"/>
    <w:rsid w:val="00C75D71"/>
    <w:rsid w:val="00C7741C"/>
    <w:rsid w:val="00C93BA1"/>
    <w:rsid w:val="00CA7CBB"/>
    <w:rsid w:val="00CB327B"/>
    <w:rsid w:val="00CB3E03"/>
    <w:rsid w:val="00CB4EA7"/>
    <w:rsid w:val="00CB6309"/>
    <w:rsid w:val="00CC18B5"/>
    <w:rsid w:val="00CC24D3"/>
    <w:rsid w:val="00CC3F16"/>
    <w:rsid w:val="00CC5EC3"/>
    <w:rsid w:val="00CD56FC"/>
    <w:rsid w:val="00CD614B"/>
    <w:rsid w:val="00CD72AC"/>
    <w:rsid w:val="00CE4A8F"/>
    <w:rsid w:val="00CF08CE"/>
    <w:rsid w:val="00CF1606"/>
    <w:rsid w:val="00D01A1A"/>
    <w:rsid w:val="00D01D27"/>
    <w:rsid w:val="00D053EC"/>
    <w:rsid w:val="00D15979"/>
    <w:rsid w:val="00D2031B"/>
    <w:rsid w:val="00D25FE2"/>
    <w:rsid w:val="00D33060"/>
    <w:rsid w:val="00D40452"/>
    <w:rsid w:val="00D43252"/>
    <w:rsid w:val="00D47EEA"/>
    <w:rsid w:val="00D529D3"/>
    <w:rsid w:val="00D540F6"/>
    <w:rsid w:val="00D547F6"/>
    <w:rsid w:val="00D741DF"/>
    <w:rsid w:val="00D74781"/>
    <w:rsid w:val="00D77236"/>
    <w:rsid w:val="00D773DF"/>
    <w:rsid w:val="00D808FE"/>
    <w:rsid w:val="00D82B39"/>
    <w:rsid w:val="00D831E3"/>
    <w:rsid w:val="00D875F9"/>
    <w:rsid w:val="00D91EAE"/>
    <w:rsid w:val="00D9388B"/>
    <w:rsid w:val="00D95303"/>
    <w:rsid w:val="00D978C6"/>
    <w:rsid w:val="00DA0571"/>
    <w:rsid w:val="00DA1F2F"/>
    <w:rsid w:val="00DA31B1"/>
    <w:rsid w:val="00DA3C1C"/>
    <w:rsid w:val="00DA58C3"/>
    <w:rsid w:val="00DA6AB6"/>
    <w:rsid w:val="00DB1628"/>
    <w:rsid w:val="00DC048E"/>
    <w:rsid w:val="00DC17F0"/>
    <w:rsid w:val="00DC228E"/>
    <w:rsid w:val="00DC2E89"/>
    <w:rsid w:val="00DC76C1"/>
    <w:rsid w:val="00DD1EBB"/>
    <w:rsid w:val="00DD4532"/>
    <w:rsid w:val="00DD6B4F"/>
    <w:rsid w:val="00DF1ADF"/>
    <w:rsid w:val="00DF35BF"/>
    <w:rsid w:val="00E0127E"/>
    <w:rsid w:val="00E03B52"/>
    <w:rsid w:val="00E03C5C"/>
    <w:rsid w:val="00E046DF"/>
    <w:rsid w:val="00E15557"/>
    <w:rsid w:val="00E24363"/>
    <w:rsid w:val="00E27346"/>
    <w:rsid w:val="00E36538"/>
    <w:rsid w:val="00E41752"/>
    <w:rsid w:val="00E4196D"/>
    <w:rsid w:val="00E41E45"/>
    <w:rsid w:val="00E43319"/>
    <w:rsid w:val="00E45450"/>
    <w:rsid w:val="00E47F7A"/>
    <w:rsid w:val="00E50903"/>
    <w:rsid w:val="00E54EE8"/>
    <w:rsid w:val="00E55EE2"/>
    <w:rsid w:val="00E6267D"/>
    <w:rsid w:val="00E63021"/>
    <w:rsid w:val="00E71BC8"/>
    <w:rsid w:val="00E7260F"/>
    <w:rsid w:val="00E73703"/>
    <w:rsid w:val="00E73F5D"/>
    <w:rsid w:val="00E74AB1"/>
    <w:rsid w:val="00E77E4E"/>
    <w:rsid w:val="00E85993"/>
    <w:rsid w:val="00E9355B"/>
    <w:rsid w:val="00E9554F"/>
    <w:rsid w:val="00E96630"/>
    <w:rsid w:val="00E96B64"/>
    <w:rsid w:val="00EB094B"/>
    <w:rsid w:val="00EB74F8"/>
    <w:rsid w:val="00EC106A"/>
    <w:rsid w:val="00EC2840"/>
    <w:rsid w:val="00EC5CC8"/>
    <w:rsid w:val="00ED1A65"/>
    <w:rsid w:val="00ED5D98"/>
    <w:rsid w:val="00ED7A2A"/>
    <w:rsid w:val="00EE4DE2"/>
    <w:rsid w:val="00EE6B3A"/>
    <w:rsid w:val="00EE71D3"/>
    <w:rsid w:val="00EF1D7F"/>
    <w:rsid w:val="00EF4579"/>
    <w:rsid w:val="00F014A3"/>
    <w:rsid w:val="00F14DA6"/>
    <w:rsid w:val="00F20E9B"/>
    <w:rsid w:val="00F21316"/>
    <w:rsid w:val="00F21406"/>
    <w:rsid w:val="00F31E5F"/>
    <w:rsid w:val="00F359A4"/>
    <w:rsid w:val="00F369D6"/>
    <w:rsid w:val="00F400F6"/>
    <w:rsid w:val="00F403CF"/>
    <w:rsid w:val="00F413F2"/>
    <w:rsid w:val="00F41C14"/>
    <w:rsid w:val="00F42094"/>
    <w:rsid w:val="00F4507C"/>
    <w:rsid w:val="00F47CAB"/>
    <w:rsid w:val="00F52BAB"/>
    <w:rsid w:val="00F5565F"/>
    <w:rsid w:val="00F60C43"/>
    <w:rsid w:val="00F6100A"/>
    <w:rsid w:val="00F66565"/>
    <w:rsid w:val="00F71A1B"/>
    <w:rsid w:val="00F73C14"/>
    <w:rsid w:val="00F76846"/>
    <w:rsid w:val="00F83419"/>
    <w:rsid w:val="00F877B2"/>
    <w:rsid w:val="00F93781"/>
    <w:rsid w:val="00F96010"/>
    <w:rsid w:val="00FA1303"/>
    <w:rsid w:val="00FA2F1A"/>
    <w:rsid w:val="00FA3B96"/>
    <w:rsid w:val="00FB091C"/>
    <w:rsid w:val="00FB613B"/>
    <w:rsid w:val="00FB73D0"/>
    <w:rsid w:val="00FC1668"/>
    <w:rsid w:val="00FC5B5F"/>
    <w:rsid w:val="00FC68B7"/>
    <w:rsid w:val="00FC6F20"/>
    <w:rsid w:val="00FE106A"/>
    <w:rsid w:val="00FE5A12"/>
    <w:rsid w:val="00FE666E"/>
    <w:rsid w:val="00FF1275"/>
    <w:rsid w:val="00FF145D"/>
    <w:rsid w:val="00FF202D"/>
    <w:rsid w:val="00FF20EC"/>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3825A4"/>
    <w:pPr>
      <w:spacing w:line="240" w:lineRule="auto"/>
      <w:outlineLvl w:val="1"/>
    </w:pPr>
  </w:style>
  <w:style w:type="paragraph" w:styleId="Heading3">
    <w:name w:val="heading 3"/>
    <w:basedOn w:val="Normal"/>
    <w:next w:val="Normal"/>
    <w:qFormat/>
    <w:rsid w:val="003825A4"/>
    <w:pPr>
      <w:spacing w:line="240" w:lineRule="auto"/>
      <w:outlineLvl w:val="2"/>
    </w:pPr>
  </w:style>
  <w:style w:type="paragraph" w:styleId="Heading4">
    <w:name w:val="heading 4"/>
    <w:basedOn w:val="Normal"/>
    <w:next w:val="Normal"/>
    <w:qFormat/>
    <w:rsid w:val="003825A4"/>
    <w:pPr>
      <w:spacing w:line="240" w:lineRule="auto"/>
      <w:outlineLvl w:val="3"/>
    </w:pPr>
  </w:style>
  <w:style w:type="paragraph" w:styleId="Heading5">
    <w:name w:val="heading 5"/>
    <w:basedOn w:val="Normal"/>
    <w:next w:val="Normal"/>
    <w:qFormat/>
    <w:rsid w:val="003825A4"/>
    <w:pPr>
      <w:spacing w:line="240" w:lineRule="auto"/>
      <w:outlineLvl w:val="4"/>
    </w:pPr>
  </w:style>
  <w:style w:type="paragraph" w:styleId="Heading6">
    <w:name w:val="heading 6"/>
    <w:basedOn w:val="Normal"/>
    <w:next w:val="Normal"/>
    <w:qFormat/>
    <w:rsid w:val="003825A4"/>
    <w:pPr>
      <w:spacing w:line="240" w:lineRule="auto"/>
      <w:outlineLvl w:val="5"/>
    </w:pPr>
  </w:style>
  <w:style w:type="paragraph" w:styleId="Heading7">
    <w:name w:val="heading 7"/>
    <w:basedOn w:val="Normal"/>
    <w:next w:val="Normal"/>
    <w:qFormat/>
    <w:rsid w:val="003825A4"/>
    <w:pPr>
      <w:spacing w:line="240" w:lineRule="auto"/>
      <w:outlineLvl w:val="6"/>
    </w:pPr>
  </w:style>
  <w:style w:type="paragraph" w:styleId="Heading8">
    <w:name w:val="heading 8"/>
    <w:basedOn w:val="Normal"/>
    <w:next w:val="Normal"/>
    <w:qFormat/>
    <w:rsid w:val="003825A4"/>
    <w:pPr>
      <w:spacing w:line="240" w:lineRule="auto"/>
      <w:outlineLvl w:val="7"/>
    </w:pPr>
  </w:style>
  <w:style w:type="paragraph" w:styleId="Heading9">
    <w:name w:val="heading 9"/>
    <w:basedOn w:val="Normal"/>
    <w:next w:val="Normal"/>
    <w:qFormat/>
    <w:rsid w:val="003825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3825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3825A4"/>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rsid w:val="003825A4"/>
    <w:pPr>
      <w:numPr>
        <w:numId w:val="13"/>
      </w:numPr>
      <w:tabs>
        <w:tab w:val="clear" w:pos="1494"/>
      </w:tabs>
    </w:pPr>
  </w:style>
  <w:style w:type="paragraph" w:customStyle="1" w:styleId="SingleTxtG">
    <w:name w:val="_ Single Txt_G"/>
    <w:basedOn w:val="Normal"/>
    <w:link w:val="SingleTxtGChar"/>
    <w:rsid w:val="003825A4"/>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3825A4"/>
    <w:rPr>
      <w:rFonts w:cs="Courier New"/>
    </w:rPr>
  </w:style>
  <w:style w:type="paragraph" w:styleId="BodyText">
    <w:name w:val="Body Text"/>
    <w:basedOn w:val="Normal"/>
    <w:next w:val="Normal"/>
    <w:link w:val="BodyTextChar"/>
    <w:rsid w:val="003825A4"/>
    <w:rPr>
      <w:lang w:val="x-none"/>
    </w:rPr>
  </w:style>
  <w:style w:type="paragraph" w:styleId="BodyTextIndent">
    <w:name w:val="Body Text Indent"/>
    <w:basedOn w:val="Normal"/>
    <w:semiHidden/>
    <w:rsid w:val="003825A4"/>
    <w:pPr>
      <w:spacing w:after="120"/>
      <w:ind w:left="283"/>
    </w:pPr>
  </w:style>
  <w:style w:type="paragraph" w:styleId="BlockText">
    <w:name w:val="Block Text"/>
    <w:basedOn w:val="Normal"/>
    <w:semiHidden/>
    <w:rsid w:val="003825A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rsid w:val="003825A4"/>
    <w:rPr>
      <w:sz w:val="6"/>
    </w:rPr>
  </w:style>
  <w:style w:type="paragraph" w:styleId="CommentText">
    <w:name w:val="annotation text"/>
    <w:basedOn w:val="Normal"/>
    <w:link w:val="CommentTextChar"/>
    <w:uiPriority w:val="99"/>
    <w:rsid w:val="003825A4"/>
  </w:style>
  <w:style w:type="character" w:styleId="LineNumber">
    <w:name w:val="line number"/>
    <w:semiHidden/>
    <w:rsid w:val="003825A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3825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825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825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825A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0">
    <w:name w:val="List 2"/>
    <w:basedOn w:val="Normal"/>
    <w:semiHidden/>
    <w:rsid w:val="008A6C4F"/>
    <w:pPr>
      <w:ind w:left="566" w:hanging="283"/>
    </w:pPr>
  </w:style>
  <w:style w:type="paragraph" w:styleId="List30">
    <w:name w:val="List 3"/>
    <w:basedOn w:val="Normal"/>
    <w:semiHidden/>
    <w:rsid w:val="008A6C4F"/>
    <w:pPr>
      <w:ind w:left="849" w:hanging="283"/>
    </w:pPr>
  </w:style>
  <w:style w:type="paragraph" w:styleId="List40">
    <w:name w:val="List 4"/>
    <w:basedOn w:val="Normal"/>
    <w:semiHidden/>
    <w:rsid w:val="008A6C4F"/>
    <w:pPr>
      <w:ind w:left="1132" w:hanging="283"/>
    </w:pPr>
  </w:style>
  <w:style w:type="paragraph" w:styleId="List50">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lang w:val="x-none"/>
    </w:rPr>
  </w:style>
  <w:style w:type="paragraph" w:styleId="Header">
    <w:name w:val="header"/>
    <w:aliases w:val="6_G"/>
    <w:basedOn w:val="Normal"/>
    <w:link w:val="HeaderChar"/>
    <w:rsid w:val="00050F6B"/>
    <w:pPr>
      <w:pBdr>
        <w:bottom w:val="single" w:sz="4" w:space="4" w:color="auto"/>
      </w:pBdr>
      <w:spacing w:line="240" w:lineRule="auto"/>
    </w:pPr>
    <w:rPr>
      <w:b/>
      <w:sz w:val="18"/>
      <w:lang w:val="x-none"/>
    </w:rPr>
  </w:style>
  <w:style w:type="character" w:customStyle="1" w:styleId="H1GChar">
    <w:name w:val="_ H_1_G Char"/>
    <w:link w:val="H1G"/>
    <w:rsid w:val="001F7435"/>
    <w:rPr>
      <w:b/>
      <w:sz w:val="24"/>
      <w:lang w:val="en-GB" w:eastAsia="en-US" w:bidi="ar-SA"/>
    </w:rPr>
  </w:style>
  <w:style w:type="character" w:customStyle="1" w:styleId="SingleTxtGChar">
    <w:name w:val="_ Single Txt_G Char"/>
    <w:link w:val="SingleTxtG"/>
    <w:rsid w:val="00F60C43"/>
    <w:rPr>
      <w:lang w:eastAsia="en-US"/>
    </w:rPr>
  </w:style>
  <w:style w:type="paragraph" w:styleId="BalloonText">
    <w:name w:val="Balloon Text"/>
    <w:basedOn w:val="Normal"/>
    <w:link w:val="BalloonTextChar"/>
    <w:rsid w:val="001A69F3"/>
    <w:pPr>
      <w:spacing w:line="240" w:lineRule="auto"/>
    </w:pPr>
    <w:rPr>
      <w:rFonts w:ascii="Tahoma" w:hAnsi="Tahoma"/>
      <w:sz w:val="16"/>
      <w:szCs w:val="16"/>
      <w:lang w:val="x-none"/>
    </w:rPr>
  </w:style>
  <w:style w:type="character" w:customStyle="1" w:styleId="BalloonTextChar">
    <w:name w:val="Balloon Text Char"/>
    <w:link w:val="BalloonText"/>
    <w:rsid w:val="001A69F3"/>
    <w:rPr>
      <w:rFonts w:ascii="Tahoma" w:hAnsi="Tahoma" w:cs="Tahoma"/>
      <w:sz w:val="16"/>
      <w:szCs w:val="16"/>
      <w:lang w:eastAsia="en-US"/>
    </w:rPr>
  </w:style>
  <w:style w:type="paragraph" w:customStyle="1" w:styleId="List1">
    <w:name w:val="List 1."/>
    <w:basedOn w:val="Normal"/>
    <w:qFormat/>
    <w:rsid w:val="00284EB0"/>
    <w:pPr>
      <w:numPr>
        <w:numId w:val="17"/>
      </w:numPr>
      <w:suppressAutoHyphens w:val="0"/>
      <w:spacing w:before="360" w:after="120" w:line="240" w:lineRule="auto"/>
      <w:jc w:val="both"/>
      <w:outlineLvl w:val="0"/>
    </w:pPr>
    <w:rPr>
      <w:rFonts w:ascii="Arial" w:eastAsia="Calibri" w:hAnsi="Arial"/>
      <w:b/>
      <w:caps/>
      <w:sz w:val="22"/>
    </w:rPr>
  </w:style>
  <w:style w:type="paragraph" w:customStyle="1" w:styleId="List2">
    <w:name w:val="List 2."/>
    <w:basedOn w:val="Normal"/>
    <w:qFormat/>
    <w:rsid w:val="00284EB0"/>
    <w:pPr>
      <w:numPr>
        <w:ilvl w:val="1"/>
        <w:numId w:val="17"/>
      </w:numPr>
      <w:suppressAutoHyphens w:val="0"/>
      <w:spacing w:before="240" w:after="120" w:line="240" w:lineRule="auto"/>
      <w:jc w:val="both"/>
      <w:outlineLvl w:val="1"/>
    </w:pPr>
    <w:rPr>
      <w:rFonts w:ascii="Arial" w:eastAsia="Calibri" w:hAnsi="Arial"/>
      <w:b/>
      <w:sz w:val="22"/>
    </w:rPr>
  </w:style>
  <w:style w:type="paragraph" w:customStyle="1" w:styleId="List3">
    <w:name w:val="List 3."/>
    <w:basedOn w:val="Normal"/>
    <w:qFormat/>
    <w:rsid w:val="00284EB0"/>
    <w:pPr>
      <w:numPr>
        <w:ilvl w:val="2"/>
        <w:numId w:val="17"/>
      </w:numPr>
      <w:suppressAutoHyphens w:val="0"/>
      <w:spacing w:after="120" w:line="240" w:lineRule="auto"/>
      <w:jc w:val="both"/>
    </w:pPr>
    <w:rPr>
      <w:rFonts w:ascii="Arial" w:eastAsia="Calibri" w:hAnsi="Arial"/>
      <w:sz w:val="22"/>
    </w:rPr>
  </w:style>
  <w:style w:type="paragraph" w:customStyle="1" w:styleId="List4">
    <w:name w:val="List 4."/>
    <w:basedOn w:val="Normal"/>
    <w:qFormat/>
    <w:rsid w:val="00284EB0"/>
    <w:pPr>
      <w:numPr>
        <w:ilvl w:val="3"/>
        <w:numId w:val="17"/>
      </w:numPr>
      <w:suppressAutoHyphens w:val="0"/>
      <w:spacing w:after="120" w:line="240" w:lineRule="auto"/>
      <w:jc w:val="both"/>
    </w:pPr>
    <w:rPr>
      <w:rFonts w:ascii="Arial" w:eastAsia="Calibri" w:hAnsi="Arial"/>
      <w:sz w:val="22"/>
    </w:rPr>
  </w:style>
  <w:style w:type="paragraph" w:customStyle="1" w:styleId="List5">
    <w:name w:val="List 5."/>
    <w:basedOn w:val="Normal"/>
    <w:qFormat/>
    <w:rsid w:val="00284EB0"/>
    <w:pPr>
      <w:numPr>
        <w:ilvl w:val="4"/>
        <w:numId w:val="17"/>
      </w:numPr>
      <w:suppressAutoHyphens w:val="0"/>
      <w:spacing w:after="120" w:line="240" w:lineRule="auto"/>
      <w:jc w:val="both"/>
    </w:pPr>
    <w:rPr>
      <w:rFonts w:ascii="Arial" w:eastAsia="Calibri" w:hAnsi="Arial"/>
      <w:sz w:val="22"/>
    </w:rPr>
  </w:style>
  <w:style w:type="paragraph" w:customStyle="1" w:styleId="List6">
    <w:name w:val="List 6."/>
    <w:basedOn w:val="Normal"/>
    <w:qFormat/>
    <w:rsid w:val="00284EB0"/>
    <w:pPr>
      <w:numPr>
        <w:ilvl w:val="5"/>
        <w:numId w:val="17"/>
      </w:numPr>
      <w:suppressAutoHyphens w:val="0"/>
      <w:spacing w:after="120" w:line="240" w:lineRule="auto"/>
      <w:jc w:val="both"/>
    </w:pPr>
    <w:rPr>
      <w:rFonts w:ascii="Arial" w:eastAsia="Calibri" w:hAnsi="Arial"/>
      <w:sz w:val="22"/>
    </w:rPr>
  </w:style>
  <w:style w:type="paragraph" w:customStyle="1" w:styleId="ColorfulList-Accent11">
    <w:name w:val="Colorful List - Accent 11"/>
    <w:basedOn w:val="Normal"/>
    <w:uiPriority w:val="34"/>
    <w:qFormat/>
    <w:rsid w:val="00D547F6"/>
    <w:pPr>
      <w:suppressAutoHyphens w:val="0"/>
      <w:spacing w:after="120" w:line="240" w:lineRule="auto"/>
      <w:ind w:left="720"/>
      <w:contextualSpacing/>
      <w:jc w:val="both"/>
    </w:pPr>
    <w:rPr>
      <w:rFonts w:ascii="Arial" w:eastAsia="Calibri" w:hAnsi="Arial"/>
      <w:sz w:val="22"/>
    </w:rPr>
  </w:style>
  <w:style w:type="character" w:customStyle="1" w:styleId="FootnoteTextChar">
    <w:name w:val="Footnote Text Char"/>
    <w:aliases w:val="5_G Char"/>
    <w:link w:val="FootnoteText"/>
    <w:rsid w:val="00FC6F20"/>
    <w:rPr>
      <w:sz w:val="18"/>
      <w:lang w:eastAsia="en-US"/>
    </w:rPr>
  </w:style>
  <w:style w:type="character" w:customStyle="1" w:styleId="CommentTextChar">
    <w:name w:val="Comment Text Char"/>
    <w:link w:val="CommentText"/>
    <w:uiPriority w:val="99"/>
    <w:rsid w:val="0011073E"/>
    <w:rPr>
      <w:lang w:val="en-GB" w:eastAsia="en-US"/>
    </w:rPr>
  </w:style>
  <w:style w:type="paragraph" w:styleId="CommentSubject">
    <w:name w:val="annotation subject"/>
    <w:basedOn w:val="CommentText"/>
    <w:next w:val="CommentText"/>
    <w:link w:val="CommentSubjectChar"/>
    <w:rsid w:val="007E6D37"/>
    <w:rPr>
      <w:b/>
      <w:bCs/>
    </w:rPr>
  </w:style>
  <w:style w:type="character" w:customStyle="1" w:styleId="CommentSubjectChar">
    <w:name w:val="Comment Subject Char"/>
    <w:link w:val="CommentSubject"/>
    <w:rsid w:val="007E6D37"/>
    <w:rPr>
      <w:b/>
      <w:bCs/>
      <w:lang w:val="en-GB" w:eastAsia="en-US"/>
    </w:rPr>
  </w:style>
  <w:style w:type="character" w:customStyle="1" w:styleId="HChGChar">
    <w:name w:val="_ H _Ch_G Char"/>
    <w:link w:val="HChG"/>
    <w:rsid w:val="00FB091C"/>
    <w:rPr>
      <w:b/>
      <w:sz w:val="28"/>
      <w:lang w:eastAsia="en-US"/>
    </w:rPr>
  </w:style>
  <w:style w:type="paragraph" w:customStyle="1" w:styleId="a2">
    <w:name w:val="a2"/>
    <w:basedOn w:val="Heading2"/>
    <w:next w:val="Normal"/>
    <w:uiPriority w:val="99"/>
    <w:rsid w:val="00FB091C"/>
    <w:pPr>
      <w:keepNext/>
      <w:numPr>
        <w:ilvl w:val="1"/>
        <w:numId w:val="18"/>
      </w:numPr>
      <w:tabs>
        <w:tab w:val="left" w:pos="720"/>
      </w:tabs>
      <w:spacing w:before="270" w:after="240" w:line="270" w:lineRule="exact"/>
    </w:pPr>
    <w:rPr>
      <w:rFonts w:ascii="Arial" w:eastAsia="MS Mincho" w:hAnsi="Arial"/>
      <w:b/>
      <w:sz w:val="24"/>
      <w:lang w:eastAsia="fr-FR"/>
    </w:rPr>
  </w:style>
  <w:style w:type="paragraph" w:customStyle="1" w:styleId="a3">
    <w:name w:val="a3"/>
    <w:basedOn w:val="Heading3"/>
    <w:next w:val="Normal"/>
    <w:uiPriority w:val="99"/>
    <w:rsid w:val="00FB091C"/>
    <w:pPr>
      <w:keepNext/>
      <w:numPr>
        <w:ilvl w:val="2"/>
        <w:numId w:val="18"/>
      </w:numPr>
      <w:tabs>
        <w:tab w:val="left" w:pos="640"/>
        <w:tab w:val="left" w:pos="880"/>
      </w:tabs>
      <w:spacing w:before="60" w:after="240" w:line="250" w:lineRule="exact"/>
    </w:pPr>
    <w:rPr>
      <w:rFonts w:ascii="Arial" w:eastAsia="MS Mincho" w:hAnsi="Arial"/>
      <w:b/>
      <w:sz w:val="22"/>
      <w:lang w:eastAsia="fr-FR"/>
    </w:rPr>
  </w:style>
  <w:style w:type="paragraph" w:customStyle="1" w:styleId="a4">
    <w:name w:val="a4"/>
    <w:basedOn w:val="Heading4"/>
    <w:next w:val="Normal"/>
    <w:rsid w:val="00FB091C"/>
    <w:pPr>
      <w:keepNext/>
      <w:numPr>
        <w:ilvl w:val="3"/>
        <w:numId w:val="18"/>
      </w:numPr>
      <w:tabs>
        <w:tab w:val="left" w:pos="880"/>
      </w:tabs>
      <w:spacing w:before="60" w:after="240" w:line="230" w:lineRule="exact"/>
    </w:pPr>
    <w:rPr>
      <w:rFonts w:ascii="Arial" w:eastAsia="MS Mincho" w:hAnsi="Arial"/>
      <w:b/>
      <w:lang w:eastAsia="fr-FR"/>
    </w:rPr>
  </w:style>
  <w:style w:type="paragraph" w:customStyle="1" w:styleId="a5">
    <w:name w:val="a5"/>
    <w:basedOn w:val="Heading5"/>
    <w:next w:val="Normal"/>
    <w:rsid w:val="00FB091C"/>
    <w:pPr>
      <w:keepNext/>
      <w:numPr>
        <w:ilvl w:val="4"/>
        <w:numId w:val="18"/>
      </w:numPr>
      <w:tabs>
        <w:tab w:val="left" w:pos="1140"/>
        <w:tab w:val="left" w:pos="1360"/>
      </w:tabs>
      <w:spacing w:before="60" w:after="240" w:line="230" w:lineRule="exact"/>
    </w:pPr>
    <w:rPr>
      <w:rFonts w:ascii="Arial" w:eastAsia="MS Mincho" w:hAnsi="Arial"/>
      <w:b/>
      <w:lang w:eastAsia="fr-FR"/>
    </w:rPr>
  </w:style>
  <w:style w:type="paragraph" w:customStyle="1" w:styleId="a6">
    <w:name w:val="a6"/>
    <w:basedOn w:val="Heading6"/>
    <w:next w:val="Normal"/>
    <w:rsid w:val="00FB091C"/>
    <w:pPr>
      <w:keepNext/>
      <w:numPr>
        <w:ilvl w:val="5"/>
        <w:numId w:val="18"/>
      </w:numPr>
      <w:tabs>
        <w:tab w:val="left" w:pos="1140"/>
        <w:tab w:val="left" w:pos="1360"/>
      </w:tabs>
      <w:spacing w:before="60" w:after="240" w:line="230" w:lineRule="exact"/>
    </w:pPr>
    <w:rPr>
      <w:rFonts w:ascii="Arial" w:eastAsia="MS Mincho" w:hAnsi="Arial"/>
      <w:b/>
      <w:lang w:eastAsia="fr-FR"/>
    </w:rPr>
  </w:style>
  <w:style w:type="paragraph" w:customStyle="1" w:styleId="ANNEX">
    <w:name w:val="ANNEX"/>
    <w:basedOn w:val="Normal"/>
    <w:next w:val="Normal"/>
    <w:uiPriority w:val="99"/>
    <w:rsid w:val="00FB091C"/>
    <w:pPr>
      <w:keepNext/>
      <w:pageBreakBefore/>
      <w:numPr>
        <w:numId w:val="18"/>
      </w:numPr>
      <w:suppressAutoHyphens w:val="0"/>
      <w:spacing w:after="760" w:line="310" w:lineRule="exact"/>
      <w:jc w:val="center"/>
      <w:outlineLvl w:val="0"/>
    </w:pPr>
    <w:rPr>
      <w:rFonts w:ascii="Arial" w:eastAsia="MS Mincho" w:hAnsi="Arial"/>
      <w:b/>
      <w:sz w:val="28"/>
      <w:lang w:eastAsia="fr-FR"/>
    </w:rPr>
  </w:style>
  <w:style w:type="paragraph" w:customStyle="1" w:styleId="Figuretitle">
    <w:name w:val="Figure title"/>
    <w:basedOn w:val="Normal"/>
    <w:next w:val="Normal"/>
    <w:uiPriority w:val="99"/>
    <w:rsid w:val="00FB091C"/>
    <w:pPr>
      <w:spacing w:before="220" w:after="220" w:line="230" w:lineRule="atLeast"/>
      <w:jc w:val="center"/>
    </w:pPr>
    <w:rPr>
      <w:rFonts w:ascii="Arial" w:eastAsia="MS Mincho" w:hAnsi="Arial"/>
      <w:b/>
      <w:lang w:eastAsia="fr-FR"/>
    </w:rPr>
  </w:style>
  <w:style w:type="paragraph" w:customStyle="1" w:styleId="Tabletitle">
    <w:name w:val="Table title"/>
    <w:basedOn w:val="Normal"/>
    <w:next w:val="Normal"/>
    <w:rsid w:val="00FB091C"/>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FB091C"/>
    <w:rPr>
      <w:b/>
      <w:sz w:val="18"/>
      <w:lang w:eastAsia="en-US"/>
    </w:rPr>
  </w:style>
  <w:style w:type="character" w:customStyle="1" w:styleId="BodyTextChar">
    <w:name w:val="Body Text Char"/>
    <w:link w:val="BodyText"/>
    <w:rsid w:val="00FB091C"/>
    <w:rPr>
      <w:lang w:eastAsia="en-US"/>
    </w:rPr>
  </w:style>
  <w:style w:type="paragraph" w:customStyle="1" w:styleId="Tabletext10">
    <w:name w:val="Table text (10)"/>
    <w:basedOn w:val="Normal"/>
    <w:uiPriority w:val="99"/>
    <w:rsid w:val="00FB091C"/>
    <w:pPr>
      <w:suppressAutoHyphens w:val="0"/>
      <w:spacing w:before="60" w:after="60" w:line="230" w:lineRule="atLeast"/>
      <w:jc w:val="both"/>
    </w:pPr>
    <w:rPr>
      <w:rFonts w:ascii="Arial" w:hAnsi="Arial"/>
      <w:lang w:eastAsia="en-GB"/>
    </w:rPr>
  </w:style>
  <w:style w:type="character" w:customStyle="1" w:styleId="FooterChar">
    <w:name w:val="Footer Char"/>
    <w:aliases w:val="3_G Char"/>
    <w:link w:val="Footer"/>
    <w:uiPriority w:val="99"/>
    <w:rsid w:val="00FB091C"/>
    <w:rPr>
      <w:sz w:val="16"/>
      <w:lang w:eastAsia="en-US"/>
    </w:rPr>
  </w:style>
  <w:style w:type="paragraph" w:customStyle="1" w:styleId="Note">
    <w:name w:val="Note"/>
    <w:basedOn w:val="Normal"/>
    <w:next w:val="Normal"/>
    <w:uiPriority w:val="99"/>
    <w:rsid w:val="00FB091C"/>
    <w:pPr>
      <w:tabs>
        <w:tab w:val="left" w:pos="960"/>
      </w:tabs>
      <w:suppressAutoHyphens w:val="0"/>
      <w:spacing w:after="240" w:line="210" w:lineRule="atLeast"/>
      <w:jc w:val="both"/>
    </w:pPr>
    <w:rPr>
      <w:rFonts w:ascii="Arial" w:hAnsi="Arial"/>
      <w:sz w:val="18"/>
      <w:lang w:eastAsia="en-GB"/>
    </w:rPr>
  </w:style>
  <w:style w:type="paragraph" w:customStyle="1" w:styleId="singletxtg0">
    <w:name w:val="singletxtg"/>
    <w:basedOn w:val="Normal"/>
    <w:rsid w:val="00795A95"/>
    <w:pPr>
      <w:suppressAutoHyphens w:val="0"/>
      <w:spacing w:line="240" w:lineRule="auto"/>
    </w:pPr>
    <w:rPr>
      <w:rFonts w:eastAsia="Calibri"/>
      <w:sz w:val="24"/>
      <w:szCs w:val="24"/>
      <w:lang w:val="en-US"/>
    </w:rPr>
  </w:style>
  <w:style w:type="paragraph" w:customStyle="1" w:styleId="bullet1g0">
    <w:name w:val="bullet1g"/>
    <w:basedOn w:val="Normal"/>
    <w:rsid w:val="00795A95"/>
    <w:pPr>
      <w:suppressAutoHyphens w:val="0"/>
      <w:spacing w:line="240" w:lineRule="auto"/>
    </w:pPr>
    <w:rPr>
      <w:rFonts w:eastAsia="Calibri"/>
      <w:sz w:val="24"/>
      <w:szCs w:val="24"/>
      <w:lang w:val="en-US"/>
    </w:rPr>
  </w:style>
  <w:style w:type="character" w:customStyle="1" w:styleId="En-tteCar">
    <w:name w:val="En-tête Car"/>
    <w:aliases w:val="6_G Car"/>
    <w:locked/>
    <w:rsid w:val="00B40ADD"/>
    <w:rPr>
      <w:rFonts w:ascii="Arial" w:hAnsi="Arial" w:cs="Arial"/>
      <w:b/>
      <w:bCs/>
      <w:lang w:eastAsia="fr-FR"/>
    </w:rPr>
  </w:style>
  <w:style w:type="paragraph" w:customStyle="1" w:styleId="Tabletext9">
    <w:name w:val="Table text (9)"/>
    <w:basedOn w:val="Normal"/>
    <w:rsid w:val="00873E14"/>
    <w:pPr>
      <w:suppressAutoHyphens w:val="0"/>
      <w:spacing w:before="60" w:after="60" w:line="210" w:lineRule="atLeast"/>
      <w:jc w:val="both"/>
    </w:pPr>
    <w:rPr>
      <w:rFonts w:ascii="Arial" w:eastAsia="MS Mincho" w:hAnsi="Arial"/>
      <w:sz w:val="18"/>
      <w:lang w:eastAsia="fr-FR"/>
    </w:rPr>
  </w:style>
  <w:style w:type="paragraph" w:customStyle="1" w:styleId="zzLn5">
    <w:name w:val="zzLn5"/>
    <w:basedOn w:val="Normal"/>
    <w:next w:val="Normal"/>
    <w:rsid w:val="00873E14"/>
    <w:pPr>
      <w:suppressAutoHyphens w:val="0"/>
      <w:spacing w:after="240" w:line="230" w:lineRule="atLeast"/>
    </w:pPr>
    <w:rPr>
      <w:rFonts w:ascii="Arial" w:eastAsia="MS Mincho" w:hAnsi="Arial"/>
      <w:lang w:eastAsia="fr-FR"/>
    </w:rPr>
  </w:style>
  <w:style w:type="paragraph" w:customStyle="1" w:styleId="zzLn6">
    <w:name w:val="zzLn6"/>
    <w:basedOn w:val="Normal"/>
    <w:next w:val="Normal"/>
    <w:rsid w:val="00873E14"/>
    <w:pPr>
      <w:suppressAutoHyphens w:val="0"/>
      <w:spacing w:after="240" w:line="230" w:lineRule="atLeast"/>
    </w:pPr>
    <w:rPr>
      <w:rFonts w:ascii="Arial" w:eastAsia="MS Mincho" w:hAnsi="Arial"/>
      <w:lang w:eastAsia="fr-FR"/>
    </w:rPr>
  </w:style>
  <w:style w:type="paragraph" w:styleId="ListParagraph">
    <w:name w:val="List Paragraph"/>
    <w:basedOn w:val="Normal"/>
    <w:uiPriority w:val="34"/>
    <w:qFormat/>
    <w:rsid w:val="00E417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3825A4"/>
    <w:pPr>
      <w:spacing w:line="240" w:lineRule="auto"/>
      <w:outlineLvl w:val="1"/>
    </w:pPr>
  </w:style>
  <w:style w:type="paragraph" w:styleId="Heading3">
    <w:name w:val="heading 3"/>
    <w:basedOn w:val="Normal"/>
    <w:next w:val="Normal"/>
    <w:qFormat/>
    <w:rsid w:val="003825A4"/>
    <w:pPr>
      <w:spacing w:line="240" w:lineRule="auto"/>
      <w:outlineLvl w:val="2"/>
    </w:pPr>
  </w:style>
  <w:style w:type="paragraph" w:styleId="Heading4">
    <w:name w:val="heading 4"/>
    <w:basedOn w:val="Normal"/>
    <w:next w:val="Normal"/>
    <w:qFormat/>
    <w:rsid w:val="003825A4"/>
    <w:pPr>
      <w:spacing w:line="240" w:lineRule="auto"/>
      <w:outlineLvl w:val="3"/>
    </w:pPr>
  </w:style>
  <w:style w:type="paragraph" w:styleId="Heading5">
    <w:name w:val="heading 5"/>
    <w:basedOn w:val="Normal"/>
    <w:next w:val="Normal"/>
    <w:qFormat/>
    <w:rsid w:val="003825A4"/>
    <w:pPr>
      <w:spacing w:line="240" w:lineRule="auto"/>
      <w:outlineLvl w:val="4"/>
    </w:pPr>
  </w:style>
  <w:style w:type="paragraph" w:styleId="Heading6">
    <w:name w:val="heading 6"/>
    <w:basedOn w:val="Normal"/>
    <w:next w:val="Normal"/>
    <w:qFormat/>
    <w:rsid w:val="003825A4"/>
    <w:pPr>
      <w:spacing w:line="240" w:lineRule="auto"/>
      <w:outlineLvl w:val="5"/>
    </w:pPr>
  </w:style>
  <w:style w:type="paragraph" w:styleId="Heading7">
    <w:name w:val="heading 7"/>
    <w:basedOn w:val="Normal"/>
    <w:next w:val="Normal"/>
    <w:qFormat/>
    <w:rsid w:val="003825A4"/>
    <w:pPr>
      <w:spacing w:line="240" w:lineRule="auto"/>
      <w:outlineLvl w:val="6"/>
    </w:pPr>
  </w:style>
  <w:style w:type="paragraph" w:styleId="Heading8">
    <w:name w:val="heading 8"/>
    <w:basedOn w:val="Normal"/>
    <w:next w:val="Normal"/>
    <w:qFormat/>
    <w:rsid w:val="003825A4"/>
    <w:pPr>
      <w:spacing w:line="240" w:lineRule="auto"/>
      <w:outlineLvl w:val="7"/>
    </w:pPr>
  </w:style>
  <w:style w:type="paragraph" w:styleId="Heading9">
    <w:name w:val="heading 9"/>
    <w:basedOn w:val="Normal"/>
    <w:next w:val="Normal"/>
    <w:qFormat/>
    <w:rsid w:val="003825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3825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3825A4"/>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rsid w:val="003825A4"/>
    <w:pPr>
      <w:numPr>
        <w:numId w:val="13"/>
      </w:numPr>
      <w:tabs>
        <w:tab w:val="clear" w:pos="1494"/>
      </w:tabs>
    </w:pPr>
  </w:style>
  <w:style w:type="paragraph" w:customStyle="1" w:styleId="SingleTxtG">
    <w:name w:val="_ Single Txt_G"/>
    <w:basedOn w:val="Normal"/>
    <w:link w:val="SingleTxtGChar"/>
    <w:rsid w:val="003825A4"/>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3825A4"/>
    <w:rPr>
      <w:rFonts w:cs="Courier New"/>
    </w:rPr>
  </w:style>
  <w:style w:type="paragraph" w:styleId="BodyText">
    <w:name w:val="Body Text"/>
    <w:basedOn w:val="Normal"/>
    <w:next w:val="Normal"/>
    <w:link w:val="BodyTextChar"/>
    <w:rsid w:val="003825A4"/>
    <w:rPr>
      <w:lang w:val="x-none"/>
    </w:rPr>
  </w:style>
  <w:style w:type="paragraph" w:styleId="BodyTextIndent">
    <w:name w:val="Body Text Indent"/>
    <w:basedOn w:val="Normal"/>
    <w:semiHidden/>
    <w:rsid w:val="003825A4"/>
    <w:pPr>
      <w:spacing w:after="120"/>
      <w:ind w:left="283"/>
    </w:pPr>
  </w:style>
  <w:style w:type="paragraph" w:styleId="BlockText">
    <w:name w:val="Block Text"/>
    <w:basedOn w:val="Normal"/>
    <w:semiHidden/>
    <w:rsid w:val="003825A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rsid w:val="003825A4"/>
    <w:rPr>
      <w:sz w:val="6"/>
    </w:rPr>
  </w:style>
  <w:style w:type="paragraph" w:styleId="CommentText">
    <w:name w:val="annotation text"/>
    <w:basedOn w:val="Normal"/>
    <w:link w:val="CommentTextChar"/>
    <w:uiPriority w:val="99"/>
    <w:rsid w:val="003825A4"/>
  </w:style>
  <w:style w:type="character" w:styleId="LineNumber">
    <w:name w:val="line number"/>
    <w:semiHidden/>
    <w:rsid w:val="003825A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3825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825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825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825A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0">
    <w:name w:val="List 2"/>
    <w:basedOn w:val="Normal"/>
    <w:semiHidden/>
    <w:rsid w:val="008A6C4F"/>
    <w:pPr>
      <w:ind w:left="566" w:hanging="283"/>
    </w:pPr>
  </w:style>
  <w:style w:type="paragraph" w:styleId="List30">
    <w:name w:val="List 3"/>
    <w:basedOn w:val="Normal"/>
    <w:semiHidden/>
    <w:rsid w:val="008A6C4F"/>
    <w:pPr>
      <w:ind w:left="849" w:hanging="283"/>
    </w:pPr>
  </w:style>
  <w:style w:type="paragraph" w:styleId="List40">
    <w:name w:val="List 4"/>
    <w:basedOn w:val="Normal"/>
    <w:semiHidden/>
    <w:rsid w:val="008A6C4F"/>
    <w:pPr>
      <w:ind w:left="1132" w:hanging="283"/>
    </w:pPr>
  </w:style>
  <w:style w:type="paragraph" w:styleId="List50">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lang w:val="x-none"/>
    </w:rPr>
  </w:style>
  <w:style w:type="paragraph" w:styleId="Header">
    <w:name w:val="header"/>
    <w:aliases w:val="6_G"/>
    <w:basedOn w:val="Normal"/>
    <w:link w:val="HeaderChar"/>
    <w:rsid w:val="00050F6B"/>
    <w:pPr>
      <w:pBdr>
        <w:bottom w:val="single" w:sz="4" w:space="4" w:color="auto"/>
      </w:pBdr>
      <w:spacing w:line="240" w:lineRule="auto"/>
    </w:pPr>
    <w:rPr>
      <w:b/>
      <w:sz w:val="18"/>
      <w:lang w:val="x-none"/>
    </w:rPr>
  </w:style>
  <w:style w:type="character" w:customStyle="1" w:styleId="H1GChar">
    <w:name w:val="_ H_1_G Char"/>
    <w:link w:val="H1G"/>
    <w:rsid w:val="001F7435"/>
    <w:rPr>
      <w:b/>
      <w:sz w:val="24"/>
      <w:lang w:val="en-GB" w:eastAsia="en-US" w:bidi="ar-SA"/>
    </w:rPr>
  </w:style>
  <w:style w:type="character" w:customStyle="1" w:styleId="SingleTxtGChar">
    <w:name w:val="_ Single Txt_G Char"/>
    <w:link w:val="SingleTxtG"/>
    <w:rsid w:val="00F60C43"/>
    <w:rPr>
      <w:lang w:eastAsia="en-US"/>
    </w:rPr>
  </w:style>
  <w:style w:type="paragraph" w:styleId="BalloonText">
    <w:name w:val="Balloon Text"/>
    <w:basedOn w:val="Normal"/>
    <w:link w:val="BalloonTextChar"/>
    <w:rsid w:val="001A69F3"/>
    <w:pPr>
      <w:spacing w:line="240" w:lineRule="auto"/>
    </w:pPr>
    <w:rPr>
      <w:rFonts w:ascii="Tahoma" w:hAnsi="Tahoma"/>
      <w:sz w:val="16"/>
      <w:szCs w:val="16"/>
      <w:lang w:val="x-none"/>
    </w:rPr>
  </w:style>
  <w:style w:type="character" w:customStyle="1" w:styleId="BalloonTextChar">
    <w:name w:val="Balloon Text Char"/>
    <w:link w:val="BalloonText"/>
    <w:rsid w:val="001A69F3"/>
    <w:rPr>
      <w:rFonts w:ascii="Tahoma" w:hAnsi="Tahoma" w:cs="Tahoma"/>
      <w:sz w:val="16"/>
      <w:szCs w:val="16"/>
      <w:lang w:eastAsia="en-US"/>
    </w:rPr>
  </w:style>
  <w:style w:type="paragraph" w:customStyle="1" w:styleId="List1">
    <w:name w:val="List 1."/>
    <w:basedOn w:val="Normal"/>
    <w:qFormat/>
    <w:rsid w:val="00284EB0"/>
    <w:pPr>
      <w:numPr>
        <w:numId w:val="17"/>
      </w:numPr>
      <w:suppressAutoHyphens w:val="0"/>
      <w:spacing w:before="360" w:after="120" w:line="240" w:lineRule="auto"/>
      <w:jc w:val="both"/>
      <w:outlineLvl w:val="0"/>
    </w:pPr>
    <w:rPr>
      <w:rFonts w:ascii="Arial" w:eastAsia="Calibri" w:hAnsi="Arial"/>
      <w:b/>
      <w:caps/>
      <w:sz w:val="22"/>
    </w:rPr>
  </w:style>
  <w:style w:type="paragraph" w:customStyle="1" w:styleId="List2">
    <w:name w:val="List 2."/>
    <w:basedOn w:val="Normal"/>
    <w:qFormat/>
    <w:rsid w:val="00284EB0"/>
    <w:pPr>
      <w:numPr>
        <w:ilvl w:val="1"/>
        <w:numId w:val="17"/>
      </w:numPr>
      <w:suppressAutoHyphens w:val="0"/>
      <w:spacing w:before="240" w:after="120" w:line="240" w:lineRule="auto"/>
      <w:jc w:val="both"/>
      <w:outlineLvl w:val="1"/>
    </w:pPr>
    <w:rPr>
      <w:rFonts w:ascii="Arial" w:eastAsia="Calibri" w:hAnsi="Arial"/>
      <w:b/>
      <w:sz w:val="22"/>
    </w:rPr>
  </w:style>
  <w:style w:type="paragraph" w:customStyle="1" w:styleId="List3">
    <w:name w:val="List 3."/>
    <w:basedOn w:val="Normal"/>
    <w:qFormat/>
    <w:rsid w:val="00284EB0"/>
    <w:pPr>
      <w:numPr>
        <w:ilvl w:val="2"/>
        <w:numId w:val="17"/>
      </w:numPr>
      <w:suppressAutoHyphens w:val="0"/>
      <w:spacing w:after="120" w:line="240" w:lineRule="auto"/>
      <w:jc w:val="both"/>
    </w:pPr>
    <w:rPr>
      <w:rFonts w:ascii="Arial" w:eastAsia="Calibri" w:hAnsi="Arial"/>
      <w:sz w:val="22"/>
    </w:rPr>
  </w:style>
  <w:style w:type="paragraph" w:customStyle="1" w:styleId="List4">
    <w:name w:val="List 4."/>
    <w:basedOn w:val="Normal"/>
    <w:qFormat/>
    <w:rsid w:val="00284EB0"/>
    <w:pPr>
      <w:numPr>
        <w:ilvl w:val="3"/>
        <w:numId w:val="17"/>
      </w:numPr>
      <w:suppressAutoHyphens w:val="0"/>
      <w:spacing w:after="120" w:line="240" w:lineRule="auto"/>
      <w:jc w:val="both"/>
    </w:pPr>
    <w:rPr>
      <w:rFonts w:ascii="Arial" w:eastAsia="Calibri" w:hAnsi="Arial"/>
      <w:sz w:val="22"/>
    </w:rPr>
  </w:style>
  <w:style w:type="paragraph" w:customStyle="1" w:styleId="List5">
    <w:name w:val="List 5."/>
    <w:basedOn w:val="Normal"/>
    <w:qFormat/>
    <w:rsid w:val="00284EB0"/>
    <w:pPr>
      <w:numPr>
        <w:ilvl w:val="4"/>
        <w:numId w:val="17"/>
      </w:numPr>
      <w:suppressAutoHyphens w:val="0"/>
      <w:spacing w:after="120" w:line="240" w:lineRule="auto"/>
      <w:jc w:val="both"/>
    </w:pPr>
    <w:rPr>
      <w:rFonts w:ascii="Arial" w:eastAsia="Calibri" w:hAnsi="Arial"/>
      <w:sz w:val="22"/>
    </w:rPr>
  </w:style>
  <w:style w:type="paragraph" w:customStyle="1" w:styleId="List6">
    <w:name w:val="List 6."/>
    <w:basedOn w:val="Normal"/>
    <w:qFormat/>
    <w:rsid w:val="00284EB0"/>
    <w:pPr>
      <w:numPr>
        <w:ilvl w:val="5"/>
        <w:numId w:val="17"/>
      </w:numPr>
      <w:suppressAutoHyphens w:val="0"/>
      <w:spacing w:after="120" w:line="240" w:lineRule="auto"/>
      <w:jc w:val="both"/>
    </w:pPr>
    <w:rPr>
      <w:rFonts w:ascii="Arial" w:eastAsia="Calibri" w:hAnsi="Arial"/>
      <w:sz w:val="22"/>
    </w:rPr>
  </w:style>
  <w:style w:type="paragraph" w:customStyle="1" w:styleId="ColorfulList-Accent11">
    <w:name w:val="Colorful List - Accent 11"/>
    <w:basedOn w:val="Normal"/>
    <w:uiPriority w:val="34"/>
    <w:qFormat/>
    <w:rsid w:val="00D547F6"/>
    <w:pPr>
      <w:suppressAutoHyphens w:val="0"/>
      <w:spacing w:after="120" w:line="240" w:lineRule="auto"/>
      <w:ind w:left="720"/>
      <w:contextualSpacing/>
      <w:jc w:val="both"/>
    </w:pPr>
    <w:rPr>
      <w:rFonts w:ascii="Arial" w:eastAsia="Calibri" w:hAnsi="Arial"/>
      <w:sz w:val="22"/>
    </w:rPr>
  </w:style>
  <w:style w:type="character" w:customStyle="1" w:styleId="FootnoteTextChar">
    <w:name w:val="Footnote Text Char"/>
    <w:aliases w:val="5_G Char"/>
    <w:link w:val="FootnoteText"/>
    <w:rsid w:val="00FC6F20"/>
    <w:rPr>
      <w:sz w:val="18"/>
      <w:lang w:eastAsia="en-US"/>
    </w:rPr>
  </w:style>
  <w:style w:type="character" w:customStyle="1" w:styleId="CommentTextChar">
    <w:name w:val="Comment Text Char"/>
    <w:link w:val="CommentText"/>
    <w:uiPriority w:val="99"/>
    <w:rsid w:val="0011073E"/>
    <w:rPr>
      <w:lang w:val="en-GB" w:eastAsia="en-US"/>
    </w:rPr>
  </w:style>
  <w:style w:type="paragraph" w:styleId="CommentSubject">
    <w:name w:val="annotation subject"/>
    <w:basedOn w:val="CommentText"/>
    <w:next w:val="CommentText"/>
    <w:link w:val="CommentSubjectChar"/>
    <w:rsid w:val="007E6D37"/>
    <w:rPr>
      <w:b/>
      <w:bCs/>
    </w:rPr>
  </w:style>
  <w:style w:type="character" w:customStyle="1" w:styleId="CommentSubjectChar">
    <w:name w:val="Comment Subject Char"/>
    <w:link w:val="CommentSubject"/>
    <w:rsid w:val="007E6D37"/>
    <w:rPr>
      <w:b/>
      <w:bCs/>
      <w:lang w:val="en-GB" w:eastAsia="en-US"/>
    </w:rPr>
  </w:style>
  <w:style w:type="character" w:customStyle="1" w:styleId="HChGChar">
    <w:name w:val="_ H _Ch_G Char"/>
    <w:link w:val="HChG"/>
    <w:rsid w:val="00FB091C"/>
    <w:rPr>
      <w:b/>
      <w:sz w:val="28"/>
      <w:lang w:eastAsia="en-US"/>
    </w:rPr>
  </w:style>
  <w:style w:type="paragraph" w:customStyle="1" w:styleId="a2">
    <w:name w:val="a2"/>
    <w:basedOn w:val="Heading2"/>
    <w:next w:val="Normal"/>
    <w:uiPriority w:val="99"/>
    <w:rsid w:val="00FB091C"/>
    <w:pPr>
      <w:keepNext/>
      <w:numPr>
        <w:ilvl w:val="1"/>
        <w:numId w:val="18"/>
      </w:numPr>
      <w:tabs>
        <w:tab w:val="left" w:pos="720"/>
      </w:tabs>
      <w:spacing w:before="270" w:after="240" w:line="270" w:lineRule="exact"/>
    </w:pPr>
    <w:rPr>
      <w:rFonts w:ascii="Arial" w:eastAsia="MS Mincho" w:hAnsi="Arial"/>
      <w:b/>
      <w:sz w:val="24"/>
      <w:lang w:eastAsia="fr-FR"/>
    </w:rPr>
  </w:style>
  <w:style w:type="paragraph" w:customStyle="1" w:styleId="a3">
    <w:name w:val="a3"/>
    <w:basedOn w:val="Heading3"/>
    <w:next w:val="Normal"/>
    <w:uiPriority w:val="99"/>
    <w:rsid w:val="00FB091C"/>
    <w:pPr>
      <w:keepNext/>
      <w:numPr>
        <w:ilvl w:val="2"/>
        <w:numId w:val="18"/>
      </w:numPr>
      <w:tabs>
        <w:tab w:val="left" w:pos="640"/>
        <w:tab w:val="left" w:pos="880"/>
      </w:tabs>
      <w:spacing w:before="60" w:after="240" w:line="250" w:lineRule="exact"/>
    </w:pPr>
    <w:rPr>
      <w:rFonts w:ascii="Arial" w:eastAsia="MS Mincho" w:hAnsi="Arial"/>
      <w:b/>
      <w:sz w:val="22"/>
      <w:lang w:eastAsia="fr-FR"/>
    </w:rPr>
  </w:style>
  <w:style w:type="paragraph" w:customStyle="1" w:styleId="a4">
    <w:name w:val="a4"/>
    <w:basedOn w:val="Heading4"/>
    <w:next w:val="Normal"/>
    <w:rsid w:val="00FB091C"/>
    <w:pPr>
      <w:keepNext/>
      <w:numPr>
        <w:ilvl w:val="3"/>
        <w:numId w:val="18"/>
      </w:numPr>
      <w:tabs>
        <w:tab w:val="left" w:pos="880"/>
      </w:tabs>
      <w:spacing w:before="60" w:after="240" w:line="230" w:lineRule="exact"/>
    </w:pPr>
    <w:rPr>
      <w:rFonts w:ascii="Arial" w:eastAsia="MS Mincho" w:hAnsi="Arial"/>
      <w:b/>
      <w:lang w:eastAsia="fr-FR"/>
    </w:rPr>
  </w:style>
  <w:style w:type="paragraph" w:customStyle="1" w:styleId="a5">
    <w:name w:val="a5"/>
    <w:basedOn w:val="Heading5"/>
    <w:next w:val="Normal"/>
    <w:rsid w:val="00FB091C"/>
    <w:pPr>
      <w:keepNext/>
      <w:numPr>
        <w:ilvl w:val="4"/>
        <w:numId w:val="18"/>
      </w:numPr>
      <w:tabs>
        <w:tab w:val="left" w:pos="1140"/>
        <w:tab w:val="left" w:pos="1360"/>
      </w:tabs>
      <w:spacing w:before="60" w:after="240" w:line="230" w:lineRule="exact"/>
    </w:pPr>
    <w:rPr>
      <w:rFonts w:ascii="Arial" w:eastAsia="MS Mincho" w:hAnsi="Arial"/>
      <w:b/>
      <w:lang w:eastAsia="fr-FR"/>
    </w:rPr>
  </w:style>
  <w:style w:type="paragraph" w:customStyle="1" w:styleId="a6">
    <w:name w:val="a6"/>
    <w:basedOn w:val="Heading6"/>
    <w:next w:val="Normal"/>
    <w:rsid w:val="00FB091C"/>
    <w:pPr>
      <w:keepNext/>
      <w:numPr>
        <w:ilvl w:val="5"/>
        <w:numId w:val="18"/>
      </w:numPr>
      <w:tabs>
        <w:tab w:val="left" w:pos="1140"/>
        <w:tab w:val="left" w:pos="1360"/>
      </w:tabs>
      <w:spacing w:before="60" w:after="240" w:line="230" w:lineRule="exact"/>
    </w:pPr>
    <w:rPr>
      <w:rFonts w:ascii="Arial" w:eastAsia="MS Mincho" w:hAnsi="Arial"/>
      <w:b/>
      <w:lang w:eastAsia="fr-FR"/>
    </w:rPr>
  </w:style>
  <w:style w:type="paragraph" w:customStyle="1" w:styleId="ANNEX">
    <w:name w:val="ANNEX"/>
    <w:basedOn w:val="Normal"/>
    <w:next w:val="Normal"/>
    <w:uiPriority w:val="99"/>
    <w:rsid w:val="00FB091C"/>
    <w:pPr>
      <w:keepNext/>
      <w:pageBreakBefore/>
      <w:numPr>
        <w:numId w:val="18"/>
      </w:numPr>
      <w:suppressAutoHyphens w:val="0"/>
      <w:spacing w:after="760" w:line="310" w:lineRule="exact"/>
      <w:jc w:val="center"/>
      <w:outlineLvl w:val="0"/>
    </w:pPr>
    <w:rPr>
      <w:rFonts w:ascii="Arial" w:eastAsia="MS Mincho" w:hAnsi="Arial"/>
      <w:b/>
      <w:sz w:val="28"/>
      <w:lang w:eastAsia="fr-FR"/>
    </w:rPr>
  </w:style>
  <w:style w:type="paragraph" w:customStyle="1" w:styleId="Figuretitle">
    <w:name w:val="Figure title"/>
    <w:basedOn w:val="Normal"/>
    <w:next w:val="Normal"/>
    <w:uiPriority w:val="99"/>
    <w:rsid w:val="00FB091C"/>
    <w:pPr>
      <w:spacing w:before="220" w:after="220" w:line="230" w:lineRule="atLeast"/>
      <w:jc w:val="center"/>
    </w:pPr>
    <w:rPr>
      <w:rFonts w:ascii="Arial" w:eastAsia="MS Mincho" w:hAnsi="Arial"/>
      <w:b/>
      <w:lang w:eastAsia="fr-FR"/>
    </w:rPr>
  </w:style>
  <w:style w:type="paragraph" w:customStyle="1" w:styleId="Tabletitle">
    <w:name w:val="Table title"/>
    <w:basedOn w:val="Normal"/>
    <w:next w:val="Normal"/>
    <w:rsid w:val="00FB091C"/>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FB091C"/>
    <w:rPr>
      <w:b/>
      <w:sz w:val="18"/>
      <w:lang w:eastAsia="en-US"/>
    </w:rPr>
  </w:style>
  <w:style w:type="character" w:customStyle="1" w:styleId="BodyTextChar">
    <w:name w:val="Body Text Char"/>
    <w:link w:val="BodyText"/>
    <w:rsid w:val="00FB091C"/>
    <w:rPr>
      <w:lang w:eastAsia="en-US"/>
    </w:rPr>
  </w:style>
  <w:style w:type="paragraph" w:customStyle="1" w:styleId="Tabletext10">
    <w:name w:val="Table text (10)"/>
    <w:basedOn w:val="Normal"/>
    <w:uiPriority w:val="99"/>
    <w:rsid w:val="00FB091C"/>
    <w:pPr>
      <w:suppressAutoHyphens w:val="0"/>
      <w:spacing w:before="60" w:after="60" w:line="230" w:lineRule="atLeast"/>
      <w:jc w:val="both"/>
    </w:pPr>
    <w:rPr>
      <w:rFonts w:ascii="Arial" w:hAnsi="Arial"/>
      <w:lang w:eastAsia="en-GB"/>
    </w:rPr>
  </w:style>
  <w:style w:type="character" w:customStyle="1" w:styleId="FooterChar">
    <w:name w:val="Footer Char"/>
    <w:aliases w:val="3_G Char"/>
    <w:link w:val="Footer"/>
    <w:uiPriority w:val="99"/>
    <w:rsid w:val="00FB091C"/>
    <w:rPr>
      <w:sz w:val="16"/>
      <w:lang w:eastAsia="en-US"/>
    </w:rPr>
  </w:style>
  <w:style w:type="paragraph" w:customStyle="1" w:styleId="Note">
    <w:name w:val="Note"/>
    <w:basedOn w:val="Normal"/>
    <w:next w:val="Normal"/>
    <w:uiPriority w:val="99"/>
    <w:rsid w:val="00FB091C"/>
    <w:pPr>
      <w:tabs>
        <w:tab w:val="left" w:pos="960"/>
      </w:tabs>
      <w:suppressAutoHyphens w:val="0"/>
      <w:spacing w:after="240" w:line="210" w:lineRule="atLeast"/>
      <w:jc w:val="both"/>
    </w:pPr>
    <w:rPr>
      <w:rFonts w:ascii="Arial" w:hAnsi="Arial"/>
      <w:sz w:val="18"/>
      <w:lang w:eastAsia="en-GB"/>
    </w:rPr>
  </w:style>
  <w:style w:type="paragraph" w:customStyle="1" w:styleId="singletxtg0">
    <w:name w:val="singletxtg"/>
    <w:basedOn w:val="Normal"/>
    <w:rsid w:val="00795A95"/>
    <w:pPr>
      <w:suppressAutoHyphens w:val="0"/>
      <w:spacing w:line="240" w:lineRule="auto"/>
    </w:pPr>
    <w:rPr>
      <w:rFonts w:eastAsia="Calibri"/>
      <w:sz w:val="24"/>
      <w:szCs w:val="24"/>
      <w:lang w:val="en-US"/>
    </w:rPr>
  </w:style>
  <w:style w:type="paragraph" w:customStyle="1" w:styleId="bullet1g0">
    <w:name w:val="bullet1g"/>
    <w:basedOn w:val="Normal"/>
    <w:rsid w:val="00795A95"/>
    <w:pPr>
      <w:suppressAutoHyphens w:val="0"/>
      <w:spacing w:line="240" w:lineRule="auto"/>
    </w:pPr>
    <w:rPr>
      <w:rFonts w:eastAsia="Calibri"/>
      <w:sz w:val="24"/>
      <w:szCs w:val="24"/>
      <w:lang w:val="en-US"/>
    </w:rPr>
  </w:style>
  <w:style w:type="character" w:customStyle="1" w:styleId="En-tteCar">
    <w:name w:val="En-tête Car"/>
    <w:aliases w:val="6_G Car"/>
    <w:locked/>
    <w:rsid w:val="00B40ADD"/>
    <w:rPr>
      <w:rFonts w:ascii="Arial" w:hAnsi="Arial" w:cs="Arial"/>
      <w:b/>
      <w:bCs/>
      <w:lang w:eastAsia="fr-FR"/>
    </w:rPr>
  </w:style>
  <w:style w:type="paragraph" w:customStyle="1" w:styleId="Tabletext9">
    <w:name w:val="Table text (9)"/>
    <w:basedOn w:val="Normal"/>
    <w:rsid w:val="00873E14"/>
    <w:pPr>
      <w:suppressAutoHyphens w:val="0"/>
      <w:spacing w:before="60" w:after="60" w:line="210" w:lineRule="atLeast"/>
      <w:jc w:val="both"/>
    </w:pPr>
    <w:rPr>
      <w:rFonts w:ascii="Arial" w:eastAsia="MS Mincho" w:hAnsi="Arial"/>
      <w:sz w:val="18"/>
      <w:lang w:eastAsia="fr-FR"/>
    </w:rPr>
  </w:style>
  <w:style w:type="paragraph" w:customStyle="1" w:styleId="zzLn5">
    <w:name w:val="zzLn5"/>
    <w:basedOn w:val="Normal"/>
    <w:next w:val="Normal"/>
    <w:rsid w:val="00873E14"/>
    <w:pPr>
      <w:suppressAutoHyphens w:val="0"/>
      <w:spacing w:after="240" w:line="230" w:lineRule="atLeast"/>
    </w:pPr>
    <w:rPr>
      <w:rFonts w:ascii="Arial" w:eastAsia="MS Mincho" w:hAnsi="Arial"/>
      <w:lang w:eastAsia="fr-FR"/>
    </w:rPr>
  </w:style>
  <w:style w:type="paragraph" w:customStyle="1" w:styleId="zzLn6">
    <w:name w:val="zzLn6"/>
    <w:basedOn w:val="Normal"/>
    <w:next w:val="Normal"/>
    <w:rsid w:val="00873E14"/>
    <w:pPr>
      <w:suppressAutoHyphens w:val="0"/>
      <w:spacing w:after="240" w:line="230" w:lineRule="atLeast"/>
    </w:pPr>
    <w:rPr>
      <w:rFonts w:ascii="Arial" w:eastAsia="MS Mincho" w:hAnsi="Arial"/>
      <w:lang w:eastAsia="fr-FR"/>
    </w:rPr>
  </w:style>
  <w:style w:type="paragraph" w:styleId="ListParagraph">
    <w:name w:val="List Paragraph"/>
    <w:basedOn w:val="Normal"/>
    <w:uiPriority w:val="34"/>
    <w:qFormat/>
    <w:rsid w:val="00E41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77781">
      <w:bodyDiv w:val="1"/>
      <w:marLeft w:val="0"/>
      <w:marRight w:val="0"/>
      <w:marTop w:val="0"/>
      <w:marBottom w:val="0"/>
      <w:divBdr>
        <w:top w:val="none" w:sz="0" w:space="0" w:color="auto"/>
        <w:left w:val="none" w:sz="0" w:space="0" w:color="auto"/>
        <w:bottom w:val="none" w:sz="0" w:space="0" w:color="auto"/>
        <w:right w:val="none" w:sz="0" w:space="0" w:color="auto"/>
      </w:divBdr>
    </w:div>
    <w:div w:id="529537818">
      <w:bodyDiv w:val="1"/>
      <w:marLeft w:val="0"/>
      <w:marRight w:val="0"/>
      <w:marTop w:val="0"/>
      <w:marBottom w:val="0"/>
      <w:divBdr>
        <w:top w:val="none" w:sz="0" w:space="0" w:color="auto"/>
        <w:left w:val="none" w:sz="0" w:space="0" w:color="auto"/>
        <w:bottom w:val="none" w:sz="0" w:space="0" w:color="auto"/>
        <w:right w:val="none" w:sz="0" w:space="0" w:color="auto"/>
      </w:divBdr>
    </w:div>
    <w:div w:id="761418124">
      <w:bodyDiv w:val="1"/>
      <w:marLeft w:val="0"/>
      <w:marRight w:val="0"/>
      <w:marTop w:val="0"/>
      <w:marBottom w:val="0"/>
      <w:divBdr>
        <w:top w:val="none" w:sz="0" w:space="0" w:color="auto"/>
        <w:left w:val="none" w:sz="0" w:space="0" w:color="auto"/>
        <w:bottom w:val="none" w:sz="0" w:space="0" w:color="auto"/>
        <w:right w:val="none" w:sz="0" w:space="0" w:color="auto"/>
      </w:divBdr>
    </w:div>
    <w:div w:id="1026907469">
      <w:bodyDiv w:val="1"/>
      <w:marLeft w:val="0"/>
      <w:marRight w:val="0"/>
      <w:marTop w:val="0"/>
      <w:marBottom w:val="0"/>
      <w:divBdr>
        <w:top w:val="none" w:sz="0" w:space="0" w:color="auto"/>
        <w:left w:val="none" w:sz="0" w:space="0" w:color="auto"/>
        <w:bottom w:val="none" w:sz="0" w:space="0" w:color="auto"/>
        <w:right w:val="none" w:sz="0" w:space="0" w:color="auto"/>
      </w:divBdr>
    </w:div>
    <w:div w:id="1797677306">
      <w:bodyDiv w:val="1"/>
      <w:marLeft w:val="0"/>
      <w:marRight w:val="0"/>
      <w:marTop w:val="0"/>
      <w:marBottom w:val="0"/>
      <w:divBdr>
        <w:top w:val="none" w:sz="0" w:space="0" w:color="auto"/>
        <w:left w:val="none" w:sz="0" w:space="0" w:color="auto"/>
        <w:bottom w:val="none" w:sz="0" w:space="0" w:color="auto"/>
        <w:right w:val="none" w:sz="0" w:space="0" w:color="auto"/>
      </w:divBdr>
    </w:div>
    <w:div w:id="1957835828">
      <w:bodyDiv w:val="1"/>
      <w:marLeft w:val="0"/>
      <w:marRight w:val="0"/>
      <w:marTop w:val="0"/>
      <w:marBottom w:val="0"/>
      <w:divBdr>
        <w:top w:val="none" w:sz="0" w:space="0" w:color="auto"/>
        <w:left w:val="none" w:sz="0" w:space="0" w:color="auto"/>
        <w:bottom w:val="none" w:sz="0" w:space="0" w:color="auto"/>
        <w:right w:val="none" w:sz="0" w:space="0" w:color="auto"/>
      </w:divBdr>
    </w:div>
    <w:div w:id="211107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C0EE1-0664-47DE-BA17-2F55DDA07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4753</Words>
  <Characters>26146</Characters>
  <Application>Microsoft Office Word</Application>
  <DocSecurity>0</DocSecurity>
  <Lines>580</Lines>
  <Paragraphs>226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30745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7</cp:revision>
  <cp:lastPrinted>2015-07-01T14:38:00Z</cp:lastPrinted>
  <dcterms:created xsi:type="dcterms:W3CDTF">2015-07-01T14:25:00Z</dcterms:created>
  <dcterms:modified xsi:type="dcterms:W3CDTF">2015-07-01T14:38:00Z</dcterms:modified>
</cp:coreProperties>
</file>