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B54FD">
        <w:trPr>
          <w:cantSplit/>
          <w:trHeight w:hRule="exact" w:val="851"/>
        </w:trPr>
        <w:tc>
          <w:tcPr>
            <w:tcW w:w="1276" w:type="dxa"/>
            <w:tcBorders>
              <w:bottom w:val="single" w:sz="4" w:space="0" w:color="auto"/>
            </w:tcBorders>
            <w:shd w:val="clear" w:color="auto" w:fill="auto"/>
            <w:vAlign w:val="bottom"/>
          </w:tcPr>
          <w:p w:rsidR="00EB54FD" w:rsidRDefault="00EB54FD">
            <w:pPr>
              <w:spacing w:after="80"/>
            </w:pPr>
          </w:p>
        </w:tc>
        <w:tc>
          <w:tcPr>
            <w:tcW w:w="2268" w:type="dxa"/>
            <w:tcBorders>
              <w:bottom w:val="single" w:sz="4" w:space="0" w:color="auto"/>
            </w:tcBorders>
            <w:shd w:val="clear" w:color="auto" w:fill="auto"/>
            <w:vAlign w:val="bottom"/>
          </w:tcPr>
          <w:p w:rsidR="00EB54FD" w:rsidRDefault="00EB54FD">
            <w:pPr>
              <w:spacing w:after="80" w:line="300" w:lineRule="exact"/>
              <w:rPr>
                <w:b/>
                <w:sz w:val="24"/>
                <w:szCs w:val="24"/>
              </w:rPr>
            </w:pPr>
            <w:r>
              <w:rPr>
                <w:sz w:val="28"/>
                <w:szCs w:val="28"/>
              </w:rPr>
              <w:t>United Nations</w:t>
            </w:r>
          </w:p>
        </w:tc>
        <w:tc>
          <w:tcPr>
            <w:tcW w:w="6095" w:type="dxa"/>
            <w:gridSpan w:val="2"/>
            <w:tcBorders>
              <w:bottom w:val="single" w:sz="4" w:space="0" w:color="auto"/>
            </w:tcBorders>
            <w:shd w:val="clear" w:color="auto" w:fill="auto"/>
            <w:vAlign w:val="bottom"/>
          </w:tcPr>
          <w:p w:rsidR="00EB54FD" w:rsidRDefault="00EB54FD" w:rsidP="00770E14">
            <w:pPr>
              <w:suppressAutoHyphens w:val="0"/>
              <w:spacing w:after="20"/>
              <w:jc w:val="right"/>
            </w:pPr>
            <w:r>
              <w:rPr>
                <w:sz w:val="40"/>
              </w:rPr>
              <w:t>ECE</w:t>
            </w:r>
            <w:r>
              <w:t>/TRANS/WP.15/AC.1/2015/</w:t>
            </w:r>
            <w:r w:rsidR="00770E14">
              <w:t>44</w:t>
            </w:r>
          </w:p>
        </w:tc>
      </w:tr>
      <w:tr w:rsidR="00EB54FD">
        <w:trPr>
          <w:cantSplit/>
          <w:trHeight w:hRule="exact" w:val="2835"/>
        </w:trPr>
        <w:tc>
          <w:tcPr>
            <w:tcW w:w="1276" w:type="dxa"/>
            <w:tcBorders>
              <w:top w:val="single" w:sz="4" w:space="0" w:color="auto"/>
              <w:bottom w:val="single" w:sz="12" w:space="0" w:color="auto"/>
            </w:tcBorders>
            <w:shd w:val="clear" w:color="auto" w:fill="auto"/>
          </w:tcPr>
          <w:p w:rsidR="00EB54FD" w:rsidRDefault="006D6EAF">
            <w:pPr>
              <w:spacing w:before="120"/>
            </w:pPr>
            <w:r>
              <w:rPr>
                <w:noProof/>
                <w:lang w:eastAsia="en-GB"/>
              </w:rPr>
              <w:drawing>
                <wp:inline distT="0" distB="0" distL="0" distR="0">
                  <wp:extent cx="716280" cy="586740"/>
                  <wp:effectExtent l="0" t="0" r="7620" b="381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B54FD" w:rsidRPr="00961865" w:rsidRDefault="00EB54FD">
            <w:pPr>
              <w:spacing w:before="120" w:line="420" w:lineRule="exact"/>
              <w:rPr>
                <w:sz w:val="40"/>
                <w:szCs w:val="40"/>
              </w:rPr>
            </w:pPr>
            <w:r w:rsidRPr="00961865">
              <w:rPr>
                <w:b/>
                <w:sz w:val="40"/>
                <w:szCs w:val="40"/>
              </w:rPr>
              <w:t>Economic and Social Council</w:t>
            </w:r>
          </w:p>
        </w:tc>
        <w:tc>
          <w:tcPr>
            <w:tcW w:w="2835" w:type="dxa"/>
            <w:tcBorders>
              <w:top w:val="single" w:sz="4" w:space="0" w:color="auto"/>
              <w:bottom w:val="single" w:sz="12" w:space="0" w:color="auto"/>
            </w:tcBorders>
            <w:shd w:val="clear" w:color="auto" w:fill="auto"/>
          </w:tcPr>
          <w:p w:rsidR="00EB54FD" w:rsidRPr="00961865" w:rsidRDefault="00EB54FD">
            <w:pPr>
              <w:suppressAutoHyphens w:val="0"/>
              <w:spacing w:before="240" w:line="240" w:lineRule="exact"/>
            </w:pPr>
            <w:r w:rsidRPr="00961865">
              <w:t>Distr.: General</w:t>
            </w:r>
          </w:p>
          <w:p w:rsidR="00EB54FD" w:rsidRPr="00961865" w:rsidRDefault="00FC5F27">
            <w:pPr>
              <w:suppressAutoHyphens w:val="0"/>
            </w:pPr>
            <w:r>
              <w:t xml:space="preserve">29 </w:t>
            </w:r>
            <w:r w:rsidR="00961865" w:rsidRPr="00961865">
              <w:t xml:space="preserve">June </w:t>
            </w:r>
            <w:r w:rsidR="00EB54FD" w:rsidRPr="00961865">
              <w:t>2015</w:t>
            </w:r>
          </w:p>
          <w:p w:rsidR="000A3930" w:rsidRPr="00961865" w:rsidRDefault="000A3930">
            <w:pPr>
              <w:suppressAutoHyphens w:val="0"/>
            </w:pPr>
          </w:p>
          <w:p w:rsidR="00EB54FD" w:rsidRPr="00961865" w:rsidRDefault="00EB54FD">
            <w:pPr>
              <w:suppressAutoHyphens w:val="0"/>
            </w:pPr>
            <w:r w:rsidRPr="00961865">
              <w:t>Original:  English</w:t>
            </w:r>
          </w:p>
        </w:tc>
      </w:tr>
    </w:tbl>
    <w:p w:rsidR="00EB54FD" w:rsidRDefault="00EB54F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EB54FD" w:rsidRDefault="00EB54FD">
      <w:pPr>
        <w:spacing w:before="120"/>
        <w:rPr>
          <w:sz w:val="28"/>
          <w:szCs w:val="28"/>
        </w:rPr>
      </w:pPr>
      <w:r>
        <w:rPr>
          <w:sz w:val="28"/>
          <w:szCs w:val="28"/>
        </w:rPr>
        <w:t>Inland Transport Committee</w:t>
      </w:r>
    </w:p>
    <w:p w:rsidR="00EB54FD" w:rsidRDefault="00EB54FD">
      <w:pPr>
        <w:spacing w:before="120"/>
        <w:rPr>
          <w:b/>
          <w:sz w:val="24"/>
          <w:szCs w:val="24"/>
        </w:rPr>
      </w:pPr>
      <w:r>
        <w:rPr>
          <w:b/>
          <w:sz w:val="24"/>
          <w:szCs w:val="24"/>
        </w:rPr>
        <w:t>Working Party on the Transport of Dangerous Goods</w:t>
      </w:r>
    </w:p>
    <w:p w:rsidR="00EB54FD" w:rsidRDefault="00EB54FD">
      <w:pPr>
        <w:spacing w:before="120"/>
        <w:rPr>
          <w:b/>
        </w:rPr>
      </w:pPr>
      <w:r>
        <w:rPr>
          <w:b/>
        </w:rPr>
        <w:t>Joint Meeting of the RID Committee of Experts and the</w:t>
      </w:r>
      <w:r>
        <w:rPr>
          <w:b/>
        </w:rPr>
        <w:br/>
        <w:t>Working Party on the Transport of Dangerous Goods</w:t>
      </w:r>
    </w:p>
    <w:p w:rsidR="00961865" w:rsidRDefault="00961865" w:rsidP="00961865">
      <w:r>
        <w:t>Geneva, 15-25 September 2015</w:t>
      </w:r>
    </w:p>
    <w:p w:rsidR="00EB54FD" w:rsidRDefault="00961865">
      <w:r>
        <w:t>Item 3 (b) of the provisional agenda</w:t>
      </w:r>
      <w:r w:rsidR="000A3930">
        <w:t xml:space="preserve"> </w:t>
      </w:r>
    </w:p>
    <w:p w:rsidR="00EB54FD" w:rsidRDefault="00EB54FD">
      <w:pPr>
        <w:rPr>
          <w:b/>
        </w:rPr>
      </w:pPr>
      <w:r>
        <w:rPr>
          <w:b/>
        </w:rPr>
        <w:t>Proposals</w:t>
      </w:r>
      <w:r w:rsidR="000A3930">
        <w:rPr>
          <w:b/>
        </w:rPr>
        <w:t xml:space="preserve"> for amendments to RID/ADR/ADN</w:t>
      </w:r>
      <w:r w:rsidR="002960B5">
        <w:rPr>
          <w:b/>
        </w:rPr>
        <w:t xml:space="preserve">: </w:t>
      </w:r>
      <w:r w:rsidR="00961865">
        <w:rPr>
          <w:b/>
        </w:rPr>
        <w:br/>
      </w:r>
      <w:r w:rsidR="00154BAE">
        <w:rPr>
          <w:b/>
        </w:rPr>
        <w:t>n</w:t>
      </w:r>
      <w:r>
        <w:rPr>
          <w:b/>
        </w:rPr>
        <w:t>ew proposals</w:t>
      </w:r>
    </w:p>
    <w:p w:rsidR="00EB54FD" w:rsidRDefault="00EB54FD" w:rsidP="00FF0CA0">
      <w:pPr>
        <w:pStyle w:val="HChG"/>
        <w:tabs>
          <w:tab w:val="clear" w:pos="851"/>
          <w:tab w:val="right" w:pos="709"/>
        </w:tabs>
      </w:pPr>
      <w:r>
        <w:tab/>
      </w:r>
      <w:r>
        <w:tab/>
        <w:t xml:space="preserve">Amendment of </w:t>
      </w:r>
      <w:r w:rsidR="007D2FA0">
        <w:t xml:space="preserve">special provision </w:t>
      </w:r>
      <w:r w:rsidR="004B24A1">
        <w:t xml:space="preserve">655 due to a </w:t>
      </w:r>
      <w:r>
        <w:t xml:space="preserve">change </w:t>
      </w:r>
      <w:r w:rsidR="004B24A1">
        <w:t xml:space="preserve">in </w:t>
      </w:r>
      <w:r>
        <w:t xml:space="preserve">European </w:t>
      </w:r>
      <w:r w:rsidR="00C936E4">
        <w:t>l</w:t>
      </w:r>
      <w:r>
        <w:t xml:space="preserve">egislation </w:t>
      </w:r>
    </w:p>
    <w:p w:rsidR="00EB54FD" w:rsidRDefault="00EB54FD" w:rsidP="00FF0CA0">
      <w:pPr>
        <w:pStyle w:val="H1G"/>
        <w:tabs>
          <w:tab w:val="clear" w:pos="851"/>
          <w:tab w:val="right" w:pos="709"/>
        </w:tabs>
      </w:pPr>
      <w:r>
        <w:tab/>
      </w:r>
      <w:r w:rsidR="00FF0CA0">
        <w:tab/>
      </w:r>
      <w:r>
        <w:t>Transmitted by the Government of Switzerland</w:t>
      </w:r>
      <w:r w:rsidR="00770E14" w:rsidRPr="008021DB">
        <w:rPr>
          <w:rStyle w:val="FootnoteReference"/>
          <w:b w:val="0"/>
        </w:rPr>
        <w:footnoteReference w:id="2"/>
      </w:r>
      <w:r w:rsidR="00770E14" w:rsidRPr="00381475">
        <w:rPr>
          <w:b w:val="0"/>
          <w:sz w:val="18"/>
          <w:szCs w:val="18"/>
          <w:vertAlign w:val="superscript"/>
        </w:rPr>
        <w:t>,</w:t>
      </w:r>
      <w:r w:rsidR="00770E14">
        <w:rPr>
          <w:b w:val="0"/>
          <w:sz w:val="18"/>
          <w:szCs w:val="18"/>
        </w:rPr>
        <w:t xml:space="preserve"> </w:t>
      </w:r>
      <w:r w:rsidR="00770E14" w:rsidRPr="008021DB">
        <w:rPr>
          <w:rStyle w:val="FootnoteReference"/>
          <w:b w:val="0"/>
        </w:rPr>
        <w:footnoteReference w:id="3"/>
      </w:r>
    </w:p>
    <w:p w:rsidR="00DD2F06" w:rsidRDefault="00FC5F27" w:rsidP="00FC5F27">
      <w:pPr>
        <w:pStyle w:val="HChG"/>
      </w:pPr>
      <w:r>
        <w:tab/>
      </w:r>
      <w:r w:rsidR="000659A9">
        <w:t>I.</w:t>
      </w:r>
      <w:r w:rsidR="000659A9">
        <w:tab/>
      </w:r>
      <w:r w:rsidR="00DD2F06">
        <w:t>Introduction</w:t>
      </w:r>
    </w:p>
    <w:p w:rsidR="002449B9" w:rsidRPr="00884E5E" w:rsidRDefault="00BA1080" w:rsidP="00884E5E">
      <w:pPr>
        <w:pStyle w:val="SingleTxtG"/>
        <w:rPr>
          <w:rFonts w:eastAsia="SimSun"/>
        </w:rPr>
      </w:pPr>
      <w:r w:rsidRPr="00884E5E">
        <w:rPr>
          <w:rFonts w:eastAsia="SimSun"/>
        </w:rPr>
        <w:t>1.</w:t>
      </w:r>
      <w:r w:rsidRPr="00884E5E">
        <w:rPr>
          <w:rFonts w:eastAsia="SimSun"/>
        </w:rPr>
        <w:tab/>
      </w:r>
      <w:r w:rsidR="00EB54FD" w:rsidRPr="00884E5E">
        <w:rPr>
          <w:rFonts w:eastAsia="SimSun"/>
        </w:rPr>
        <w:t>On 15 May 2014</w:t>
      </w:r>
      <w:r w:rsidR="00C7666F" w:rsidRPr="00884E5E">
        <w:rPr>
          <w:rFonts w:eastAsia="SimSun"/>
        </w:rPr>
        <w:t>,</w:t>
      </w:r>
      <w:r w:rsidR="00FC5F27">
        <w:rPr>
          <w:rFonts w:eastAsia="SimSun"/>
        </w:rPr>
        <w:t xml:space="preserve"> </w:t>
      </w:r>
      <w:bookmarkStart w:id="0" w:name="_GoBack"/>
      <w:bookmarkEnd w:id="0"/>
      <w:r w:rsidR="00EB54FD" w:rsidRPr="00884E5E">
        <w:rPr>
          <w:rFonts w:eastAsia="SimSun"/>
        </w:rPr>
        <w:t>Directive 2014/68/EU of the European Parliament and of the Council on the harmonisation of the laws of the Member States relating to the making available on the market of pressure equipment was issued</w:t>
      </w:r>
      <w:r w:rsidR="0093632D" w:rsidRPr="00884E5E">
        <w:rPr>
          <w:rFonts w:eastAsia="SimSun"/>
        </w:rPr>
        <w:t xml:space="preserve"> as a recast of </w:t>
      </w:r>
      <w:r w:rsidR="00EB54FD" w:rsidRPr="00884E5E">
        <w:rPr>
          <w:rFonts w:eastAsia="SimSun"/>
        </w:rPr>
        <w:t xml:space="preserve"> Directive 97/23/EC</w:t>
      </w:r>
      <w:r w:rsidR="0014782A" w:rsidRPr="00884E5E">
        <w:rPr>
          <w:rFonts w:eastAsia="SimSun"/>
        </w:rPr>
        <w:t xml:space="preserve"> (PED).</w:t>
      </w:r>
      <w:r w:rsidR="00EB54FD" w:rsidRPr="00884E5E">
        <w:rPr>
          <w:rFonts w:eastAsia="SimSun"/>
        </w:rPr>
        <w:t xml:space="preserve"> </w:t>
      </w:r>
      <w:r w:rsidR="005B3518" w:rsidRPr="00884E5E">
        <w:rPr>
          <w:rFonts w:eastAsia="SimSun"/>
        </w:rPr>
        <w:t xml:space="preserve">Directive 97/23/EC </w:t>
      </w:r>
      <w:r w:rsidR="00EB54FD" w:rsidRPr="00884E5E">
        <w:rPr>
          <w:rFonts w:eastAsia="SimSun"/>
        </w:rPr>
        <w:t xml:space="preserve">is mentioned in </w:t>
      </w:r>
      <w:r w:rsidR="00C054CD" w:rsidRPr="00884E5E">
        <w:rPr>
          <w:rFonts w:eastAsia="SimSun"/>
        </w:rPr>
        <w:t xml:space="preserve">special provision </w:t>
      </w:r>
      <w:r w:rsidR="00EB54FD" w:rsidRPr="00884E5E">
        <w:rPr>
          <w:rFonts w:eastAsia="SimSun"/>
        </w:rPr>
        <w:t>655</w:t>
      </w:r>
      <w:r w:rsidR="0034206A" w:rsidRPr="00884E5E">
        <w:rPr>
          <w:rFonts w:eastAsia="SimSun"/>
        </w:rPr>
        <w:t xml:space="preserve"> </w:t>
      </w:r>
      <w:r w:rsidR="005B3518">
        <w:rPr>
          <w:rFonts w:eastAsia="SimSun"/>
        </w:rPr>
        <w:t xml:space="preserve">and </w:t>
      </w:r>
      <w:r w:rsidR="005B3518" w:rsidRPr="00884E5E">
        <w:rPr>
          <w:rFonts w:eastAsia="SimSun"/>
        </w:rPr>
        <w:t>will be repealed on 19 July 2016</w:t>
      </w:r>
      <w:r w:rsidR="005B3518">
        <w:rPr>
          <w:rFonts w:eastAsia="SimSun"/>
        </w:rPr>
        <w:t>. Therefore</w:t>
      </w:r>
      <w:r w:rsidR="009B5C74" w:rsidRPr="00884E5E">
        <w:rPr>
          <w:rFonts w:eastAsia="SimSun"/>
        </w:rPr>
        <w:t>, we propose the following amendment</w:t>
      </w:r>
      <w:r w:rsidR="00EB54FD" w:rsidRPr="00884E5E">
        <w:rPr>
          <w:rFonts w:eastAsia="SimSun"/>
        </w:rPr>
        <w:t>.</w:t>
      </w:r>
    </w:p>
    <w:p w:rsidR="0067305D" w:rsidRPr="00AF0503" w:rsidRDefault="00FC5F27" w:rsidP="00FC5F27">
      <w:pPr>
        <w:pStyle w:val="HChG"/>
      </w:pPr>
      <w:r>
        <w:tab/>
      </w:r>
      <w:r w:rsidR="000659A9">
        <w:t>II.</w:t>
      </w:r>
      <w:r w:rsidR="000659A9">
        <w:tab/>
      </w:r>
      <w:r w:rsidR="0067305D">
        <w:t>Proposal</w:t>
      </w:r>
    </w:p>
    <w:p w:rsidR="0067305D" w:rsidRDefault="002C78A1" w:rsidP="00884E5E">
      <w:pPr>
        <w:pStyle w:val="SingleTxtG"/>
        <w:rPr>
          <w:rFonts w:eastAsia="SimSun"/>
          <w:szCs w:val="22"/>
        </w:rPr>
      </w:pPr>
      <w:r>
        <w:rPr>
          <w:rFonts w:eastAsia="SimSun"/>
          <w:szCs w:val="22"/>
        </w:rPr>
        <w:t>2.</w:t>
      </w:r>
      <w:r>
        <w:rPr>
          <w:rFonts w:eastAsia="SimSun"/>
          <w:szCs w:val="22"/>
        </w:rPr>
        <w:tab/>
      </w:r>
      <w:r w:rsidR="0067305D">
        <w:rPr>
          <w:rFonts w:eastAsia="SimSun"/>
          <w:szCs w:val="22"/>
        </w:rPr>
        <w:t>Amend special provision 655 as follows (</w:t>
      </w:r>
      <w:r w:rsidR="00D63EFE">
        <w:rPr>
          <w:rFonts w:eastAsia="SimSun"/>
          <w:szCs w:val="22"/>
        </w:rPr>
        <w:t>changes underlined and</w:t>
      </w:r>
      <w:r w:rsidR="0067305D">
        <w:rPr>
          <w:rFonts w:eastAsia="SimSun"/>
          <w:szCs w:val="22"/>
        </w:rPr>
        <w:t xml:space="preserve"> bold):</w:t>
      </w:r>
    </w:p>
    <w:p w:rsidR="005D311A" w:rsidRDefault="0067305D" w:rsidP="00A24450">
      <w:pPr>
        <w:pStyle w:val="SingleTxtG"/>
        <w:ind w:left="1701" w:hanging="567"/>
        <w:rPr>
          <w:rFonts w:eastAsia="SimSun"/>
        </w:rPr>
      </w:pPr>
      <w:r>
        <w:rPr>
          <w:rFonts w:eastAsia="SimSun"/>
        </w:rPr>
        <w:t>“</w:t>
      </w:r>
      <w:r w:rsidR="00EB54FD">
        <w:rPr>
          <w:rFonts w:eastAsia="SimSun"/>
        </w:rPr>
        <w:t>655</w:t>
      </w:r>
      <w:r w:rsidR="00EB54FD">
        <w:rPr>
          <w:rFonts w:eastAsia="SimSun"/>
        </w:rPr>
        <w:tab/>
        <w:t>Cylinders and their closures designed, constructed, approved and marked in accordance with Directive 97/23/EC</w:t>
      </w:r>
      <w:r w:rsidR="00EB54FD">
        <w:rPr>
          <w:rFonts w:eastAsia="SimSun"/>
          <w:vertAlign w:val="superscript"/>
        </w:rPr>
        <w:t>4</w:t>
      </w:r>
      <w:r w:rsidR="00EB54FD">
        <w:rPr>
          <w:rFonts w:eastAsia="SimSun"/>
        </w:rPr>
        <w:t xml:space="preserve"> </w:t>
      </w:r>
      <w:r w:rsidR="00EB54FD" w:rsidRPr="00D756F8">
        <w:rPr>
          <w:rFonts w:eastAsia="SimSun"/>
          <w:b/>
          <w:u w:val="single"/>
        </w:rPr>
        <w:t>or Directive 2014/68/EU</w:t>
      </w:r>
      <w:r w:rsidR="00EB54FD" w:rsidRPr="00D756F8">
        <w:rPr>
          <w:rFonts w:eastAsia="SimSun"/>
          <w:b/>
          <w:u w:val="single"/>
          <w:vertAlign w:val="superscript"/>
        </w:rPr>
        <w:t>5</w:t>
      </w:r>
      <w:r w:rsidR="00EB54FD">
        <w:rPr>
          <w:rFonts w:eastAsia="SimSun"/>
        </w:rPr>
        <w:t xml:space="preserve"> and used for breathing apparatus may be carried without conforming to Chapter 6.2, provided that they are </w:t>
      </w:r>
      <w:r w:rsidR="00EB54FD">
        <w:t>subject</w:t>
      </w:r>
      <w:r w:rsidR="00EB54FD">
        <w:rPr>
          <w:rFonts w:eastAsia="SimSun"/>
        </w:rPr>
        <w:t xml:space="preserve"> to inspections and tests specified in 6.2.1.6.1 and the interval </w:t>
      </w:r>
      <w:r w:rsidR="00EB54FD">
        <w:rPr>
          <w:rFonts w:eastAsia="SimSun"/>
        </w:rPr>
        <w:lastRenderedPageBreak/>
        <w:t>between tests specified in packing instruction P200 in 4.1.4.1 is not exceeded. The pressure used for the hydraulic pressure test is the pressure marked on the cylinder in accordance with Directive 97/23/EC</w:t>
      </w:r>
      <w:r w:rsidR="00EB54FD" w:rsidRPr="00786E71">
        <w:rPr>
          <w:rFonts w:eastAsia="SimSun"/>
          <w:vertAlign w:val="superscript"/>
        </w:rPr>
        <w:t>4</w:t>
      </w:r>
      <w:r w:rsidR="00EB54FD">
        <w:rPr>
          <w:rFonts w:eastAsia="SimSun"/>
          <w:b/>
          <w:vertAlign w:val="superscript"/>
        </w:rPr>
        <w:t xml:space="preserve"> </w:t>
      </w:r>
      <w:r w:rsidR="00EB54FD" w:rsidRPr="00D756F8">
        <w:rPr>
          <w:rFonts w:eastAsia="SimSun"/>
          <w:b/>
          <w:u w:val="single"/>
        </w:rPr>
        <w:t>or Directive 2014/68/EU</w:t>
      </w:r>
      <w:r w:rsidR="00EB54FD" w:rsidRPr="00D756F8">
        <w:rPr>
          <w:rFonts w:eastAsia="SimSun"/>
          <w:b/>
          <w:u w:val="single"/>
          <w:vertAlign w:val="superscript"/>
        </w:rPr>
        <w:t>5</w:t>
      </w:r>
      <w:r w:rsidR="00A24450">
        <w:rPr>
          <w:rFonts w:eastAsia="SimSun"/>
        </w:rPr>
        <w:t>.</w:t>
      </w:r>
    </w:p>
    <w:p w:rsidR="00EB54FD" w:rsidRPr="00154BAE" w:rsidRDefault="00EB54FD" w:rsidP="00884E5E">
      <w:pPr>
        <w:spacing w:before="120" w:after="120"/>
        <w:ind w:left="1701" w:right="1134"/>
        <w:jc w:val="both"/>
        <w:rPr>
          <w:sz w:val="18"/>
          <w:szCs w:val="18"/>
        </w:rPr>
      </w:pPr>
      <w:r w:rsidRPr="00154BAE">
        <w:rPr>
          <w:i/>
          <w:sz w:val="18"/>
          <w:szCs w:val="18"/>
          <w:vertAlign w:val="superscript"/>
        </w:rPr>
        <w:t>4)</w:t>
      </w:r>
      <w:r w:rsidR="00D756F8" w:rsidRPr="00154BAE">
        <w:rPr>
          <w:i/>
          <w:sz w:val="18"/>
          <w:szCs w:val="18"/>
          <w:vertAlign w:val="superscript"/>
        </w:rPr>
        <w:tab/>
      </w:r>
      <w:r w:rsidRPr="00154BAE">
        <w:rPr>
          <w:i/>
          <w:sz w:val="18"/>
          <w:szCs w:val="18"/>
        </w:rPr>
        <w:t xml:space="preserve">Directive 97/23/EC of </w:t>
      </w:r>
      <w:r w:rsidRPr="00154BAE">
        <w:rPr>
          <w:i/>
          <w:sz w:val="18"/>
          <w:szCs w:val="18"/>
          <w:lang w:val="en-US"/>
        </w:rPr>
        <w:t>the</w:t>
      </w:r>
      <w:r w:rsidRPr="00154BAE">
        <w:rPr>
          <w:i/>
          <w:sz w:val="18"/>
          <w:szCs w:val="18"/>
        </w:rPr>
        <w:t xml:space="preserve"> European Parliament and of the Council of 29 May 1997 on the approximation of the laws of the Member States concerning pressure equipment (PED) (Official Journal of the European Communities No. L 181 of 9 July 1997, p. 1 - 55).</w:t>
      </w:r>
    </w:p>
    <w:p w:rsidR="00DF6622" w:rsidRPr="00154BAE" w:rsidRDefault="00EB54FD" w:rsidP="00884E5E">
      <w:pPr>
        <w:spacing w:before="120" w:after="120"/>
        <w:ind w:left="1701" w:right="1134"/>
        <w:jc w:val="both"/>
        <w:rPr>
          <w:rFonts w:ascii="Lucida Sans Unicode" w:hAnsi="Lucida Sans Unicode" w:cs="Lucida Sans Unicode"/>
          <w:iCs/>
          <w:color w:val="444444"/>
          <w:sz w:val="18"/>
          <w:szCs w:val="18"/>
          <w:u w:val="single"/>
        </w:rPr>
      </w:pPr>
      <w:r w:rsidRPr="00154BAE">
        <w:rPr>
          <w:b/>
          <w:i/>
          <w:sz w:val="18"/>
          <w:szCs w:val="18"/>
          <w:u w:val="single"/>
          <w:vertAlign w:val="superscript"/>
        </w:rPr>
        <w:t>5)</w:t>
      </w:r>
      <w:r w:rsidR="00D756F8" w:rsidRPr="00154BAE">
        <w:rPr>
          <w:b/>
          <w:i/>
          <w:sz w:val="18"/>
          <w:szCs w:val="18"/>
          <w:u w:val="single"/>
          <w:vertAlign w:val="superscript"/>
        </w:rPr>
        <w:tab/>
      </w:r>
      <w:r w:rsidRPr="00154BAE">
        <w:rPr>
          <w:b/>
          <w:i/>
          <w:sz w:val="18"/>
          <w:szCs w:val="18"/>
          <w:u w:val="single"/>
        </w:rPr>
        <w:t>Directive 2014/68/EU of the European Parliament and of the Council of 15 May 2014 on the harmonisation of the laws of the Member States relating to the making available on the market of pressure equipment</w:t>
      </w:r>
      <w:r w:rsidR="0028420E" w:rsidRPr="00154BAE">
        <w:rPr>
          <w:b/>
          <w:i/>
          <w:sz w:val="18"/>
          <w:szCs w:val="18"/>
          <w:u w:val="single"/>
        </w:rPr>
        <w:t xml:space="preserve"> (PED)</w:t>
      </w:r>
      <w:r w:rsidRPr="00154BAE">
        <w:rPr>
          <w:b/>
          <w:i/>
          <w:sz w:val="18"/>
          <w:szCs w:val="18"/>
          <w:u w:val="single"/>
        </w:rPr>
        <w:t xml:space="preserve"> (Official Journal of the European </w:t>
      </w:r>
      <w:r w:rsidR="00E760C7" w:rsidRPr="00154BAE">
        <w:rPr>
          <w:b/>
          <w:i/>
          <w:sz w:val="18"/>
          <w:szCs w:val="18"/>
          <w:u w:val="single"/>
        </w:rPr>
        <w:t xml:space="preserve">Union </w:t>
      </w:r>
      <w:r w:rsidRPr="00154BAE">
        <w:rPr>
          <w:b/>
          <w:i/>
          <w:sz w:val="18"/>
          <w:szCs w:val="18"/>
          <w:u w:val="single"/>
        </w:rPr>
        <w:t>No. L 189 of 27 June 2014, p. 164 - 259)</w:t>
      </w:r>
      <w:r w:rsidR="00D86150" w:rsidRPr="00154BAE">
        <w:rPr>
          <w:rFonts w:ascii="Lucida Sans Unicode" w:hAnsi="Lucida Sans Unicode" w:cs="Lucida Sans Unicode"/>
          <w:i/>
          <w:iCs/>
          <w:color w:val="444444"/>
          <w:sz w:val="18"/>
          <w:szCs w:val="18"/>
          <w:u w:val="single"/>
        </w:rPr>
        <w:t>.</w:t>
      </w:r>
      <w:r w:rsidR="00884E5E" w:rsidRPr="00154BAE">
        <w:rPr>
          <w:rFonts w:ascii="Lucida Sans Unicode" w:hAnsi="Lucida Sans Unicode" w:cs="Lucida Sans Unicode"/>
          <w:iCs/>
          <w:color w:val="444444"/>
          <w:sz w:val="18"/>
          <w:szCs w:val="18"/>
          <w:u w:val="single"/>
        </w:rPr>
        <w:t>”.</w:t>
      </w:r>
    </w:p>
    <w:p w:rsidR="00DF6622" w:rsidRPr="00DF6622" w:rsidRDefault="00DF6622" w:rsidP="00DF6622">
      <w:pPr>
        <w:pStyle w:val="SingleTxtG"/>
        <w:spacing w:before="240" w:after="0"/>
        <w:jc w:val="center"/>
        <w:rPr>
          <w:u w:val="single"/>
          <w:lang w:val="en-US" w:eastAsia="sv-SE"/>
        </w:rPr>
      </w:pPr>
      <w:r w:rsidRPr="00DF6622">
        <w:rPr>
          <w:u w:val="single"/>
          <w:lang w:val="en-US" w:eastAsia="sv-SE"/>
        </w:rPr>
        <w:tab/>
      </w:r>
      <w:r w:rsidRPr="00DF6622">
        <w:rPr>
          <w:u w:val="single"/>
          <w:lang w:val="en-US" w:eastAsia="sv-SE"/>
        </w:rPr>
        <w:tab/>
      </w:r>
      <w:r w:rsidRPr="00DF6622">
        <w:rPr>
          <w:u w:val="single"/>
          <w:lang w:val="en-US" w:eastAsia="sv-SE"/>
        </w:rPr>
        <w:tab/>
      </w:r>
    </w:p>
    <w:sectPr w:rsidR="00DF6622" w:rsidRPr="00DF6622">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3C" w:rsidRDefault="0015163C"/>
  </w:endnote>
  <w:endnote w:type="continuationSeparator" w:id="0">
    <w:p w:rsidR="0015163C" w:rsidRDefault="0015163C"/>
  </w:endnote>
  <w:endnote w:type="continuationNotice" w:id="1">
    <w:p w:rsidR="0015163C" w:rsidRDefault="0015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FD" w:rsidRDefault="00EB54FD">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FE6AA7">
      <w:rPr>
        <w:b/>
        <w:noProof/>
        <w:sz w:val="18"/>
      </w:rPr>
      <w:t>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FD" w:rsidRDefault="00EB54FD">
    <w:pPr>
      <w:pStyle w:val="Footer"/>
      <w:tabs>
        <w:tab w:val="right" w:pos="9598"/>
      </w:tabs>
      <w:rPr>
        <w:b/>
        <w:sz w:val="18"/>
      </w:rPr>
    </w:pPr>
    <w:r>
      <w:t>GE.14-20011</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B5" w:rsidRPr="002960B5" w:rsidRDefault="002960B5">
    <w:pPr>
      <w:pStyle w:val="Footer"/>
      <w:rPr>
        <w:sz w:val="20"/>
      </w:rPr>
    </w:pPr>
    <w:r>
      <w:rPr>
        <w:sz w:val="20"/>
      </w:rPr>
      <w:t>GE.15-</w:t>
    </w:r>
    <w:r w:rsidR="006D6EAF">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3C" w:rsidRDefault="0015163C">
      <w:pPr>
        <w:tabs>
          <w:tab w:val="right" w:pos="2155"/>
        </w:tabs>
        <w:spacing w:after="80"/>
        <w:ind w:left="680"/>
        <w:rPr>
          <w:u w:val="single"/>
        </w:rPr>
      </w:pPr>
      <w:r>
        <w:rPr>
          <w:u w:val="single"/>
        </w:rPr>
        <w:tab/>
      </w:r>
    </w:p>
  </w:footnote>
  <w:footnote w:type="continuationSeparator" w:id="0">
    <w:p w:rsidR="0015163C" w:rsidRDefault="0015163C">
      <w:pPr>
        <w:tabs>
          <w:tab w:val="left" w:pos="2155"/>
        </w:tabs>
        <w:spacing w:after="80"/>
        <w:ind w:left="680"/>
        <w:rPr>
          <w:u w:val="single"/>
        </w:rPr>
      </w:pPr>
      <w:r>
        <w:rPr>
          <w:u w:val="single"/>
        </w:rPr>
        <w:tab/>
      </w:r>
    </w:p>
  </w:footnote>
  <w:footnote w:type="continuationNotice" w:id="1">
    <w:p w:rsidR="0015163C" w:rsidRDefault="0015163C"/>
  </w:footnote>
  <w:footnote w:id="2">
    <w:p w:rsidR="00770E14" w:rsidRPr="00BA3578" w:rsidRDefault="00770E14" w:rsidP="00770E14">
      <w:pPr>
        <w:pStyle w:val="FootnoteText"/>
        <w:widowControl w:val="0"/>
        <w:tabs>
          <w:tab w:val="clear" w:pos="1021"/>
          <w:tab w:val="right" w:pos="1020"/>
        </w:tabs>
      </w:pPr>
      <w:r>
        <w:tab/>
      </w:r>
      <w:r>
        <w:rPr>
          <w:rStyle w:val="FootnoteReference"/>
        </w:rPr>
        <w:footnoteRef/>
      </w:r>
      <w:r>
        <w:tab/>
      </w:r>
      <w:proofErr w:type="gramStart"/>
      <w:r w:rsidRPr="00BA3578">
        <w:t>In accordance with the programme of work of the Inland Transport Committee for 2014–2015 (ECE/TRANS/240, para. 100, ECE/TRANS/2014/23, cluster 9, para.9.2).</w:t>
      </w:r>
      <w:proofErr w:type="gramEnd"/>
    </w:p>
  </w:footnote>
  <w:footnote w:id="3">
    <w:p w:rsidR="00770E14" w:rsidRPr="00BA3578" w:rsidRDefault="00770E14" w:rsidP="00770E14">
      <w:pPr>
        <w:pStyle w:val="FootnoteText"/>
        <w:widowControl w:val="0"/>
        <w:tabs>
          <w:tab w:val="clear" w:pos="1021"/>
          <w:tab w:val="right" w:pos="1020"/>
        </w:tabs>
      </w:pPr>
      <w:r w:rsidRPr="00BA3578">
        <w:tab/>
      </w:r>
      <w:r w:rsidRPr="00BA3578">
        <w:rPr>
          <w:rStyle w:val="FootnoteReference"/>
        </w:rPr>
        <w:footnoteRef/>
      </w:r>
      <w:r w:rsidRPr="00BA3578">
        <w:tab/>
        <w:t>Circulated by the Intergovernmental Organisation for International Carriage by Rail (OTIF) under the symbol OTIF/RID/RC/2015/</w:t>
      </w:r>
      <w:r>
        <w:t>44</w:t>
      </w:r>
      <w:r w:rsidRPr="00BA357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FD" w:rsidRDefault="00EB54FD">
    <w:pPr>
      <w:pStyle w:val="Header"/>
    </w:pPr>
    <w:r>
      <w:t>ECE/TRANS/WP.15/AC.1/201</w:t>
    </w:r>
    <w:r w:rsidR="00C805E1">
      <w:t>5/</w:t>
    </w:r>
    <w:r w:rsidR="00770E14">
      <w:t>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FD" w:rsidRDefault="00EB54FD">
    <w:pPr>
      <w:pStyle w:val="Header"/>
      <w:jc w:val="right"/>
    </w:pPr>
    <w:r>
      <w:t>ECE/TRANS/WP.15/AC.1/2013/19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930"/>
    <w:rsid w:val="00003FB4"/>
    <w:rsid w:val="000151CF"/>
    <w:rsid w:val="0002000E"/>
    <w:rsid w:val="00020626"/>
    <w:rsid w:val="000550B8"/>
    <w:rsid w:val="000659A9"/>
    <w:rsid w:val="000A0561"/>
    <w:rsid w:val="000A3930"/>
    <w:rsid w:val="000C0997"/>
    <w:rsid w:val="0014782A"/>
    <w:rsid w:val="0015163C"/>
    <w:rsid w:val="00154BAE"/>
    <w:rsid w:val="00171EE8"/>
    <w:rsid w:val="001B24D6"/>
    <w:rsid w:val="002449B9"/>
    <w:rsid w:val="0028420E"/>
    <w:rsid w:val="002960B5"/>
    <w:rsid w:val="002C78A1"/>
    <w:rsid w:val="0034135A"/>
    <w:rsid w:val="0034206A"/>
    <w:rsid w:val="003912CA"/>
    <w:rsid w:val="004B24A1"/>
    <w:rsid w:val="00540DBC"/>
    <w:rsid w:val="005B3518"/>
    <w:rsid w:val="005D311A"/>
    <w:rsid w:val="005F40A2"/>
    <w:rsid w:val="0067305D"/>
    <w:rsid w:val="00692D54"/>
    <w:rsid w:val="006A39EB"/>
    <w:rsid w:val="006D6EAF"/>
    <w:rsid w:val="0075519E"/>
    <w:rsid w:val="00770E14"/>
    <w:rsid w:val="00786DAD"/>
    <w:rsid w:val="00786E71"/>
    <w:rsid w:val="007D2FA0"/>
    <w:rsid w:val="00801C5B"/>
    <w:rsid w:val="00801E3A"/>
    <w:rsid w:val="00884E5E"/>
    <w:rsid w:val="0093632D"/>
    <w:rsid w:val="00961865"/>
    <w:rsid w:val="009B5C74"/>
    <w:rsid w:val="009F3612"/>
    <w:rsid w:val="00A0427B"/>
    <w:rsid w:val="00A24450"/>
    <w:rsid w:val="00A851FF"/>
    <w:rsid w:val="00B576E1"/>
    <w:rsid w:val="00B62D85"/>
    <w:rsid w:val="00BA1080"/>
    <w:rsid w:val="00C054CD"/>
    <w:rsid w:val="00C32627"/>
    <w:rsid w:val="00C7666F"/>
    <w:rsid w:val="00C805E1"/>
    <w:rsid w:val="00C84B80"/>
    <w:rsid w:val="00C936E4"/>
    <w:rsid w:val="00D63EFE"/>
    <w:rsid w:val="00D64FA9"/>
    <w:rsid w:val="00D756F8"/>
    <w:rsid w:val="00D86150"/>
    <w:rsid w:val="00DD2F06"/>
    <w:rsid w:val="00DF51FC"/>
    <w:rsid w:val="00DF6622"/>
    <w:rsid w:val="00E760C7"/>
    <w:rsid w:val="00E76EE4"/>
    <w:rsid w:val="00EB54FD"/>
    <w:rsid w:val="00EE52E4"/>
    <w:rsid w:val="00F21950"/>
    <w:rsid w:val="00FC5F27"/>
    <w:rsid w:val="00FE6AA7"/>
    <w:rsid w:val="00FF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qFormat/>
    <w:rPr>
      <w:rFonts w:ascii="Times New Roman" w:hAnsi="Times New Roman"/>
      <w:sz w:val="18"/>
      <w:vertAlign w:val="superscript"/>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rPr>
      <w:lang w:val="en-GB" w:eastAsia="en-US"/>
    </w:rPr>
  </w:style>
  <w:style w:type="character" w:customStyle="1" w:styleId="FootnoteTextChar">
    <w:name w:val="Footnote Text Char"/>
    <w:aliases w:val="5_G Char"/>
    <w:link w:val="FootnoteText"/>
    <w:rsid w:val="00EE52E4"/>
    <w:rPr>
      <w:sz w:val="18"/>
      <w:lang w:val="en-GB" w:eastAsia="en-US"/>
    </w:rPr>
  </w:style>
  <w:style w:type="paragraph" w:styleId="BalloonText">
    <w:name w:val="Balloon Text"/>
    <w:basedOn w:val="Normal"/>
    <w:link w:val="BalloonTextChar"/>
    <w:rsid w:val="00E76EE4"/>
    <w:pPr>
      <w:spacing w:line="240" w:lineRule="auto"/>
    </w:pPr>
    <w:rPr>
      <w:rFonts w:ascii="Segoe UI" w:hAnsi="Segoe UI" w:cs="Segoe UI"/>
      <w:sz w:val="18"/>
      <w:szCs w:val="18"/>
    </w:rPr>
  </w:style>
  <w:style w:type="character" w:customStyle="1" w:styleId="BalloonTextChar">
    <w:name w:val="Balloon Text Char"/>
    <w:link w:val="BalloonText"/>
    <w:rsid w:val="00E76EE4"/>
    <w:rPr>
      <w:rFonts w:ascii="Segoe UI" w:hAnsi="Segoe UI" w:cs="Segoe UI"/>
      <w:sz w:val="18"/>
      <w:szCs w:val="18"/>
      <w:lang w:val="en-GB" w:eastAsia="en-US"/>
    </w:rPr>
  </w:style>
  <w:style w:type="character" w:customStyle="1" w:styleId="HChGChar">
    <w:name w:val="_ H _Ch_G Char"/>
    <w:link w:val="HChG"/>
    <w:rsid w:val="00DD2F06"/>
    <w:rPr>
      <w:b/>
      <w:sz w:val="28"/>
      <w:lang w:val="en-GB" w:eastAsia="en-US"/>
    </w:rPr>
  </w:style>
  <w:style w:type="paragraph" w:customStyle="1" w:styleId="CM1">
    <w:name w:val="CM1"/>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 w:type="paragraph" w:customStyle="1" w:styleId="CM3">
    <w:name w:val="CM3"/>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 w:type="paragraph" w:customStyle="1" w:styleId="CM4">
    <w:name w:val="CM4"/>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qFormat/>
    <w:rPr>
      <w:rFonts w:ascii="Times New Roman" w:hAnsi="Times New Roman"/>
      <w:sz w:val="18"/>
      <w:vertAlign w:val="superscript"/>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14"/>
      </w:numPr>
    </w:pPr>
  </w:style>
  <w:style w:type="numbering" w:styleId="1ai">
    <w:name w:val="Outline List 1"/>
    <w:basedOn w:val="NoList"/>
    <w:semiHidden/>
    <w:pPr>
      <w:numPr>
        <w:numId w:val="15"/>
      </w:numPr>
    </w:pPr>
  </w:style>
  <w:style w:type="numbering" w:styleId="ArticleSection">
    <w:name w:val="Outline List 3"/>
    <w:basedOn w:val="NoList"/>
    <w:semiHidden/>
    <w:pPr>
      <w:numPr>
        <w:numId w:val="16"/>
      </w:numPr>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pPr>
      <w:spacing w:line="240" w:lineRule="auto"/>
    </w:pPr>
    <w:rPr>
      <w:sz w:val="16"/>
    </w:rPr>
  </w:style>
  <w:style w:type="paragraph" w:styleId="Header">
    <w:name w:val="header"/>
    <w:aliases w:val="6_G"/>
    <w:basedOn w:val="Normal"/>
    <w:pPr>
      <w:pBdr>
        <w:bottom w:val="single" w:sz="4" w:space="4" w:color="auto"/>
      </w:pBdr>
      <w:spacing w:line="240" w:lineRule="auto"/>
    </w:pPr>
    <w:rPr>
      <w:b/>
      <w:sz w:val="18"/>
    </w:rPr>
  </w:style>
  <w:style w:type="character" w:customStyle="1" w:styleId="SingleTxtGChar">
    <w:name w:val="_ Single Txt_G Char"/>
    <w:link w:val="SingleTxtG"/>
    <w:rPr>
      <w:lang w:val="en-GB" w:eastAsia="en-US"/>
    </w:rPr>
  </w:style>
  <w:style w:type="character" w:customStyle="1" w:styleId="FootnoteTextChar">
    <w:name w:val="Footnote Text Char"/>
    <w:aliases w:val="5_G Char"/>
    <w:link w:val="FootnoteText"/>
    <w:rsid w:val="00EE52E4"/>
    <w:rPr>
      <w:sz w:val="18"/>
      <w:lang w:val="en-GB" w:eastAsia="en-US"/>
    </w:rPr>
  </w:style>
  <w:style w:type="paragraph" w:styleId="BalloonText">
    <w:name w:val="Balloon Text"/>
    <w:basedOn w:val="Normal"/>
    <w:link w:val="BalloonTextChar"/>
    <w:rsid w:val="00E76EE4"/>
    <w:pPr>
      <w:spacing w:line="240" w:lineRule="auto"/>
    </w:pPr>
    <w:rPr>
      <w:rFonts w:ascii="Segoe UI" w:hAnsi="Segoe UI" w:cs="Segoe UI"/>
      <w:sz w:val="18"/>
      <w:szCs w:val="18"/>
    </w:rPr>
  </w:style>
  <w:style w:type="character" w:customStyle="1" w:styleId="BalloonTextChar">
    <w:name w:val="Balloon Text Char"/>
    <w:link w:val="BalloonText"/>
    <w:rsid w:val="00E76EE4"/>
    <w:rPr>
      <w:rFonts w:ascii="Segoe UI" w:hAnsi="Segoe UI" w:cs="Segoe UI"/>
      <w:sz w:val="18"/>
      <w:szCs w:val="18"/>
      <w:lang w:val="en-GB" w:eastAsia="en-US"/>
    </w:rPr>
  </w:style>
  <w:style w:type="character" w:customStyle="1" w:styleId="HChGChar">
    <w:name w:val="_ H _Ch_G Char"/>
    <w:link w:val="HChG"/>
    <w:rsid w:val="00DD2F06"/>
    <w:rPr>
      <w:b/>
      <w:sz w:val="28"/>
      <w:lang w:val="en-GB" w:eastAsia="en-US"/>
    </w:rPr>
  </w:style>
  <w:style w:type="paragraph" w:customStyle="1" w:styleId="CM1">
    <w:name w:val="CM1"/>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 w:type="paragraph" w:customStyle="1" w:styleId="CM3">
    <w:name w:val="CM3"/>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 w:type="paragraph" w:customStyle="1" w:styleId="CM4">
    <w:name w:val="CM4"/>
    <w:basedOn w:val="Normal"/>
    <w:next w:val="Normal"/>
    <w:uiPriority w:val="99"/>
    <w:rsid w:val="002449B9"/>
    <w:pPr>
      <w:suppressAutoHyphens w:val="0"/>
      <w:autoSpaceDE w:val="0"/>
      <w:autoSpaceDN w:val="0"/>
      <w:adjustRightInd w:val="0"/>
      <w:spacing w:line="240" w:lineRule="auto"/>
    </w:pPr>
    <w:rPr>
      <w:rFonts w:ascii="EUAlbertina" w:hAnsi="EUAlbertina"/>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1843</Characters>
  <Application>Microsoft Office Word</Application>
  <DocSecurity>0</DocSecurity>
  <Lines>44</Lines>
  <Paragraphs>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1420011</vt:lpstr>
      <vt:lpstr>1420011</vt:lpstr>
      <vt:lpstr>1420011</vt:lpstr>
    </vt:vector>
  </TitlesOfParts>
  <Company>CSD</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1420011</dc:title>
  <dc:subject>ECE/TRANS/WP.15/AC.1/2014/19</dc:subject>
  <dc:creator>cg</dc:creator>
  <dc:description>Final</dc:description>
  <cp:lastModifiedBy>barrio-champeau</cp:lastModifiedBy>
  <cp:revision>5</cp:revision>
  <cp:lastPrinted>2015-06-29T14:29:00Z</cp:lastPrinted>
  <dcterms:created xsi:type="dcterms:W3CDTF">2015-06-24T13:16:00Z</dcterms:created>
  <dcterms:modified xsi:type="dcterms:W3CDTF">2015-06-29T14:29:00Z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COO.2125.100.2.7516534</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 special provision 655</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Speich Markus</vt:lpwstr>
  </property>
  <property fmtid="{D5CDD505-2E9C-101B-9397-08002B2CF9AE}" pid="80" name="FSC#COOELAK@1.1001:OwnerExtension">
    <vt:lpwstr>+41 58 465 72 73</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Personenverkehr (BAV)</vt:lpwstr>
  </property>
  <property fmtid="{D5CDD505-2E9C-101B-9397-08002B2CF9AE}" pid="87" name="FSC#COOELAK@1.1001:CreatedAt">
    <vt:lpwstr>09.04.2015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*COO.2125.100.2.7516534*</vt:lpwstr>
  </property>
  <property fmtid="{D5CDD505-2E9C-101B-9397-08002B2CF9AE}" pid="91" name="FSC#COOELAK@1.1001:RefBarCode">
    <vt:lpwstr>*COO.2125.100.2.7516535*</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Entwurf ECE-TRANS-WP15-AC1-2015-XX_x000d_
</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COO.2125.100.2.7516534</vt:lpwstr>
  </property>
  <property fmtid="{D5CDD505-2E9C-101B-9397-08002B2CF9AE}" pid="161" name="FSC#FSCFOLIO@1.1001:docpropproject">
    <vt:lpwstr/>
  </property>
</Properties>
</file>