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84CD4" w:rsidTr="00B11BB4">
        <w:trPr>
          <w:cantSplit/>
          <w:trHeight w:hRule="exact" w:val="851"/>
        </w:trPr>
        <w:tc>
          <w:tcPr>
            <w:tcW w:w="1276" w:type="dxa"/>
            <w:tcBorders>
              <w:bottom w:val="single" w:sz="4" w:space="0" w:color="auto"/>
            </w:tcBorders>
            <w:shd w:val="clear" w:color="auto" w:fill="auto"/>
            <w:vAlign w:val="bottom"/>
          </w:tcPr>
          <w:p w:rsidR="00B56E9C" w:rsidRPr="001E2674" w:rsidRDefault="00B56E9C" w:rsidP="00B11BB4">
            <w:pPr>
              <w:spacing w:after="80"/>
            </w:pPr>
            <w:bookmarkStart w:id="0" w:name="_GoBack"/>
            <w:bookmarkEnd w:id="0"/>
          </w:p>
        </w:tc>
        <w:tc>
          <w:tcPr>
            <w:tcW w:w="2268" w:type="dxa"/>
            <w:tcBorders>
              <w:bottom w:val="single" w:sz="4" w:space="0" w:color="auto"/>
            </w:tcBorders>
            <w:shd w:val="clear" w:color="auto" w:fill="auto"/>
            <w:vAlign w:val="bottom"/>
          </w:tcPr>
          <w:p w:rsidR="00B56E9C" w:rsidRPr="001E2674" w:rsidRDefault="00B56E9C" w:rsidP="00B11BB4">
            <w:pPr>
              <w:spacing w:after="80" w:line="300" w:lineRule="exact"/>
              <w:rPr>
                <w:b/>
                <w:sz w:val="24"/>
                <w:szCs w:val="24"/>
              </w:rPr>
            </w:pPr>
            <w:r w:rsidRPr="001E2674">
              <w:rPr>
                <w:sz w:val="28"/>
                <w:szCs w:val="28"/>
              </w:rPr>
              <w:t>United Nations</w:t>
            </w:r>
          </w:p>
        </w:tc>
        <w:tc>
          <w:tcPr>
            <w:tcW w:w="6095" w:type="dxa"/>
            <w:gridSpan w:val="2"/>
            <w:tcBorders>
              <w:bottom w:val="single" w:sz="4" w:space="0" w:color="auto"/>
            </w:tcBorders>
            <w:shd w:val="clear" w:color="auto" w:fill="auto"/>
            <w:vAlign w:val="bottom"/>
          </w:tcPr>
          <w:p w:rsidR="00B56E9C" w:rsidRPr="00684CD4" w:rsidRDefault="009D2A5B" w:rsidP="00A852DC">
            <w:pPr>
              <w:suppressAutoHyphens w:val="0"/>
              <w:spacing w:after="20"/>
              <w:jc w:val="right"/>
              <w:rPr>
                <w:lang w:val="en-US"/>
              </w:rPr>
            </w:pPr>
            <w:r w:rsidRPr="00684CD4">
              <w:rPr>
                <w:sz w:val="40"/>
                <w:lang w:val="en-US"/>
              </w:rPr>
              <w:t>ECE</w:t>
            </w:r>
            <w:r w:rsidRPr="00684CD4">
              <w:rPr>
                <w:lang w:val="en-US"/>
              </w:rPr>
              <w:t>/TRANS/WP.15/AC.1/201</w:t>
            </w:r>
            <w:r w:rsidR="0069232B" w:rsidRPr="00684CD4">
              <w:rPr>
                <w:lang w:val="en-US"/>
              </w:rPr>
              <w:t>5</w:t>
            </w:r>
            <w:r w:rsidRPr="00684CD4">
              <w:rPr>
                <w:lang w:val="en-US"/>
              </w:rPr>
              <w:t>/</w:t>
            </w:r>
            <w:r w:rsidR="00CF79FB">
              <w:rPr>
                <w:lang w:val="en-US"/>
              </w:rPr>
              <w:t>3</w:t>
            </w:r>
            <w:r w:rsidR="00A852DC">
              <w:rPr>
                <w:lang w:val="en-US"/>
              </w:rPr>
              <w:t>7</w:t>
            </w:r>
          </w:p>
        </w:tc>
      </w:tr>
      <w:tr w:rsidR="00B56E9C" w:rsidRPr="001E2674" w:rsidTr="00B11BB4">
        <w:trPr>
          <w:cantSplit/>
          <w:trHeight w:hRule="exact" w:val="2835"/>
        </w:trPr>
        <w:tc>
          <w:tcPr>
            <w:tcW w:w="1276" w:type="dxa"/>
            <w:tcBorders>
              <w:top w:val="single" w:sz="4" w:space="0" w:color="auto"/>
              <w:bottom w:val="single" w:sz="12" w:space="0" w:color="auto"/>
            </w:tcBorders>
            <w:shd w:val="clear" w:color="auto" w:fill="auto"/>
          </w:tcPr>
          <w:p w:rsidR="00B56E9C" w:rsidRPr="001E2674" w:rsidRDefault="00E0182A"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1E2674" w:rsidRDefault="00D773DF" w:rsidP="00B11BB4">
            <w:pPr>
              <w:spacing w:before="120" w:line="420" w:lineRule="exact"/>
              <w:rPr>
                <w:sz w:val="40"/>
                <w:szCs w:val="40"/>
              </w:rPr>
            </w:pPr>
            <w:r w:rsidRPr="001E267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Pr="001E2674" w:rsidRDefault="009D2A5B" w:rsidP="00B11BB4">
            <w:pPr>
              <w:suppressAutoHyphens w:val="0"/>
              <w:spacing w:before="240" w:line="240" w:lineRule="exact"/>
            </w:pPr>
            <w:r w:rsidRPr="001E2674">
              <w:t>Distr.: General</w:t>
            </w:r>
          </w:p>
          <w:p w:rsidR="009D2A5B" w:rsidRPr="001E2674" w:rsidRDefault="00165557" w:rsidP="00B11BB4">
            <w:pPr>
              <w:suppressAutoHyphens w:val="0"/>
            </w:pPr>
            <w:r>
              <w:t>2</w:t>
            </w:r>
            <w:r w:rsidR="008527BD">
              <w:t>6</w:t>
            </w:r>
            <w:r w:rsidR="00A16E58" w:rsidRPr="001E2674">
              <w:t xml:space="preserve"> </w:t>
            </w:r>
            <w:r w:rsidR="00774CE6">
              <w:t>June</w:t>
            </w:r>
            <w:r w:rsidR="001B13A5" w:rsidRPr="001E2674">
              <w:t xml:space="preserve"> 201</w:t>
            </w:r>
            <w:r w:rsidR="00A16E58" w:rsidRPr="001E2674">
              <w:t>5</w:t>
            </w:r>
          </w:p>
          <w:p w:rsidR="009D2A5B" w:rsidRPr="001E2674" w:rsidRDefault="009D2A5B" w:rsidP="00B11BB4">
            <w:pPr>
              <w:suppressAutoHyphens w:val="0"/>
            </w:pPr>
          </w:p>
          <w:p w:rsidR="00B56E9C" w:rsidRPr="001E2674" w:rsidRDefault="009D2A5B" w:rsidP="00B11BB4">
            <w:pPr>
              <w:suppressAutoHyphens w:val="0"/>
            </w:pPr>
            <w:r w:rsidRPr="001E2674">
              <w:t xml:space="preserve">Original: </w:t>
            </w:r>
            <w:r w:rsidR="0094558F" w:rsidRPr="001E2674">
              <w:t xml:space="preserve"> English</w:t>
            </w:r>
          </w:p>
        </w:tc>
      </w:tr>
    </w:tbl>
    <w:p w:rsidR="00EC106A" w:rsidRPr="001E2674" w:rsidRDefault="00EC106A">
      <w:pPr>
        <w:spacing w:before="120"/>
        <w:rPr>
          <w:b/>
          <w:sz w:val="28"/>
          <w:szCs w:val="28"/>
        </w:rPr>
      </w:pPr>
      <w:r w:rsidRPr="001E2674">
        <w:rPr>
          <w:b/>
          <w:sz w:val="28"/>
          <w:szCs w:val="28"/>
        </w:rPr>
        <w:t>Economic Commission for Europe</w:t>
      </w:r>
    </w:p>
    <w:p w:rsidR="00EC106A" w:rsidRPr="001E2674" w:rsidRDefault="00EC106A">
      <w:pPr>
        <w:spacing w:before="120"/>
        <w:rPr>
          <w:sz w:val="28"/>
          <w:szCs w:val="28"/>
        </w:rPr>
      </w:pPr>
      <w:r w:rsidRPr="001E2674">
        <w:rPr>
          <w:sz w:val="28"/>
          <w:szCs w:val="28"/>
        </w:rPr>
        <w:t>Inland Transport Committee</w:t>
      </w:r>
    </w:p>
    <w:p w:rsidR="00EC106A" w:rsidRPr="001E2674" w:rsidRDefault="00EC106A" w:rsidP="00EC106A">
      <w:pPr>
        <w:spacing w:before="120" w:after="120"/>
        <w:rPr>
          <w:b/>
          <w:sz w:val="24"/>
          <w:szCs w:val="24"/>
        </w:rPr>
      </w:pPr>
      <w:r w:rsidRPr="001E2674">
        <w:rPr>
          <w:b/>
          <w:sz w:val="24"/>
          <w:szCs w:val="24"/>
        </w:rPr>
        <w:t>Working Party on the Transport of Dangerous Goods</w:t>
      </w:r>
    </w:p>
    <w:p w:rsidR="009D2A5B" w:rsidRPr="001E2674" w:rsidRDefault="009D2A5B" w:rsidP="009D2A5B">
      <w:pPr>
        <w:rPr>
          <w:b/>
        </w:rPr>
      </w:pPr>
      <w:r w:rsidRPr="001E2674">
        <w:rPr>
          <w:b/>
        </w:rPr>
        <w:t>Joint Meeting of the RID Committee of Experts and the</w:t>
      </w:r>
    </w:p>
    <w:p w:rsidR="009D2A5B" w:rsidRPr="001E2674" w:rsidRDefault="009D2A5B" w:rsidP="009D2A5B">
      <w:pPr>
        <w:rPr>
          <w:b/>
        </w:rPr>
      </w:pPr>
      <w:r w:rsidRPr="001E2674">
        <w:rPr>
          <w:b/>
        </w:rPr>
        <w:t>Working Party on the Transport of Dangerous Goods</w:t>
      </w:r>
    </w:p>
    <w:p w:rsidR="009D2A5B" w:rsidRPr="001E2674" w:rsidRDefault="003F4266" w:rsidP="00BB7CD1">
      <w:r>
        <w:t>Geneva</w:t>
      </w:r>
      <w:r w:rsidR="00BB7CD1" w:rsidRPr="001E2674">
        <w:t xml:space="preserve">, </w:t>
      </w:r>
      <w:r w:rsidR="00A16E58" w:rsidRPr="001E2674">
        <w:t>1</w:t>
      </w:r>
      <w:r>
        <w:t>5</w:t>
      </w:r>
      <w:r w:rsidR="00BB7CD1" w:rsidRPr="001E2674">
        <w:t>–2</w:t>
      </w:r>
      <w:r w:rsidR="00A16E58" w:rsidRPr="001E2674">
        <w:t>5</w:t>
      </w:r>
      <w:r w:rsidR="00F66565" w:rsidRPr="001E2674">
        <w:t xml:space="preserve"> </w:t>
      </w:r>
      <w:r w:rsidR="00A16E58" w:rsidRPr="001E2674">
        <w:t>September</w:t>
      </w:r>
      <w:r w:rsidR="00BB7CD1" w:rsidRPr="001E2674">
        <w:t xml:space="preserve"> 201</w:t>
      </w:r>
      <w:r w:rsidR="0069232B" w:rsidRPr="001E2674">
        <w:t>5</w:t>
      </w:r>
    </w:p>
    <w:p w:rsidR="00BB7CD1" w:rsidRPr="001E2674" w:rsidRDefault="00BB7CD1" w:rsidP="00BB7CD1">
      <w:r w:rsidRPr="001E2674">
        <w:t xml:space="preserve">Item </w:t>
      </w:r>
      <w:r w:rsidR="003870A1">
        <w:t>3</w:t>
      </w:r>
      <w:r w:rsidR="002042CE" w:rsidRPr="001E2674">
        <w:t xml:space="preserve"> </w:t>
      </w:r>
      <w:r w:rsidR="00B914A6" w:rsidRPr="001E2674">
        <w:t>(</w:t>
      </w:r>
      <w:r w:rsidR="00714C94">
        <w:t>a</w:t>
      </w:r>
      <w:r w:rsidR="002042CE" w:rsidRPr="001E2674">
        <w:t>)</w:t>
      </w:r>
      <w:r w:rsidRPr="001E2674">
        <w:t xml:space="preserve"> of the provisional agenda</w:t>
      </w:r>
    </w:p>
    <w:p w:rsidR="002042CE" w:rsidRPr="001E2674" w:rsidRDefault="002042CE" w:rsidP="00BB7CD1">
      <w:pPr>
        <w:rPr>
          <w:b/>
        </w:rPr>
      </w:pPr>
      <w:r w:rsidRPr="001E2674">
        <w:rPr>
          <w:b/>
        </w:rPr>
        <w:t>Proposals for amendments to RID/ADR/ADN:</w:t>
      </w:r>
    </w:p>
    <w:p w:rsidR="00BB7CD1" w:rsidRPr="001E2674" w:rsidRDefault="00714C94" w:rsidP="00BB7CD1">
      <w:pPr>
        <w:rPr>
          <w:b/>
        </w:rPr>
      </w:pPr>
      <w:proofErr w:type="gramStart"/>
      <w:r>
        <w:rPr>
          <w:b/>
        </w:rPr>
        <w:t>pending</w:t>
      </w:r>
      <w:proofErr w:type="gramEnd"/>
      <w:r>
        <w:rPr>
          <w:b/>
        </w:rPr>
        <w:t xml:space="preserve"> issues</w:t>
      </w:r>
    </w:p>
    <w:p w:rsidR="00A852DC" w:rsidRPr="004E5DD0" w:rsidRDefault="009B1518" w:rsidP="00A852DC">
      <w:pPr>
        <w:pStyle w:val="HChG"/>
        <w:rPr>
          <w:lang w:val="en-GB"/>
        </w:rPr>
      </w:pPr>
      <w:r w:rsidRPr="001E2674">
        <w:rPr>
          <w:lang w:val="en-GB"/>
        </w:rPr>
        <w:tab/>
      </w:r>
      <w:r w:rsidRPr="001E2674">
        <w:rPr>
          <w:lang w:val="en-GB"/>
        </w:rPr>
        <w:tab/>
      </w:r>
      <w:r w:rsidR="00A852DC" w:rsidRPr="004E5DD0">
        <w:rPr>
          <w:lang w:val="en-GB"/>
        </w:rPr>
        <w:t>Loader and unloader</w:t>
      </w:r>
    </w:p>
    <w:p w:rsidR="00A852DC" w:rsidRDefault="00A852DC" w:rsidP="00A852DC">
      <w:pPr>
        <w:pStyle w:val="H1G"/>
        <w:rPr>
          <w:b w:val="0"/>
          <w:sz w:val="18"/>
          <w:szCs w:val="18"/>
        </w:rPr>
      </w:pPr>
      <w:r w:rsidRPr="001E2674">
        <w:tab/>
      </w:r>
      <w:r w:rsidRPr="001E2674">
        <w:tab/>
        <w:t>Transmitted by the Government</w:t>
      </w:r>
      <w:r>
        <w:t>s</w:t>
      </w:r>
      <w:r w:rsidRPr="001E2674">
        <w:t xml:space="preserve"> of </w:t>
      </w:r>
      <w:r>
        <w:t>Sweden and Spain</w:t>
      </w:r>
      <w:r w:rsidRPr="008021DB">
        <w:rPr>
          <w:rStyle w:val="FootnoteReference"/>
          <w:b w:val="0"/>
        </w:rPr>
        <w:footnoteReference w:id="2"/>
      </w:r>
      <w:r w:rsidRPr="00381475">
        <w:rPr>
          <w:b w:val="0"/>
          <w:sz w:val="18"/>
          <w:szCs w:val="18"/>
          <w:vertAlign w:val="superscript"/>
        </w:rPr>
        <w:t>,</w:t>
      </w:r>
      <w:r>
        <w:rPr>
          <w:b w:val="0"/>
          <w:sz w:val="18"/>
          <w:szCs w:val="18"/>
        </w:rPr>
        <w:t xml:space="preserve"> </w:t>
      </w:r>
      <w:r w:rsidRPr="008021DB">
        <w:rPr>
          <w:rStyle w:val="FootnoteReference"/>
          <w:b w:val="0"/>
        </w:rPr>
        <w:footnoteReference w:id="3"/>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A852DC" w:rsidRPr="00E940D0" w:rsidTr="00144B9D">
        <w:trPr>
          <w:jc w:val="center"/>
        </w:trPr>
        <w:tc>
          <w:tcPr>
            <w:tcW w:w="9637" w:type="dxa"/>
            <w:shd w:val="clear" w:color="auto" w:fill="auto"/>
          </w:tcPr>
          <w:p w:rsidR="00A852DC" w:rsidRPr="00E940D0" w:rsidRDefault="00A852DC" w:rsidP="00144B9D">
            <w:pPr>
              <w:spacing w:before="240" w:after="120"/>
              <w:rPr>
                <w:i/>
                <w:sz w:val="24"/>
              </w:rPr>
            </w:pPr>
            <w:r>
              <w:rPr>
                <w:i/>
                <w:sz w:val="24"/>
              </w:rPr>
              <w:t xml:space="preserve">   </w:t>
            </w:r>
            <w:r w:rsidRPr="00E940D0">
              <w:rPr>
                <w:i/>
                <w:sz w:val="24"/>
              </w:rPr>
              <w:t>Summary</w:t>
            </w:r>
          </w:p>
        </w:tc>
      </w:tr>
      <w:tr w:rsidR="00A852DC" w:rsidRPr="002C6E9A" w:rsidTr="00144B9D">
        <w:trPr>
          <w:jc w:val="center"/>
        </w:trPr>
        <w:tc>
          <w:tcPr>
            <w:tcW w:w="9637" w:type="dxa"/>
            <w:shd w:val="clear" w:color="auto" w:fill="auto"/>
          </w:tcPr>
          <w:p w:rsidR="00A852DC" w:rsidRPr="002C6E9A" w:rsidRDefault="00A852DC" w:rsidP="00144B9D">
            <w:pPr>
              <w:pStyle w:val="SingleTxtG"/>
              <w:ind w:left="3401" w:hanging="2268"/>
            </w:pPr>
            <w:r w:rsidRPr="002C6E9A">
              <w:rPr>
                <w:b/>
              </w:rPr>
              <w:t>Executive summary</w:t>
            </w:r>
            <w:r w:rsidRPr="002C6E9A">
              <w:t>:</w:t>
            </w:r>
            <w:r w:rsidRPr="002C6E9A">
              <w:tab/>
              <w:t xml:space="preserve">The aim </w:t>
            </w:r>
            <w:r>
              <w:t>of</w:t>
            </w:r>
            <w:r w:rsidRPr="002C6E9A">
              <w:t xml:space="preserve"> this proposal is to align the texts concerning loaders obligations for different </w:t>
            </w:r>
            <w:r>
              <w:t>means of containments</w:t>
            </w:r>
            <w:r w:rsidRPr="002C6E9A">
              <w:t xml:space="preserve"> in Chapters 1.2, 1.4 and 7.5</w:t>
            </w:r>
            <w:r>
              <w:t xml:space="preserve"> and to clarify the relation between “loader” and “loading” and “unloader” and “unloading”</w:t>
            </w:r>
            <w:r w:rsidRPr="002C6E9A">
              <w:t>.</w:t>
            </w:r>
          </w:p>
        </w:tc>
      </w:tr>
      <w:tr w:rsidR="00A852DC" w:rsidTr="00144B9D">
        <w:trPr>
          <w:jc w:val="center"/>
        </w:trPr>
        <w:tc>
          <w:tcPr>
            <w:tcW w:w="9637" w:type="dxa"/>
            <w:shd w:val="clear" w:color="auto" w:fill="auto"/>
          </w:tcPr>
          <w:p w:rsidR="00A852DC" w:rsidRDefault="00A852DC" w:rsidP="00144B9D">
            <w:pPr>
              <w:spacing w:after="120"/>
            </w:pPr>
            <w:r w:rsidRPr="00E940D0">
              <w:rPr>
                <w:b/>
              </w:rPr>
              <w:tab/>
            </w:r>
            <w:r w:rsidRPr="00E940D0">
              <w:rPr>
                <w:b/>
              </w:rPr>
              <w:tab/>
              <w:t>Action to be taken</w:t>
            </w:r>
            <w:r w:rsidRPr="000E0315">
              <w:t xml:space="preserve">: </w:t>
            </w:r>
            <w:r w:rsidRPr="000E0315">
              <w:tab/>
            </w:r>
            <w:r>
              <w:tab/>
              <w:t>Amend the proposed texts.</w:t>
            </w:r>
          </w:p>
        </w:tc>
      </w:tr>
      <w:tr w:rsidR="00A852DC" w:rsidRPr="00E940D0" w:rsidTr="00144B9D">
        <w:trPr>
          <w:jc w:val="center"/>
        </w:trPr>
        <w:tc>
          <w:tcPr>
            <w:tcW w:w="9637" w:type="dxa"/>
            <w:shd w:val="clear" w:color="auto" w:fill="auto"/>
          </w:tcPr>
          <w:p w:rsidR="00A852DC" w:rsidRDefault="00A852DC" w:rsidP="00144B9D">
            <w:r w:rsidRPr="00E940D0">
              <w:rPr>
                <w:b/>
              </w:rPr>
              <w:tab/>
            </w:r>
            <w:r w:rsidRPr="00E940D0">
              <w:rPr>
                <w:b/>
              </w:rPr>
              <w:tab/>
              <w:t>Related documents:</w:t>
            </w:r>
            <w:r w:rsidRPr="00E940D0">
              <w:rPr>
                <w:b/>
              </w:rPr>
              <w:tab/>
            </w:r>
            <w:r w:rsidRPr="00E940D0">
              <w:rPr>
                <w:b/>
              </w:rPr>
              <w:tab/>
            </w:r>
            <w:r>
              <w:t>OTIF/RID/CE/GTP/2014/17 (Sweden)</w:t>
            </w:r>
          </w:p>
          <w:p w:rsidR="00A852DC" w:rsidRDefault="00A852DC" w:rsidP="00144B9D">
            <w:pPr>
              <w:ind w:left="3401"/>
            </w:pPr>
            <w:r w:rsidRPr="00984921">
              <w:t>ECE/TRANS/WP.15/AC.1/2015/6</w:t>
            </w:r>
            <w:r>
              <w:t xml:space="preserve"> (Sweden)</w:t>
            </w:r>
          </w:p>
          <w:p w:rsidR="00A852DC" w:rsidRDefault="00A852DC" w:rsidP="00144B9D">
            <w:pPr>
              <w:ind w:left="3401"/>
            </w:pPr>
            <w:r w:rsidRPr="00984921">
              <w:t>ECE/TRANS/WP.15/AC.1/2015/</w:t>
            </w:r>
            <w:r>
              <w:t>7 (Spain)</w:t>
            </w:r>
          </w:p>
          <w:p w:rsidR="00A852DC" w:rsidRDefault="00A852DC" w:rsidP="00144B9D">
            <w:pPr>
              <w:ind w:left="3401"/>
            </w:pPr>
            <w:r w:rsidRPr="00984921">
              <w:t>ECE/TRANS/WP.15/AC.1/2015/</w:t>
            </w:r>
            <w:r>
              <w:t>INF.46 (Sweden and Spain)</w:t>
            </w:r>
          </w:p>
          <w:p w:rsidR="00A852DC" w:rsidRPr="00E940D0" w:rsidRDefault="00A852DC" w:rsidP="00144B9D">
            <w:pPr>
              <w:ind w:left="3401"/>
              <w:rPr>
                <w:b/>
              </w:rPr>
            </w:pPr>
            <w:r w:rsidRPr="00984921">
              <w:t>ECE/TRANS/WP.15/AC.1/2015/</w:t>
            </w:r>
            <w:r>
              <w:t>INF.47 (Sweden and Spain)</w:t>
            </w:r>
          </w:p>
        </w:tc>
      </w:tr>
      <w:tr w:rsidR="00A852DC" w:rsidRPr="00E940D0" w:rsidTr="00144B9D">
        <w:trPr>
          <w:jc w:val="center"/>
        </w:trPr>
        <w:tc>
          <w:tcPr>
            <w:tcW w:w="9637" w:type="dxa"/>
            <w:shd w:val="clear" w:color="auto" w:fill="auto"/>
          </w:tcPr>
          <w:p w:rsidR="00A852DC" w:rsidRPr="00E940D0" w:rsidRDefault="00A852DC" w:rsidP="00144B9D">
            <w:pPr>
              <w:rPr>
                <w:b/>
              </w:rPr>
            </w:pPr>
          </w:p>
        </w:tc>
      </w:tr>
    </w:tbl>
    <w:p w:rsidR="00A852DC" w:rsidRPr="00372ED4" w:rsidRDefault="00A852DC" w:rsidP="00A852DC"/>
    <w:p w:rsidR="00A852DC" w:rsidRPr="00AF0503" w:rsidRDefault="00A852DC" w:rsidP="00A852DC">
      <w:pPr>
        <w:pStyle w:val="HChG"/>
        <w:ind w:left="567" w:hanging="567"/>
      </w:pPr>
      <w:r w:rsidRPr="00372ED4">
        <w:rPr>
          <w:lang w:val="en-GB"/>
        </w:rPr>
        <w:lastRenderedPageBreak/>
        <w:tab/>
      </w:r>
      <w:r w:rsidRPr="00372ED4">
        <w:rPr>
          <w:lang w:val="en-GB"/>
        </w:rPr>
        <w:tab/>
      </w:r>
      <w:r w:rsidRPr="00372ED4">
        <w:rPr>
          <w:lang w:val="en-GB"/>
        </w:rPr>
        <w:tab/>
      </w:r>
      <w:r>
        <w:t>Introduction</w:t>
      </w:r>
    </w:p>
    <w:p w:rsidR="00A852DC" w:rsidRPr="009B40D6" w:rsidRDefault="00A852DC" w:rsidP="00A852DC">
      <w:pPr>
        <w:pStyle w:val="SingleTxtG"/>
        <w:rPr>
          <w:rFonts w:eastAsia="MS Mincho"/>
        </w:rPr>
      </w:pPr>
      <w:r>
        <w:rPr>
          <w:rFonts w:eastAsia="MS Mincho"/>
        </w:rPr>
        <w:t>1.</w:t>
      </w:r>
      <w:r w:rsidRPr="009B40D6">
        <w:rPr>
          <w:rFonts w:eastAsia="MS Mincho"/>
        </w:rPr>
        <w:tab/>
        <w:t xml:space="preserve">At the Joint-meeting in March 2015, Sweden presented </w:t>
      </w:r>
      <w:r w:rsidRPr="009B40D6">
        <w:t xml:space="preserve">document </w:t>
      </w:r>
      <w:r w:rsidRPr="00673F24">
        <w:rPr>
          <w:lang w:val="en-GB"/>
        </w:rPr>
        <w:t>E</w:t>
      </w:r>
      <w:r>
        <w:rPr>
          <w:lang w:val="en-GB"/>
        </w:rPr>
        <w:t>CE/TRANS/WP.15/AC.1/</w:t>
      </w:r>
      <w:r w:rsidRPr="009B40D6">
        <w:t>2015/6 and suggested to amend the obligations for the loader in 1.4.3.1 and 7.5, in order to specify all the different means of containment that are defined in section 1.2.1.</w:t>
      </w:r>
      <w:r w:rsidRPr="009B40D6">
        <w:rPr>
          <w:rFonts w:eastAsia="MS Mincho"/>
        </w:rPr>
        <w:t xml:space="preserve"> </w:t>
      </w:r>
    </w:p>
    <w:p w:rsidR="00A852DC" w:rsidRPr="009B40D6" w:rsidRDefault="00A852DC" w:rsidP="00A852DC">
      <w:pPr>
        <w:pStyle w:val="SingleTxtG"/>
        <w:rPr>
          <w:rFonts w:eastAsia="MS Mincho"/>
        </w:rPr>
      </w:pPr>
      <w:r w:rsidRPr="009B40D6">
        <w:rPr>
          <w:rFonts w:eastAsia="MS Mincho"/>
        </w:rPr>
        <w:t>2.</w:t>
      </w:r>
      <w:r w:rsidRPr="009B40D6">
        <w:rPr>
          <w:rFonts w:eastAsia="MS Mincho"/>
        </w:rPr>
        <w:tab/>
        <w:t xml:space="preserve">At the same meeting Spain presented </w:t>
      </w:r>
      <w:r w:rsidRPr="009B40D6">
        <w:t xml:space="preserve">document </w:t>
      </w:r>
      <w:r w:rsidRPr="00673F24">
        <w:rPr>
          <w:lang w:val="en-GB"/>
        </w:rPr>
        <w:t>E</w:t>
      </w:r>
      <w:r>
        <w:rPr>
          <w:lang w:val="en-GB"/>
        </w:rPr>
        <w:t>CE/TRANS/WP.15/AC.1/</w:t>
      </w:r>
      <w:r w:rsidRPr="009B40D6">
        <w:t>2015/7, which analysed the differences for the concept of loader/loading and unloader/unloading between the note under 7.5/7.5.1 and the definitions under 1.2.1.</w:t>
      </w:r>
    </w:p>
    <w:p w:rsidR="00A852DC" w:rsidRPr="009B40D6" w:rsidRDefault="00A852DC" w:rsidP="00A852DC">
      <w:pPr>
        <w:pStyle w:val="SingleTxtG"/>
        <w:rPr>
          <w:rFonts w:eastAsia="MS Mincho"/>
        </w:rPr>
      </w:pPr>
      <w:r>
        <w:rPr>
          <w:rFonts w:eastAsia="MS Mincho"/>
        </w:rPr>
        <w:t>3.</w:t>
      </w:r>
      <w:r w:rsidRPr="009B40D6">
        <w:rPr>
          <w:rFonts w:eastAsia="MS Mincho"/>
        </w:rPr>
        <w:tab/>
        <w:t xml:space="preserve">During the joint discussion of these documents it became apparent that the clarification stated in the note under 7.5/7.5.1 might be applicable in other parts of the text. To achieve clarity in relation with the concept of loader and unloader, it was suggested that a link between loader and loading and unloader and unloading was needed. </w:t>
      </w:r>
    </w:p>
    <w:p w:rsidR="00A852DC" w:rsidRPr="009B40D6" w:rsidRDefault="00A852DC" w:rsidP="00A852DC">
      <w:pPr>
        <w:pStyle w:val="SingleTxtG"/>
        <w:rPr>
          <w:rFonts w:eastAsia="MS Mincho"/>
        </w:rPr>
      </w:pPr>
      <w:r w:rsidRPr="009B40D6">
        <w:rPr>
          <w:rFonts w:eastAsia="MS Mincho"/>
        </w:rPr>
        <w:t>4.</w:t>
      </w:r>
      <w:r w:rsidRPr="009B40D6">
        <w:rPr>
          <w:rFonts w:eastAsia="MS Mincho"/>
        </w:rPr>
        <w:tab/>
        <w:t>Since the March session a modified proposal has been prepared by Sweden and Spain and circulated to interested delegations for their further comments and suggestions. Additional written comments have been received from the OTIF Secretariat.</w:t>
      </w:r>
    </w:p>
    <w:p w:rsidR="00A852DC" w:rsidRPr="00F62758" w:rsidRDefault="00A852DC" w:rsidP="00A852DC">
      <w:pPr>
        <w:pStyle w:val="HChG"/>
      </w:pPr>
      <w:r w:rsidRPr="00236E00">
        <w:rPr>
          <w:lang w:val="en-GB"/>
        </w:rPr>
        <w:tab/>
      </w:r>
      <w:r w:rsidRPr="00236E00">
        <w:rPr>
          <w:lang w:val="en-GB"/>
        </w:rPr>
        <w:tab/>
      </w:r>
      <w:r w:rsidRPr="00F62758">
        <w:t>Analysis</w:t>
      </w:r>
    </w:p>
    <w:p w:rsidR="00A852DC" w:rsidRPr="009B40D6" w:rsidRDefault="00A852DC" w:rsidP="00A852DC">
      <w:pPr>
        <w:pStyle w:val="SingleTxtG"/>
        <w:rPr>
          <w:rFonts w:eastAsia="MS Mincho"/>
        </w:rPr>
      </w:pPr>
      <w:r>
        <w:rPr>
          <w:rFonts w:eastAsia="MS Mincho"/>
        </w:rPr>
        <w:t>5.</w:t>
      </w:r>
      <w:r w:rsidRPr="009B40D6">
        <w:rPr>
          <w:rFonts w:eastAsia="MS Mincho"/>
        </w:rPr>
        <w:tab/>
        <w:t>The definitions for loader and unloader given in 1.2.1 are</w:t>
      </w:r>
      <w:r>
        <w:rPr>
          <w:rFonts w:eastAsia="MS Mincho"/>
        </w:rPr>
        <w:t xml:space="preserve"> (changes adopted at the</w:t>
      </w:r>
      <w:r w:rsidRPr="00673F24">
        <w:rPr>
          <w:rFonts w:eastAsia="MS Mincho"/>
          <w:lang w:val="en-GB"/>
        </w:rPr>
        <w:t xml:space="preserve"> fourth session of the </w:t>
      </w:r>
      <w:r w:rsidR="00714C94">
        <w:rPr>
          <w:rFonts w:eastAsia="MS Mincho"/>
          <w:lang w:val="en-GB"/>
        </w:rPr>
        <w:t xml:space="preserve">RID </w:t>
      </w:r>
      <w:r w:rsidRPr="00673F24">
        <w:rPr>
          <w:rFonts w:eastAsia="MS Mincho"/>
          <w:lang w:val="en-GB"/>
        </w:rPr>
        <w:t>Committee of Experts</w:t>
      </w:r>
      <w:r>
        <w:rPr>
          <w:rFonts w:eastAsia="MS Mincho"/>
          <w:lang w:val="en-GB"/>
        </w:rPr>
        <w:t>’ standing working group (November 2014)</w:t>
      </w:r>
      <w:r w:rsidR="00714C94">
        <w:rPr>
          <w:rFonts w:eastAsia="MS Mincho"/>
          <w:lang w:val="en-GB"/>
        </w:rPr>
        <w:t xml:space="preserve"> </w:t>
      </w:r>
      <w:r w:rsidRPr="009B40D6">
        <w:rPr>
          <w:rFonts w:eastAsia="MS Mincho"/>
        </w:rPr>
        <w:t xml:space="preserve">are underlined or stricken out and are only valid for RID): </w:t>
      </w:r>
      <w:r w:rsidRPr="009B40D6">
        <w:rPr>
          <w:rFonts w:eastAsia="MS Mincho"/>
        </w:rPr>
        <w:tab/>
      </w:r>
    </w:p>
    <w:p w:rsidR="00A852DC" w:rsidRPr="00372ED4" w:rsidRDefault="00A852DC" w:rsidP="00A852DC">
      <w:pPr>
        <w:pStyle w:val="SingleTxtG"/>
        <w:rPr>
          <w:b/>
        </w:rPr>
      </w:pPr>
      <w:r>
        <w:rPr>
          <w:b/>
        </w:rPr>
        <w:t>“1.2.1</w:t>
      </w:r>
      <w:r w:rsidRPr="00236E00">
        <w:rPr>
          <w:b/>
          <w:lang w:val="en-GB"/>
        </w:rPr>
        <w:tab/>
      </w:r>
      <w:r w:rsidRPr="00372ED4">
        <w:rPr>
          <w:b/>
        </w:rPr>
        <w:t>Definitions</w:t>
      </w:r>
    </w:p>
    <w:p w:rsidR="00A852DC" w:rsidRPr="009B40D6" w:rsidRDefault="00A852DC" w:rsidP="00A852DC">
      <w:pPr>
        <w:pStyle w:val="SingleTxtG"/>
      </w:pPr>
      <w:r w:rsidRPr="009B40D6">
        <w:tab/>
        <w:t>"Loader" means any enterprise which:</w:t>
      </w:r>
    </w:p>
    <w:p w:rsidR="00A852DC" w:rsidRPr="009B40D6" w:rsidRDefault="00A852DC" w:rsidP="00A852DC">
      <w:pPr>
        <w:pStyle w:val="SingleTxtG"/>
        <w:ind w:left="1701"/>
      </w:pPr>
      <w:r w:rsidRPr="009B40D6">
        <w:t>(a)</w:t>
      </w:r>
      <w:r w:rsidRPr="009B40D6">
        <w:tab/>
        <w:t>Loads packaged dangerous goods, small containers or portable tanks into or onto a wagon/vehicle or a container; or</w:t>
      </w:r>
    </w:p>
    <w:p w:rsidR="00A852DC" w:rsidRDefault="00A852DC" w:rsidP="00A852DC">
      <w:pPr>
        <w:pStyle w:val="SingleTxtG"/>
        <w:ind w:left="1701"/>
        <w:rPr>
          <w:lang w:val="en-US"/>
        </w:rPr>
      </w:pPr>
      <w:r>
        <w:rPr>
          <w:lang w:val="en-US"/>
        </w:rPr>
        <w:t>(b)</w:t>
      </w:r>
      <w:r>
        <w:rPr>
          <w:lang w:val="en-US"/>
        </w:rPr>
        <w:tab/>
      </w:r>
      <w:r w:rsidRPr="009D009C">
        <w:rPr>
          <w:lang w:val="en-US"/>
        </w:rPr>
        <w:t>Loads a container, bulk-co</w:t>
      </w:r>
      <w:r>
        <w:rPr>
          <w:lang w:val="en-US"/>
        </w:rPr>
        <w:t>ntainer, MEGC, tank-container</w:t>
      </w:r>
      <w:r w:rsidRPr="009C46FF">
        <w:rPr>
          <w:u w:val="single"/>
          <w:lang w:val="en-US"/>
        </w:rPr>
        <w:t xml:space="preserve">, </w:t>
      </w:r>
      <w:r w:rsidRPr="009C46FF">
        <w:rPr>
          <w:strike/>
          <w:u w:val="single"/>
          <w:lang w:val="en-US"/>
        </w:rPr>
        <w:t>or</w:t>
      </w:r>
      <w:r w:rsidRPr="00CC1298">
        <w:rPr>
          <w:strike/>
          <w:lang w:val="en-US"/>
        </w:rPr>
        <w:t xml:space="preserve"> </w:t>
      </w:r>
      <w:r w:rsidRPr="009D009C">
        <w:rPr>
          <w:lang w:val="en-US"/>
        </w:rPr>
        <w:t xml:space="preserve">portable tank </w:t>
      </w:r>
      <w:r w:rsidRPr="009C46FF">
        <w:rPr>
          <w:u w:val="single"/>
          <w:lang w:val="en-US"/>
        </w:rPr>
        <w:t>or road vehicle</w:t>
      </w:r>
      <w:r w:rsidRPr="00CC1298">
        <w:rPr>
          <w:u w:val="single"/>
          <w:lang w:val="en-US"/>
        </w:rPr>
        <w:t xml:space="preserve"> </w:t>
      </w:r>
      <w:r w:rsidRPr="009D009C">
        <w:rPr>
          <w:lang w:val="en-US"/>
        </w:rPr>
        <w:t xml:space="preserve">onto a </w:t>
      </w:r>
      <w:r>
        <w:rPr>
          <w:lang w:val="en-US"/>
        </w:rPr>
        <w:t>wagon/vehicle.</w:t>
      </w:r>
    </w:p>
    <w:p w:rsidR="00A852DC" w:rsidRPr="00566366" w:rsidRDefault="00A852DC" w:rsidP="00A852DC">
      <w:pPr>
        <w:pStyle w:val="SingleTxtG"/>
        <w:ind w:left="1701"/>
        <w:rPr>
          <w:lang w:val="en-US"/>
        </w:rPr>
      </w:pPr>
      <w:r w:rsidRPr="001F1CDD">
        <w:t>"Unloader"</w:t>
      </w:r>
      <w:r w:rsidRPr="009D009C">
        <w:rPr>
          <w:b/>
          <w:sz w:val="22"/>
          <w:szCs w:val="22"/>
        </w:rPr>
        <w:t xml:space="preserve"> </w:t>
      </w:r>
      <w:r w:rsidRPr="009D009C">
        <w:t>means any enterprise which:</w:t>
      </w:r>
    </w:p>
    <w:p w:rsidR="00A852DC" w:rsidRPr="009D009C" w:rsidRDefault="00A852DC" w:rsidP="00A852DC">
      <w:pPr>
        <w:pStyle w:val="SingleTxtG"/>
        <w:ind w:left="1701"/>
        <w:rPr>
          <w:lang w:val="en-US"/>
        </w:rPr>
      </w:pPr>
      <w:r>
        <w:rPr>
          <w:lang w:val="en-US"/>
        </w:rPr>
        <w:t>(a)</w:t>
      </w:r>
      <w:r>
        <w:rPr>
          <w:lang w:val="en-US"/>
        </w:rPr>
        <w:tab/>
      </w:r>
      <w:r w:rsidRPr="009D009C">
        <w:rPr>
          <w:lang w:val="en-US"/>
        </w:rPr>
        <w:t xml:space="preserve">Removes a container, bulk-container, MEGC, tank-container, </w:t>
      </w:r>
      <w:r w:rsidRPr="009C46FF">
        <w:rPr>
          <w:strike/>
          <w:u w:val="single"/>
          <w:lang w:val="en-US"/>
        </w:rPr>
        <w:t xml:space="preserve">or </w:t>
      </w:r>
      <w:r w:rsidRPr="009D009C">
        <w:rPr>
          <w:lang w:val="en-US"/>
        </w:rPr>
        <w:t xml:space="preserve">portable tank </w:t>
      </w:r>
      <w:r w:rsidRPr="009C46FF">
        <w:rPr>
          <w:u w:val="single"/>
          <w:lang w:val="en-US"/>
        </w:rPr>
        <w:t>or road vehicle</w:t>
      </w:r>
      <w:r w:rsidRPr="009D009C">
        <w:rPr>
          <w:lang w:val="en-US"/>
        </w:rPr>
        <w:t xml:space="preserve"> from a wagon</w:t>
      </w:r>
      <w:r>
        <w:rPr>
          <w:lang w:val="en-US"/>
        </w:rPr>
        <w:t>/vehicle</w:t>
      </w:r>
      <w:r w:rsidRPr="009D009C">
        <w:rPr>
          <w:lang w:val="en-US"/>
        </w:rPr>
        <w:t>; or</w:t>
      </w:r>
    </w:p>
    <w:p w:rsidR="00A852DC" w:rsidRPr="009B40D6" w:rsidRDefault="00A852DC" w:rsidP="00A852DC">
      <w:pPr>
        <w:pStyle w:val="SingleTxtG"/>
        <w:ind w:left="1701"/>
      </w:pPr>
      <w:r w:rsidRPr="009B40D6">
        <w:t>(b)</w:t>
      </w:r>
      <w:r w:rsidRPr="009B40D6">
        <w:tab/>
        <w:t>Unloads packaged dangerous goods, small containers or portable tanks out of or from a wagon/vehicle or a container; or</w:t>
      </w:r>
    </w:p>
    <w:p w:rsidR="00A852DC" w:rsidRPr="009B40D6" w:rsidRDefault="00A852DC" w:rsidP="00A852DC">
      <w:pPr>
        <w:pStyle w:val="SingleTxtG"/>
        <w:ind w:left="1701"/>
      </w:pPr>
      <w:r w:rsidRPr="009B40D6">
        <w:t>(c)</w:t>
      </w:r>
      <w:r w:rsidRPr="009B40D6">
        <w:tab/>
        <w:t>Discharges dangerous goods from a tank (tank-wagon/vehicle, demountable tank, portable tank or tank-container) or from a battery-wagon/vehicle (ADR only:) , MEMU or MEGC or from a wagon/vehicle, large container or small container for carriage in bulk or a bulk-container.</w:t>
      </w:r>
    </w:p>
    <w:p w:rsidR="00A852DC" w:rsidRPr="009B40D6" w:rsidRDefault="00A852DC" w:rsidP="00A852DC">
      <w:pPr>
        <w:pStyle w:val="SingleTxtG"/>
        <w:rPr>
          <w:rFonts w:eastAsia="MS Mincho"/>
        </w:rPr>
      </w:pPr>
      <w:r>
        <w:rPr>
          <w:rFonts w:eastAsia="MS Mincho"/>
        </w:rPr>
        <w:t>6.</w:t>
      </w:r>
      <w:r w:rsidRPr="009B40D6">
        <w:rPr>
          <w:rFonts w:eastAsia="MS Mincho"/>
        </w:rPr>
        <w:tab/>
        <w:t>The correlation between loader and loading could be considered as quite straightforward, but this correlation is not as clear for unloader and unloading, because in the definition of unloader the verb “unloading” is only used in one of the three indents. In fact, the note under 1.4.3.7 (“NOTE: In this sub-section, unloading covers removal, unloading, and discharging as indicated in the definition of unloader in 1.2.1.”) seems to corroborate this.</w:t>
      </w:r>
    </w:p>
    <w:p w:rsidR="00A852DC" w:rsidRPr="009B40D6" w:rsidRDefault="00A852DC" w:rsidP="00A852DC">
      <w:pPr>
        <w:pStyle w:val="SingleTxtG"/>
        <w:rPr>
          <w:rFonts w:eastAsia="MS Mincho"/>
        </w:rPr>
      </w:pPr>
      <w:r>
        <w:rPr>
          <w:rFonts w:eastAsia="MS Mincho"/>
        </w:rPr>
        <w:t>7.</w:t>
      </w:r>
      <w:r w:rsidRPr="009B40D6">
        <w:rPr>
          <w:rFonts w:eastAsia="MS Mincho"/>
        </w:rPr>
        <w:tab/>
        <w:t>A possible solution would be to include the following wording as new definitions for loading and unloading in 1.2.1:</w:t>
      </w:r>
    </w:p>
    <w:p w:rsidR="00A852DC" w:rsidRPr="009B40D6" w:rsidRDefault="00A852DC" w:rsidP="00A852DC">
      <w:pPr>
        <w:pStyle w:val="SingleTxtG"/>
        <w:ind w:left="1701"/>
        <w:rPr>
          <w:rFonts w:eastAsia="MS Mincho"/>
        </w:rPr>
      </w:pPr>
      <w:r w:rsidRPr="009B40D6">
        <w:rPr>
          <w:rFonts w:eastAsia="MS Mincho"/>
        </w:rPr>
        <w:lastRenderedPageBreak/>
        <w:t>“Loading” means all actions carried out by the “loader”.</w:t>
      </w:r>
    </w:p>
    <w:p w:rsidR="00A852DC" w:rsidRPr="009B40D6" w:rsidRDefault="00A852DC" w:rsidP="00A852DC">
      <w:pPr>
        <w:pStyle w:val="SingleTxtG"/>
        <w:ind w:left="1701"/>
        <w:rPr>
          <w:rFonts w:eastAsia="MS Mincho"/>
        </w:rPr>
      </w:pPr>
      <w:r w:rsidRPr="009B40D6">
        <w:rPr>
          <w:rFonts w:eastAsia="MS Mincho"/>
        </w:rPr>
        <w:t>“Unloading” means all actions carried out by the “unloader”.</w:t>
      </w:r>
    </w:p>
    <w:p w:rsidR="00A852DC" w:rsidRPr="009B40D6" w:rsidRDefault="00A852DC" w:rsidP="00A852DC">
      <w:pPr>
        <w:pStyle w:val="SingleTxtG"/>
        <w:rPr>
          <w:rFonts w:eastAsia="MS Mincho"/>
        </w:rPr>
      </w:pPr>
      <w:r>
        <w:rPr>
          <w:rFonts w:eastAsia="MS Mincho"/>
        </w:rPr>
        <w:t>8.</w:t>
      </w:r>
      <w:r w:rsidRPr="009B40D6">
        <w:rPr>
          <w:rFonts w:eastAsia="MS Mincho"/>
        </w:rPr>
        <w:tab/>
        <w:t xml:space="preserve">The terms loading and unloading are widely used in RID/ADR, while in fact loader and unloader are only used a few times. In most occasions, when loading and unloading is used, this refers to all the actions stated in the respective definition, which means (a) – (b) under “loader” and (a) – (c) under “unloader”. </w:t>
      </w:r>
    </w:p>
    <w:p w:rsidR="00A852DC" w:rsidRPr="009B40D6" w:rsidRDefault="00A852DC" w:rsidP="00A852DC">
      <w:pPr>
        <w:pStyle w:val="SingleTxtG"/>
        <w:rPr>
          <w:rFonts w:eastAsia="MS Mincho"/>
        </w:rPr>
      </w:pPr>
      <w:r>
        <w:rPr>
          <w:rFonts w:eastAsia="MS Mincho"/>
        </w:rPr>
        <w:t>9.</w:t>
      </w:r>
      <w:r w:rsidRPr="009B40D6">
        <w:rPr>
          <w:rFonts w:eastAsia="MS Mincho"/>
        </w:rPr>
        <w:tab/>
        <w:t>For the term “loading”, the only way to differentiate between the actions stated in (a) and (b) under the definition of “loader” is to include additional text, which has been done in the present text in different parts of RID/ADR.</w:t>
      </w:r>
    </w:p>
    <w:p w:rsidR="00A852DC" w:rsidRPr="009B40D6" w:rsidRDefault="00A852DC" w:rsidP="00A852DC">
      <w:pPr>
        <w:pStyle w:val="SingleTxtG"/>
        <w:rPr>
          <w:rFonts w:eastAsia="MS Mincho"/>
        </w:rPr>
      </w:pPr>
      <w:r w:rsidRPr="009B40D6">
        <w:rPr>
          <w:rFonts w:eastAsia="MS Mincho"/>
        </w:rPr>
        <w:t>10.</w:t>
      </w:r>
      <w:r w:rsidRPr="009B40D6">
        <w:rPr>
          <w:rFonts w:eastAsia="MS Mincho"/>
        </w:rPr>
        <w:tab/>
        <w:t xml:space="preserve">In the present text, the term “unloading”, depending on the circumstances, is used in the provisions to refer to parts of these activities or to all of them. </w:t>
      </w:r>
    </w:p>
    <w:p w:rsidR="00A852DC" w:rsidRPr="009B40D6" w:rsidRDefault="00A852DC" w:rsidP="00A852DC">
      <w:pPr>
        <w:pStyle w:val="SingleTxtG"/>
        <w:rPr>
          <w:rFonts w:eastAsia="MS Mincho"/>
        </w:rPr>
      </w:pPr>
      <w:r w:rsidRPr="009B40D6">
        <w:rPr>
          <w:rFonts w:eastAsia="MS Mincho"/>
        </w:rPr>
        <w:t>11.</w:t>
      </w:r>
      <w:r w:rsidRPr="009B40D6">
        <w:rPr>
          <w:rFonts w:eastAsia="MS Mincho"/>
        </w:rPr>
        <w:tab/>
        <w:t>The terms “ unloads” and “unloading” have been searched out and analysed to see if “unloads”/”unloading” covers all actions stated in (a) - (c) under the definition of unloader, as shown in the Annex. Several consequential amendments could be done to improve clarity, but are not thought to be strictly necessary:</w:t>
      </w:r>
    </w:p>
    <w:p w:rsidR="00A852DC" w:rsidRDefault="00A852DC" w:rsidP="00A852DC">
      <w:pPr>
        <w:pStyle w:val="SingleTxtG"/>
        <w:ind w:left="1701"/>
        <w:rPr>
          <w:rFonts w:eastAsia="MS Mincho"/>
          <w:lang w:val="en-US" w:eastAsia="ja-JP"/>
        </w:rPr>
      </w:pPr>
      <w:r>
        <w:rPr>
          <w:rFonts w:eastAsia="MS Mincho"/>
          <w:lang w:val="en-US" w:eastAsia="ja-JP"/>
        </w:rPr>
        <w:t>-</w:t>
      </w:r>
      <w:r>
        <w:rPr>
          <w:rFonts w:eastAsia="MS Mincho"/>
          <w:lang w:val="en-US" w:eastAsia="ja-JP"/>
        </w:rPr>
        <w:tab/>
        <w:t xml:space="preserve">1.2.1: in the definition of  </w:t>
      </w:r>
      <w:r w:rsidRPr="00376660">
        <w:rPr>
          <w:rFonts w:cs="Arial"/>
          <w:i/>
          <w:iCs/>
          <w:lang w:val="en-US"/>
        </w:rPr>
        <w:t>Vacuum-operated waste tank</w:t>
      </w:r>
      <w:r>
        <w:rPr>
          <w:rFonts w:eastAsia="MS Mincho"/>
          <w:lang w:val="en-US" w:eastAsia="ja-JP"/>
        </w:rPr>
        <w:t xml:space="preserve">, replace “loading” with “filling” and “unloading” with “discharging” </w:t>
      </w:r>
    </w:p>
    <w:p w:rsidR="00A852DC" w:rsidRDefault="00A852DC" w:rsidP="00A852DC">
      <w:pPr>
        <w:pStyle w:val="SingleTxtG"/>
        <w:ind w:left="1701"/>
        <w:rPr>
          <w:rFonts w:eastAsia="MS Mincho"/>
          <w:lang w:val="en-US" w:eastAsia="ja-JP"/>
        </w:rPr>
      </w:pPr>
      <w:r>
        <w:rPr>
          <w:rFonts w:eastAsia="MS Mincho"/>
          <w:lang w:val="en-US" w:eastAsia="ja-JP"/>
        </w:rPr>
        <w:t>-</w:t>
      </w:r>
      <w:r>
        <w:rPr>
          <w:rFonts w:eastAsia="MS Mincho"/>
          <w:lang w:val="en-US" w:eastAsia="ja-JP"/>
        </w:rPr>
        <w:tab/>
        <w:t xml:space="preserve">1.2.1: in the definition of </w:t>
      </w:r>
      <w:r w:rsidRPr="007A2CBF">
        <w:rPr>
          <w:rFonts w:eastAsia="MS Mincho"/>
          <w:i/>
          <w:lang w:val="en-US" w:eastAsia="ja-JP"/>
        </w:rPr>
        <w:t>Filler</w:t>
      </w:r>
      <w:r>
        <w:rPr>
          <w:rFonts w:eastAsia="MS Mincho"/>
          <w:lang w:val="en-US" w:eastAsia="ja-JP"/>
        </w:rPr>
        <w:t xml:space="preserve"> replace “loads” with “fills”</w:t>
      </w:r>
    </w:p>
    <w:p w:rsidR="00A852DC" w:rsidRDefault="00A852DC" w:rsidP="00A852DC">
      <w:pPr>
        <w:pStyle w:val="SingleTxtG"/>
        <w:ind w:left="1701"/>
        <w:rPr>
          <w:rFonts w:eastAsia="MS Mincho"/>
          <w:lang w:val="en-US" w:eastAsia="ja-JP"/>
        </w:rPr>
      </w:pPr>
      <w:r>
        <w:rPr>
          <w:rFonts w:eastAsia="MS Mincho"/>
          <w:lang w:val="en-US" w:eastAsia="ja-JP"/>
        </w:rPr>
        <w:t>-</w:t>
      </w:r>
      <w:r>
        <w:rPr>
          <w:rFonts w:eastAsia="MS Mincho"/>
          <w:lang w:val="en-US" w:eastAsia="ja-JP"/>
        </w:rPr>
        <w:tab/>
        <w:t xml:space="preserve">P </w:t>
      </w:r>
      <w:r>
        <w:rPr>
          <w:lang w:val="en-US"/>
        </w:rPr>
        <w:t>650, 4.1.1.1, 4.1.3.8.1, 4.1.5.2 (c), 6.7.2.2.12 (d), 6.7.3.2.9 (d), 6.7.4.2.12 (d), 6.7.5.2.2, 6.7.5.2.8 (d), 6.11.4.2:</w:t>
      </w:r>
      <w:r w:rsidRPr="00C847A4">
        <w:rPr>
          <w:rFonts w:eastAsia="MS Mincho"/>
          <w:lang w:val="en-US" w:eastAsia="ja-JP"/>
        </w:rPr>
        <w:t xml:space="preserve"> </w:t>
      </w:r>
      <w:r>
        <w:rPr>
          <w:rFonts w:eastAsia="MS Mincho"/>
          <w:lang w:val="en-US" w:eastAsia="ja-JP"/>
        </w:rPr>
        <w:t>replace “</w:t>
      </w:r>
      <w:r w:rsidRPr="00832EBB">
        <w:rPr>
          <w:rFonts w:eastAsia="MS Mincho"/>
          <w:lang w:val="en-US" w:eastAsia="ja-JP"/>
        </w:rPr>
        <w:t>loading</w:t>
      </w:r>
      <w:r>
        <w:rPr>
          <w:rFonts w:eastAsia="MS Mincho"/>
          <w:lang w:val="en-US" w:eastAsia="ja-JP"/>
        </w:rPr>
        <w:t>”</w:t>
      </w:r>
      <w:r w:rsidRPr="00832EBB">
        <w:rPr>
          <w:rFonts w:eastAsia="MS Mincho"/>
          <w:lang w:val="en-US" w:eastAsia="ja-JP"/>
        </w:rPr>
        <w:t>/</w:t>
      </w:r>
      <w:r>
        <w:rPr>
          <w:rFonts w:eastAsia="MS Mincho"/>
          <w:lang w:val="en-US" w:eastAsia="ja-JP"/>
        </w:rPr>
        <w:t>”</w:t>
      </w:r>
      <w:r w:rsidRPr="00832EBB">
        <w:rPr>
          <w:rFonts w:eastAsia="MS Mincho"/>
          <w:lang w:val="en-US" w:eastAsia="ja-JP"/>
        </w:rPr>
        <w:t>loadings</w:t>
      </w:r>
      <w:r>
        <w:rPr>
          <w:rFonts w:eastAsia="MS Mincho"/>
          <w:lang w:val="en-US" w:eastAsia="ja-JP"/>
        </w:rPr>
        <w:t>”</w:t>
      </w:r>
      <w:r w:rsidRPr="00832EBB">
        <w:rPr>
          <w:rFonts w:eastAsia="MS Mincho"/>
          <w:lang w:val="en-US" w:eastAsia="ja-JP"/>
        </w:rPr>
        <w:t xml:space="preserve"> </w:t>
      </w:r>
      <w:r>
        <w:rPr>
          <w:rFonts w:eastAsia="MS Mincho"/>
          <w:lang w:val="en-US" w:eastAsia="ja-JP"/>
        </w:rPr>
        <w:t>with ”force”/”forces” or “load”/”loads”, as appropriate</w:t>
      </w:r>
    </w:p>
    <w:p w:rsidR="00A852DC" w:rsidRDefault="00A852DC" w:rsidP="00A852DC">
      <w:pPr>
        <w:pStyle w:val="SingleTxtG"/>
        <w:ind w:left="1701"/>
        <w:rPr>
          <w:rFonts w:cs="Arial"/>
          <w:lang w:val="en-US"/>
        </w:rPr>
      </w:pPr>
      <w:r>
        <w:rPr>
          <w:i/>
        </w:rPr>
        <w:t>-</w:t>
      </w:r>
      <w:r w:rsidRPr="00D23ED0">
        <w:rPr>
          <w:i/>
          <w:lang w:val="en-GB"/>
        </w:rPr>
        <w:tab/>
      </w:r>
      <w:r w:rsidRPr="00B07347">
        <w:t>5.5.2.3.4</w:t>
      </w:r>
      <w:r>
        <w:t>:</w:t>
      </w:r>
      <w:r w:rsidRPr="00D27D02">
        <w:rPr>
          <w:i/>
        </w:rPr>
        <w:t xml:space="preserve"> </w:t>
      </w:r>
      <w:r w:rsidRPr="00954826">
        <w:t>include “</w:t>
      </w:r>
      <w:r w:rsidRPr="00954826">
        <w:rPr>
          <w:rFonts w:cs="Arial"/>
          <w:lang w:val="en-US"/>
        </w:rPr>
        <w:t>the fumigated goods or materials”</w:t>
      </w:r>
      <w:r w:rsidRPr="00D27D02">
        <w:rPr>
          <w:rFonts w:cs="Arial"/>
          <w:lang w:val="en-US"/>
        </w:rPr>
        <w:t xml:space="preserve"> </w:t>
      </w:r>
      <w:r>
        <w:rPr>
          <w:rFonts w:cs="Arial"/>
          <w:lang w:val="en-US"/>
        </w:rPr>
        <w:t>before “</w:t>
      </w:r>
      <w:r w:rsidRPr="00D27D02">
        <w:rPr>
          <w:rFonts w:cs="Arial"/>
          <w:lang w:val="en-US"/>
        </w:rPr>
        <w:t>unloaded</w:t>
      </w:r>
      <w:r>
        <w:rPr>
          <w:rFonts w:cs="Arial"/>
          <w:lang w:val="en-US"/>
        </w:rPr>
        <w:t>”</w:t>
      </w:r>
    </w:p>
    <w:p w:rsidR="00A852DC" w:rsidRPr="009A092B" w:rsidRDefault="00A852DC" w:rsidP="00A852DC">
      <w:pPr>
        <w:pStyle w:val="SingleTxtG"/>
        <w:ind w:left="1701"/>
        <w:rPr>
          <w:lang w:val="en-US"/>
        </w:rPr>
      </w:pPr>
      <w:r w:rsidRPr="00954826">
        <w:t>-</w:t>
      </w:r>
      <w:r w:rsidRPr="00D23ED0">
        <w:rPr>
          <w:lang w:val="en-GB"/>
        </w:rPr>
        <w:tab/>
      </w:r>
      <w:r w:rsidRPr="00954826">
        <w:t>7.3.3.2.3</w:t>
      </w:r>
      <w:r>
        <w:t>:</w:t>
      </w:r>
      <w:r w:rsidRPr="00954826">
        <w:t xml:space="preserve"> for AP4, replace “loading and unloading” by “filling and discharging”</w:t>
      </w:r>
    </w:p>
    <w:p w:rsidR="00A852DC" w:rsidRDefault="00A852DC" w:rsidP="00A852DC">
      <w:pPr>
        <w:pStyle w:val="SingleTxtG"/>
        <w:ind w:left="1701"/>
        <w:rPr>
          <w:rFonts w:eastAsia="MS Mincho"/>
          <w:lang w:val="en-US" w:eastAsia="ja-JP"/>
        </w:rPr>
      </w:pPr>
      <w:r>
        <w:rPr>
          <w:rFonts w:eastAsia="MS Mincho"/>
          <w:lang w:val="en-US" w:eastAsia="ja-JP"/>
        </w:rPr>
        <w:t>-</w:t>
      </w:r>
      <w:r>
        <w:rPr>
          <w:rFonts w:eastAsia="MS Mincho"/>
          <w:lang w:val="en-US" w:eastAsia="ja-JP"/>
        </w:rPr>
        <w:tab/>
        <w:t>ADR 7.5.7.4: replace “unloading” with “removal”</w:t>
      </w:r>
    </w:p>
    <w:p w:rsidR="00A852DC" w:rsidRPr="009B40D6" w:rsidRDefault="00A852DC" w:rsidP="00A852DC">
      <w:pPr>
        <w:pStyle w:val="SingleTxtG"/>
      </w:pPr>
      <w:r w:rsidRPr="009B40D6">
        <w:rPr>
          <w:rFonts w:eastAsia="MS Mincho"/>
        </w:rPr>
        <w:t xml:space="preserve">However, some of these changes are on text coming from the UN-Recommendations and therefore should be dealt with by the </w:t>
      </w:r>
      <w:r w:rsidRPr="00673F24">
        <w:rPr>
          <w:rFonts w:eastAsia="MS Mincho"/>
          <w:lang w:val="en-GB"/>
        </w:rPr>
        <w:t>United Nations Sub-Committee of Experts on the Transport of Dangerous Goods</w:t>
      </w:r>
      <w:r w:rsidRPr="009B40D6">
        <w:rPr>
          <w:rFonts w:eastAsia="MS Mincho"/>
        </w:rPr>
        <w:t xml:space="preserve"> first.</w:t>
      </w:r>
    </w:p>
    <w:p w:rsidR="00A852DC" w:rsidRPr="00C711EB" w:rsidRDefault="00A852DC" w:rsidP="00A852DC">
      <w:pPr>
        <w:pStyle w:val="HChG"/>
        <w:rPr>
          <w:lang w:val="en-US"/>
        </w:rPr>
      </w:pPr>
      <w:r w:rsidRPr="00236E00">
        <w:rPr>
          <w:lang w:val="en-GB"/>
        </w:rPr>
        <w:tab/>
      </w:r>
      <w:r w:rsidRPr="00236E00">
        <w:rPr>
          <w:lang w:val="en-GB"/>
        </w:rPr>
        <w:tab/>
      </w:r>
      <w:r>
        <w:t>Proposals</w:t>
      </w:r>
    </w:p>
    <w:p w:rsidR="00A852DC" w:rsidRPr="00F24C4A" w:rsidRDefault="00A852DC" w:rsidP="00A852DC">
      <w:pPr>
        <w:pStyle w:val="SingleTxtG"/>
        <w:rPr>
          <w:rFonts w:eastAsia="MS Mincho"/>
        </w:rPr>
      </w:pPr>
      <w:r>
        <w:rPr>
          <w:rFonts w:eastAsia="MS Mincho"/>
        </w:rPr>
        <w:t>12.</w:t>
      </w:r>
      <w:r w:rsidRPr="00F24C4A">
        <w:rPr>
          <w:rFonts w:eastAsia="MS Mincho"/>
        </w:rPr>
        <w:tab/>
        <w:t xml:space="preserve">The suggested amendments consist of the following four proposals: </w:t>
      </w:r>
    </w:p>
    <w:p w:rsidR="00A852DC" w:rsidRPr="00F24C4A" w:rsidRDefault="00A852DC" w:rsidP="00A852DC">
      <w:pPr>
        <w:pStyle w:val="Bullet1G"/>
        <w:rPr>
          <w:rFonts w:eastAsia="MS Mincho"/>
        </w:rPr>
      </w:pPr>
      <w:r w:rsidRPr="00F24C4A">
        <w:t xml:space="preserve">text in 1.2.1 to include definitions for “loading” and “unloading”, </w:t>
      </w:r>
    </w:p>
    <w:p w:rsidR="00A852DC" w:rsidRPr="00F24C4A" w:rsidRDefault="00A852DC" w:rsidP="00A852DC">
      <w:pPr>
        <w:pStyle w:val="Bullet1G"/>
        <w:rPr>
          <w:rFonts w:eastAsia="MS Mincho"/>
        </w:rPr>
      </w:pPr>
      <w:r w:rsidRPr="00F24C4A">
        <w:rPr>
          <w:rFonts w:eastAsia="MS Mincho"/>
        </w:rPr>
        <w:t xml:space="preserve">text intended to </w:t>
      </w:r>
      <w:r w:rsidRPr="00F24C4A">
        <w:t>simplify 1.4.3.1, and 1.4.3.7,</w:t>
      </w:r>
    </w:p>
    <w:p w:rsidR="00A852DC" w:rsidRPr="00F24C4A" w:rsidRDefault="00A852DC" w:rsidP="00A852DC">
      <w:pPr>
        <w:pStyle w:val="Bullet1G"/>
        <w:rPr>
          <w:rFonts w:eastAsia="MS Mincho"/>
        </w:rPr>
      </w:pPr>
      <w:r w:rsidRPr="00F24C4A">
        <w:t xml:space="preserve">amendments to </w:t>
      </w:r>
      <w:r>
        <w:t xml:space="preserve">Chapter </w:t>
      </w:r>
      <w:r w:rsidRPr="00F24C4A">
        <w:t xml:space="preserve">7.5, to specify all the different means of containment that are defined in section 1.2.1, and </w:t>
      </w:r>
    </w:p>
    <w:p w:rsidR="00A852DC" w:rsidRPr="00F24C4A" w:rsidRDefault="00A852DC" w:rsidP="00A852DC">
      <w:pPr>
        <w:pStyle w:val="Bullet1G"/>
        <w:rPr>
          <w:rFonts w:eastAsia="MS Mincho"/>
        </w:rPr>
      </w:pPr>
      <w:proofErr w:type="gramStart"/>
      <w:r w:rsidRPr="00F24C4A">
        <w:t>optional</w:t>
      </w:r>
      <w:proofErr w:type="gramEnd"/>
      <w:r w:rsidRPr="00F24C4A">
        <w:t xml:space="preserve"> consequential amendments.</w:t>
      </w:r>
    </w:p>
    <w:p w:rsidR="00A852DC" w:rsidRPr="00F24C4A" w:rsidRDefault="00A852DC" w:rsidP="00A852DC">
      <w:pPr>
        <w:pStyle w:val="SingleTxtG"/>
        <w:rPr>
          <w:rFonts w:eastAsia="MS Mincho"/>
        </w:rPr>
      </w:pPr>
      <w:r w:rsidRPr="00F24C4A">
        <w:rPr>
          <w:rFonts w:eastAsia="MS Mincho"/>
        </w:rPr>
        <w:t xml:space="preserve">In the proposals, new text is in italics/stricken out and shaded in grey. </w:t>
      </w:r>
    </w:p>
    <w:p w:rsidR="00A852DC" w:rsidRPr="00B07347" w:rsidRDefault="00A852DC" w:rsidP="00A852DC">
      <w:pPr>
        <w:pStyle w:val="H1G"/>
      </w:pPr>
      <w:r>
        <w:tab/>
      </w:r>
      <w:r>
        <w:tab/>
      </w:r>
      <w:r w:rsidRPr="00B07347">
        <w:t>Proposal 1</w:t>
      </w:r>
    </w:p>
    <w:p w:rsidR="00A852DC" w:rsidRPr="00F24C4A" w:rsidRDefault="00A852DC" w:rsidP="00A852DC">
      <w:pPr>
        <w:pStyle w:val="SingleTxtG"/>
      </w:pPr>
      <w:r>
        <w:t>13.</w:t>
      </w:r>
      <w:r>
        <w:tab/>
        <w:t xml:space="preserve">In </w:t>
      </w:r>
      <w:r w:rsidRPr="00F24C4A">
        <w:t>1.2.1 Definitions include the following new definitions</w:t>
      </w:r>
      <w:r w:rsidRPr="00F24C4A">
        <w:rPr>
          <w:rFonts w:eastAsia="MS Mincho"/>
        </w:rPr>
        <w:t>:</w:t>
      </w:r>
    </w:p>
    <w:p w:rsidR="00A852DC" w:rsidRPr="00673F24" w:rsidRDefault="00A852DC" w:rsidP="00A852DC">
      <w:pPr>
        <w:pStyle w:val="SingleTxtG"/>
        <w:rPr>
          <w:i/>
        </w:rPr>
      </w:pPr>
      <w:r w:rsidRPr="00673F24">
        <w:rPr>
          <w:i/>
        </w:rPr>
        <w:tab/>
      </w:r>
      <w:r w:rsidRPr="00673F24">
        <w:rPr>
          <w:rFonts w:eastAsia="MS Mincho"/>
          <w:i/>
          <w:highlight w:val="lightGray"/>
        </w:rPr>
        <w:t>“Loading” means all actions carried out by the loader.</w:t>
      </w:r>
    </w:p>
    <w:p w:rsidR="00A852DC" w:rsidRPr="00673F24" w:rsidRDefault="00A852DC" w:rsidP="00A852DC">
      <w:pPr>
        <w:pStyle w:val="SingleTxtG"/>
        <w:rPr>
          <w:i/>
        </w:rPr>
      </w:pPr>
      <w:r w:rsidRPr="00673F24">
        <w:rPr>
          <w:i/>
        </w:rPr>
        <w:lastRenderedPageBreak/>
        <w:tab/>
      </w:r>
      <w:r w:rsidRPr="00673F24">
        <w:rPr>
          <w:rFonts w:eastAsia="MS Mincho"/>
          <w:i/>
          <w:highlight w:val="lightGray"/>
        </w:rPr>
        <w:t>“Unloading” means all actions carried out by the unloader</w:t>
      </w:r>
      <w:r w:rsidRPr="00673F24">
        <w:rPr>
          <w:rFonts w:eastAsia="MS Mincho"/>
          <w:i/>
        </w:rPr>
        <w:t>.</w:t>
      </w:r>
    </w:p>
    <w:p w:rsidR="00A852DC" w:rsidRPr="00B07347" w:rsidRDefault="00A852DC" w:rsidP="00A852DC">
      <w:pPr>
        <w:pStyle w:val="H1G"/>
        <w:rPr>
          <w:lang w:val="en-US"/>
        </w:rPr>
      </w:pPr>
      <w:r>
        <w:rPr>
          <w:lang w:val="en-US"/>
        </w:rPr>
        <w:tab/>
      </w:r>
      <w:r>
        <w:rPr>
          <w:lang w:val="en-US"/>
        </w:rPr>
        <w:tab/>
      </w:r>
      <w:r w:rsidRPr="00B07347">
        <w:rPr>
          <w:lang w:val="en-US"/>
        </w:rPr>
        <w:t>Proposal 2</w:t>
      </w:r>
    </w:p>
    <w:p w:rsidR="00A852DC" w:rsidRPr="00331A43" w:rsidRDefault="00A852DC" w:rsidP="00A852DC">
      <w:pPr>
        <w:pStyle w:val="SingleTxtG"/>
      </w:pPr>
      <w:r>
        <w:t>14.</w:t>
      </w:r>
      <w:r>
        <w:tab/>
      </w:r>
      <w:r w:rsidRPr="00331A43">
        <w:t>Amend sub-section 1.4.3.1.1 (c) in RID</w:t>
      </w:r>
      <w:r>
        <w:t>/</w:t>
      </w:r>
      <w:r w:rsidRPr="00331A43">
        <w:t>ADR as follows:</w:t>
      </w:r>
    </w:p>
    <w:p w:rsidR="00A852DC" w:rsidRPr="009D009C" w:rsidRDefault="00A852DC" w:rsidP="00A852DC">
      <w:pPr>
        <w:pStyle w:val="SingleTxtG"/>
        <w:ind w:left="1701"/>
      </w:pPr>
      <w:r w:rsidRPr="002B6FD0">
        <w:t>"(c)</w:t>
      </w:r>
      <w:r w:rsidRPr="002B6FD0">
        <w:rPr>
          <w:i/>
        </w:rPr>
        <w:t>(RID)</w:t>
      </w:r>
      <w:r>
        <w:tab/>
        <w:t>H</w:t>
      </w:r>
      <w:r w:rsidRPr="009D009C">
        <w:t>e shall</w:t>
      </w:r>
      <w:r w:rsidRPr="00105DFC">
        <w:rPr>
          <w:highlight w:val="lightGray"/>
        </w:rPr>
        <w:t xml:space="preserve">, </w:t>
      </w:r>
      <w:r w:rsidRPr="00105DFC">
        <w:rPr>
          <w:strike/>
          <w:highlight w:val="lightGray"/>
        </w:rPr>
        <w:t>when loading dangerous goods in</w:t>
      </w:r>
      <w:r w:rsidRPr="00105DFC">
        <w:rPr>
          <w:b/>
          <w:strike/>
          <w:highlight w:val="lightGray"/>
        </w:rPr>
        <w:t xml:space="preserve"> </w:t>
      </w:r>
      <w:r w:rsidRPr="0069771B">
        <w:rPr>
          <w:strike/>
          <w:highlight w:val="lightGray"/>
        </w:rPr>
        <w:t>a wagon, or a large or small container</w:t>
      </w:r>
      <w:r>
        <w:rPr>
          <w:strike/>
          <w:highlight w:val="lightGray"/>
        </w:rPr>
        <w:t>,</w:t>
      </w:r>
      <w:r w:rsidRPr="00FB21FC">
        <w:rPr>
          <w:b/>
          <w:highlight w:val="lightGray"/>
        </w:rPr>
        <w:t xml:space="preserve"> </w:t>
      </w:r>
      <w:r w:rsidRPr="009D009C">
        <w:t>comply with the special requirements concerning load</w:t>
      </w:r>
      <w:r>
        <w:t>ing and handling</w:t>
      </w:r>
      <w:r w:rsidRPr="009D009C">
        <w:t>;</w:t>
      </w:r>
    </w:p>
    <w:p w:rsidR="00A852DC" w:rsidRDefault="00A852DC" w:rsidP="00A852DC">
      <w:pPr>
        <w:pStyle w:val="SingleTxtG"/>
        <w:ind w:left="1701"/>
      </w:pPr>
      <w:r w:rsidRPr="002B6FD0">
        <w:t>(c)</w:t>
      </w:r>
      <w:r w:rsidRPr="002B6FD0">
        <w:rPr>
          <w:i/>
        </w:rPr>
        <w:t>(ADR)</w:t>
      </w:r>
      <w:r>
        <w:rPr>
          <w:i/>
          <w:sz w:val="16"/>
          <w:szCs w:val="16"/>
        </w:rPr>
        <w:t xml:space="preserve"> </w:t>
      </w:r>
      <w:r>
        <w:t>H</w:t>
      </w:r>
      <w:r w:rsidRPr="009D009C">
        <w:t>e shall</w:t>
      </w:r>
      <w:r w:rsidRPr="00105DFC">
        <w:rPr>
          <w:strike/>
          <w:highlight w:val="lightGray"/>
        </w:rPr>
        <w:t>, when loading dangerous goods</w:t>
      </w:r>
      <w:r w:rsidRPr="00105DFC">
        <w:rPr>
          <w:highlight w:val="lightGray"/>
        </w:rPr>
        <w:t xml:space="preserve"> </w:t>
      </w:r>
      <w:r w:rsidRPr="0069771B">
        <w:rPr>
          <w:strike/>
          <w:highlight w:val="lightGray"/>
        </w:rPr>
        <w:t>in</w:t>
      </w:r>
      <w:r w:rsidRPr="0069771B">
        <w:rPr>
          <w:b/>
          <w:strike/>
          <w:highlight w:val="lightGray"/>
        </w:rPr>
        <w:t xml:space="preserve"> </w:t>
      </w:r>
      <w:r w:rsidRPr="0069771B">
        <w:rPr>
          <w:strike/>
          <w:highlight w:val="lightGray"/>
        </w:rPr>
        <w:t>a vehicle, or a large or small container</w:t>
      </w:r>
      <w:r w:rsidRPr="00FB21FC">
        <w:rPr>
          <w:strike/>
          <w:highlight w:val="lightGray"/>
        </w:rPr>
        <w:t>,</w:t>
      </w:r>
      <w:r w:rsidRPr="00FB21FC">
        <w:t xml:space="preserve"> </w:t>
      </w:r>
      <w:r w:rsidRPr="009D009C">
        <w:t>comply with the special requirements concerning load</w:t>
      </w:r>
      <w:r>
        <w:t>ing and handling</w:t>
      </w:r>
      <w:r w:rsidRPr="009D009C">
        <w:t>;</w:t>
      </w:r>
      <w:r>
        <w:t>”</w:t>
      </w:r>
    </w:p>
    <w:p w:rsidR="00A852DC" w:rsidRPr="00331A43" w:rsidRDefault="00A852DC" w:rsidP="00A852DC">
      <w:pPr>
        <w:pStyle w:val="SingleTxtG"/>
      </w:pPr>
      <w:r>
        <w:t>15.</w:t>
      </w:r>
      <w:r>
        <w:tab/>
        <w:t xml:space="preserve">In </w:t>
      </w:r>
      <w:r w:rsidRPr="00331A43">
        <w:t xml:space="preserve">1.4.3.7 </w:t>
      </w:r>
      <w:r>
        <w:t>in RID/ADR delete the Note after the heading</w:t>
      </w:r>
      <w:r w:rsidRPr="00331A43">
        <w:t>:</w:t>
      </w:r>
    </w:p>
    <w:p w:rsidR="00A852DC" w:rsidRPr="00A625D9" w:rsidRDefault="00A852DC" w:rsidP="00A852DC">
      <w:pPr>
        <w:pStyle w:val="SingleTxtG"/>
        <w:ind w:left="1701"/>
      </w:pPr>
      <w:r w:rsidRPr="00A625D9">
        <w:t>“1.4.3.7 Unloader</w:t>
      </w:r>
    </w:p>
    <w:p w:rsidR="00A852DC" w:rsidRPr="0069771B" w:rsidRDefault="00A852DC" w:rsidP="00A852DC">
      <w:pPr>
        <w:pStyle w:val="SingleTxtG"/>
        <w:ind w:left="1701"/>
        <w:rPr>
          <w:strike/>
        </w:rPr>
      </w:pPr>
      <w:r w:rsidRPr="0069771B">
        <w:rPr>
          <w:b/>
          <w:strike/>
          <w:highlight w:val="lightGray"/>
        </w:rPr>
        <w:t xml:space="preserve">NOTE: </w:t>
      </w:r>
      <w:r w:rsidRPr="0069771B">
        <w:rPr>
          <w:strike/>
          <w:highlight w:val="lightGray"/>
        </w:rPr>
        <w:t>In this sub-section, unloading covers removal, unloading, and discharging as indicated in the definition of unloader in 1.2.1.</w:t>
      </w:r>
      <w:r>
        <w:rPr>
          <w:strike/>
        </w:rPr>
        <w:t>”</w:t>
      </w:r>
    </w:p>
    <w:p w:rsidR="00A852DC" w:rsidRDefault="00A852DC" w:rsidP="00A852DC">
      <w:pPr>
        <w:pStyle w:val="SingleTxtG"/>
        <w:ind w:left="1701"/>
      </w:pPr>
      <w:r>
        <w:t xml:space="preserve">Amend </w:t>
      </w:r>
      <w:r w:rsidRPr="00A625D9">
        <w:t xml:space="preserve">1.4.3.7.1 </w:t>
      </w:r>
      <w:r>
        <w:t>(c ) to read:</w:t>
      </w:r>
    </w:p>
    <w:p w:rsidR="00A852DC" w:rsidRPr="00EB3300" w:rsidRDefault="00A852DC" w:rsidP="00A852DC">
      <w:pPr>
        <w:pStyle w:val="SingleTxtG"/>
        <w:ind w:left="1701"/>
        <w:rPr>
          <w:i/>
          <w:color w:val="A6A6A6"/>
        </w:rPr>
      </w:pPr>
      <w:r>
        <w:t>“(c)</w:t>
      </w:r>
      <w:r w:rsidRPr="002B6FD0">
        <w:rPr>
          <w:lang w:val="en-GB"/>
        </w:rPr>
        <w:tab/>
      </w:r>
      <w:r>
        <w:t xml:space="preserve">comply with all relevant requirements concerning unloading </w:t>
      </w:r>
      <w:r w:rsidRPr="00954826">
        <w:rPr>
          <w:i/>
          <w:highlight w:val="lightGray"/>
        </w:rPr>
        <w:t>and handling</w:t>
      </w:r>
      <w:r>
        <w:rPr>
          <w:i/>
        </w:rPr>
        <w:t>”</w:t>
      </w:r>
    </w:p>
    <w:p w:rsidR="00A852DC" w:rsidRPr="002B6FD0" w:rsidRDefault="00A852DC" w:rsidP="00A852DC">
      <w:pPr>
        <w:pStyle w:val="H1G"/>
        <w:rPr>
          <w:rFonts w:eastAsia="MS Mincho"/>
          <w:lang w:eastAsia="ja-JP"/>
        </w:rPr>
      </w:pPr>
      <w:r>
        <w:rPr>
          <w:rFonts w:eastAsia="MS Mincho"/>
          <w:lang w:eastAsia="ja-JP"/>
        </w:rPr>
        <w:tab/>
      </w:r>
      <w:r>
        <w:rPr>
          <w:rFonts w:eastAsia="MS Mincho"/>
          <w:lang w:eastAsia="ja-JP"/>
        </w:rPr>
        <w:tab/>
      </w:r>
      <w:r w:rsidRPr="00B947FD">
        <w:rPr>
          <w:rFonts w:eastAsia="MS Mincho"/>
          <w:lang w:eastAsia="ja-JP"/>
        </w:rPr>
        <w:t>Proposal 3</w:t>
      </w:r>
    </w:p>
    <w:p w:rsidR="00A852DC" w:rsidRPr="00917D4F" w:rsidRDefault="00A852DC" w:rsidP="00A852DC">
      <w:pPr>
        <w:pStyle w:val="SingleTxtG"/>
        <w:rPr>
          <w:rFonts w:eastAsia="MS Mincho"/>
          <w:b/>
          <w:lang w:eastAsia="ja-JP"/>
        </w:rPr>
      </w:pPr>
      <w:r>
        <w:t>16.</w:t>
      </w:r>
      <w:r>
        <w:tab/>
        <w:t>In RID</w:t>
      </w:r>
      <w:r w:rsidRPr="00312EAB">
        <w:t xml:space="preserve"> </w:t>
      </w:r>
      <w:r>
        <w:t xml:space="preserve">Chapter </w:t>
      </w:r>
      <w:r w:rsidRPr="00312EAB">
        <w:t>7.5</w:t>
      </w:r>
      <w:r>
        <w:t xml:space="preserve"> delete the Note after the heading</w:t>
      </w:r>
      <w:r w:rsidRPr="00312EAB">
        <w:t>:</w:t>
      </w:r>
    </w:p>
    <w:p w:rsidR="00A852DC" w:rsidRPr="00B947FD" w:rsidRDefault="00A852DC" w:rsidP="00A852DC">
      <w:pPr>
        <w:pStyle w:val="SingleTxtG"/>
        <w:ind w:left="1701"/>
        <w:rPr>
          <w:b/>
        </w:rPr>
      </w:pPr>
      <w:r w:rsidRPr="00B947FD">
        <w:t>“</w:t>
      </w:r>
      <w:r w:rsidRPr="0069771B">
        <w:rPr>
          <w:strike/>
          <w:highlight w:val="lightGray"/>
        </w:rPr>
        <w:t>[</w:t>
      </w:r>
      <w:r w:rsidRPr="0069771B">
        <w:rPr>
          <w:b/>
          <w:i/>
          <w:strike/>
          <w:highlight w:val="lightGray"/>
        </w:rPr>
        <w:t>NOTE</w:t>
      </w:r>
      <w:r w:rsidRPr="0069771B">
        <w:rPr>
          <w:i/>
          <w:strike/>
          <w:highlight w:val="lightGray"/>
        </w:rPr>
        <w:t>: Within the meaning of this section, placing a container, bulk-container, tank-container or portable tank onto a vehicle is considered as loading, and removing it is considered as unloading.]</w:t>
      </w:r>
      <w:r>
        <w:rPr>
          <w:i/>
          <w:strike/>
        </w:rPr>
        <w:t>”</w:t>
      </w:r>
    </w:p>
    <w:p w:rsidR="00A852DC" w:rsidRDefault="00A852DC" w:rsidP="00A852DC">
      <w:pPr>
        <w:pStyle w:val="SingleTxtG"/>
        <w:ind w:left="1701"/>
      </w:pPr>
      <w:r>
        <w:t>Amend RID 7.5.1.2 to read:</w:t>
      </w:r>
    </w:p>
    <w:p w:rsidR="00A852DC" w:rsidRPr="009D009C" w:rsidRDefault="00A852DC" w:rsidP="00A852DC">
      <w:pPr>
        <w:pStyle w:val="SingleTxtG"/>
        <w:ind w:left="1701"/>
      </w:pPr>
      <w:r>
        <w:t>“7.5.1.2</w:t>
      </w:r>
      <w:r>
        <w:tab/>
      </w:r>
      <w:r w:rsidRPr="009D009C">
        <w:t>Unless otherwise specified in RID, the l</w:t>
      </w:r>
      <w:r>
        <w:t>oading shall not be carried out if</w:t>
      </w:r>
      <w:r w:rsidRPr="009D009C">
        <w:t>:</w:t>
      </w:r>
    </w:p>
    <w:p w:rsidR="00A852DC" w:rsidRDefault="00A852DC" w:rsidP="00A852DC">
      <w:pPr>
        <w:pStyle w:val="SingleTxtG"/>
        <w:ind w:left="1701"/>
      </w:pPr>
      <w:r>
        <w:t>-</w:t>
      </w:r>
      <w:r>
        <w:tab/>
      </w:r>
      <w:r w:rsidRPr="009D009C">
        <w:t>an examination of the documents</w:t>
      </w:r>
      <w:r>
        <w:t>;</w:t>
      </w:r>
      <w:r w:rsidRPr="009D009C">
        <w:t xml:space="preserve"> or</w:t>
      </w:r>
    </w:p>
    <w:p w:rsidR="00A852DC" w:rsidRPr="009C46FF" w:rsidRDefault="00A852DC" w:rsidP="00A852DC">
      <w:pPr>
        <w:pStyle w:val="SingleTxtG"/>
        <w:ind w:left="1701"/>
      </w:pPr>
      <w:r>
        <w:t>-</w:t>
      </w:r>
      <w:r>
        <w:tab/>
        <w:t xml:space="preserve">a </w:t>
      </w:r>
      <w:r w:rsidRPr="009D009C">
        <w:t>visual in</w:t>
      </w:r>
      <w:r>
        <w:t xml:space="preserve">spection of the wagon or </w:t>
      </w:r>
      <w:r w:rsidRPr="00E77ED8">
        <w:t xml:space="preserve">of the </w:t>
      </w:r>
      <w:r w:rsidRPr="00F746CB">
        <w:rPr>
          <w:strike/>
          <w:highlight w:val="lightGray"/>
        </w:rPr>
        <w:t>large</w:t>
      </w:r>
      <w:r w:rsidRPr="00E77ED8">
        <w:t xml:space="preserve"> container(s), bulk </w:t>
      </w:r>
      <w:r w:rsidRPr="009C46FF">
        <w:t xml:space="preserve">container(s), </w:t>
      </w:r>
      <w:r w:rsidRPr="009C46FF">
        <w:rPr>
          <w:i/>
          <w:highlight w:val="lightGray"/>
        </w:rPr>
        <w:t>MEGC(s),</w:t>
      </w:r>
      <w:r w:rsidRPr="009C46FF">
        <w:t xml:space="preserve"> tank-container(s), portable tank(s) or road vehicle(s), if any, as well as of their equipment used in loading and unloading, </w:t>
      </w:r>
    </w:p>
    <w:p w:rsidR="00A852DC" w:rsidRPr="009C46FF" w:rsidRDefault="00A852DC" w:rsidP="00A852DC">
      <w:pPr>
        <w:pStyle w:val="SingleTxtG"/>
        <w:ind w:left="1701"/>
      </w:pPr>
      <w:r w:rsidRPr="009C46FF">
        <w:t>shows that the wagon, a</w:t>
      </w:r>
      <w:r w:rsidRPr="009C46FF">
        <w:rPr>
          <w:b/>
        </w:rPr>
        <w:t xml:space="preserve"> </w:t>
      </w:r>
      <w:r w:rsidRPr="009C46FF">
        <w:rPr>
          <w:strike/>
          <w:highlight w:val="lightGray"/>
        </w:rPr>
        <w:t>large</w:t>
      </w:r>
      <w:r w:rsidRPr="009C46FF">
        <w:t xml:space="preserve"> container, a bulk-container, </w:t>
      </w:r>
      <w:r w:rsidRPr="009C46FF">
        <w:rPr>
          <w:i/>
          <w:highlight w:val="lightGray"/>
        </w:rPr>
        <w:t>a MEGC</w:t>
      </w:r>
      <w:r w:rsidRPr="009C46FF">
        <w:t>, a tank-container, a portable tank, a road vehicle or their equipment do not comply with the regulatory provisions.</w:t>
      </w:r>
    </w:p>
    <w:p w:rsidR="00A852DC" w:rsidRDefault="00A852DC" w:rsidP="00A852DC">
      <w:pPr>
        <w:pStyle w:val="SingleTxtG"/>
        <w:ind w:left="1701"/>
      </w:pPr>
      <w:r w:rsidRPr="009C46FF">
        <w:t>The interior and exterior of a wagon or container shall be inspected prior to loading to ensure that there is no damage that could affect its integrity or that</w:t>
      </w:r>
      <w:r w:rsidRPr="009D009C">
        <w:t xml:space="preserve"> of the packages to be loaded in it.</w:t>
      </w:r>
      <w:r>
        <w:t>”</w:t>
      </w:r>
    </w:p>
    <w:p w:rsidR="00A852DC" w:rsidRPr="00312EAB" w:rsidRDefault="00A852DC" w:rsidP="00A852DC">
      <w:pPr>
        <w:pStyle w:val="SingleTxtG"/>
      </w:pPr>
      <w:r>
        <w:t>17.</w:t>
      </w:r>
      <w:r>
        <w:tab/>
        <w:t>In ADR</w:t>
      </w:r>
      <w:r w:rsidRPr="00312EAB">
        <w:t xml:space="preserve"> 7.5</w:t>
      </w:r>
      <w:r>
        <w:t>.1, delete the Note after the heading</w:t>
      </w:r>
      <w:r w:rsidRPr="00312EAB">
        <w:t>:</w:t>
      </w:r>
    </w:p>
    <w:p w:rsidR="00A852DC" w:rsidRPr="00312EAB" w:rsidRDefault="00A852DC" w:rsidP="00A852DC">
      <w:pPr>
        <w:pStyle w:val="SingleTxtG"/>
        <w:ind w:left="1701"/>
      </w:pPr>
      <w:r>
        <w:rPr>
          <w:i/>
        </w:rPr>
        <w:t>“</w:t>
      </w:r>
      <w:r w:rsidRPr="0069771B">
        <w:rPr>
          <w:strike/>
          <w:highlight w:val="lightGray"/>
        </w:rPr>
        <w:t>[</w:t>
      </w:r>
      <w:r w:rsidRPr="0069771B">
        <w:rPr>
          <w:b/>
          <w:i/>
          <w:strike/>
          <w:highlight w:val="lightGray"/>
        </w:rPr>
        <w:t>NOTE</w:t>
      </w:r>
      <w:r w:rsidRPr="0069771B">
        <w:rPr>
          <w:i/>
          <w:strike/>
          <w:highlight w:val="lightGray"/>
        </w:rPr>
        <w:t>: Within the meaning of this section, placing a container, bulk-container, tank-container or portable tank onto a vehicle is considered as loading, and removing it is considered as unloading.]</w:t>
      </w:r>
      <w:r w:rsidRPr="00B947FD">
        <w:rPr>
          <w:i/>
        </w:rPr>
        <w:t>”</w:t>
      </w:r>
    </w:p>
    <w:p w:rsidR="00A852DC" w:rsidRDefault="00A852DC" w:rsidP="00A852DC">
      <w:pPr>
        <w:pStyle w:val="SingleTxtG"/>
        <w:ind w:left="1701"/>
      </w:pPr>
      <w:r>
        <w:t>Amend ADR 7.5.1.1 and 7.5.1.2 to read:</w:t>
      </w:r>
    </w:p>
    <w:p w:rsidR="00A852DC" w:rsidRDefault="00A852DC" w:rsidP="00A852DC">
      <w:pPr>
        <w:pStyle w:val="SingleTxtG"/>
        <w:ind w:left="1701"/>
      </w:pPr>
      <w:r>
        <w:t xml:space="preserve">“7.5.1.1The vehicle and its driver, as well as </w:t>
      </w:r>
      <w:r w:rsidRPr="001B4806">
        <w:t>the</w:t>
      </w:r>
      <w:r>
        <w:t xml:space="preserve"> </w:t>
      </w:r>
      <w:r w:rsidRPr="00F746CB">
        <w:rPr>
          <w:strike/>
          <w:highlight w:val="lightGray"/>
        </w:rPr>
        <w:t>large</w:t>
      </w:r>
      <w:r w:rsidRPr="00E77ED8">
        <w:t xml:space="preserve"> container(s), bulk-</w:t>
      </w:r>
      <w:r w:rsidRPr="009C46FF">
        <w:t xml:space="preserve">container(s), </w:t>
      </w:r>
      <w:r w:rsidRPr="009C46FF">
        <w:rPr>
          <w:i/>
          <w:highlight w:val="lightGray"/>
        </w:rPr>
        <w:t>MEGC(s),</w:t>
      </w:r>
      <w:r w:rsidRPr="009C46FF">
        <w:t xml:space="preserve"> tank-container(s) or portable tank(s) if</w:t>
      </w:r>
      <w:r>
        <w:t xml:space="preserve"> any, shall comply </w:t>
      </w:r>
      <w:r>
        <w:lastRenderedPageBreak/>
        <w:t>with the regulatory provisions (especially those concerning safety, security, cleanliness and satisfactory operation of the equipment used in loading and unloading) upon arrival at the loading and unloading sites, which include container terminals.</w:t>
      </w:r>
    </w:p>
    <w:p w:rsidR="00A852DC" w:rsidRPr="009D009C" w:rsidRDefault="00A852DC" w:rsidP="00A852DC">
      <w:pPr>
        <w:pStyle w:val="SingleTxtG"/>
        <w:ind w:left="1701"/>
      </w:pPr>
      <w:r>
        <w:t>7.5.1.2</w:t>
      </w:r>
      <w:r>
        <w:tab/>
        <w:t xml:space="preserve"> </w:t>
      </w:r>
      <w:r w:rsidRPr="009D009C">
        <w:t xml:space="preserve">Unless otherwise specified in </w:t>
      </w:r>
      <w:r>
        <w:t>ADR</w:t>
      </w:r>
      <w:r w:rsidRPr="009D009C">
        <w:t>, the l</w:t>
      </w:r>
      <w:r>
        <w:t>oading shall not be carried out if</w:t>
      </w:r>
      <w:r w:rsidRPr="009D009C">
        <w:t>:</w:t>
      </w:r>
    </w:p>
    <w:p w:rsidR="00A852DC" w:rsidRDefault="00A852DC" w:rsidP="00A852DC">
      <w:pPr>
        <w:pStyle w:val="SingleTxtG"/>
        <w:ind w:left="1701"/>
      </w:pPr>
      <w:r>
        <w:t>(a)</w:t>
      </w:r>
      <w:r>
        <w:tab/>
      </w:r>
      <w:r w:rsidRPr="009D009C">
        <w:t>an examination of the documents</w:t>
      </w:r>
      <w:r>
        <w:t>;</w:t>
      </w:r>
      <w:r w:rsidRPr="009D009C">
        <w:t xml:space="preserve"> or</w:t>
      </w:r>
    </w:p>
    <w:p w:rsidR="00A852DC" w:rsidRPr="009C46FF" w:rsidRDefault="00A852DC" w:rsidP="00A852DC">
      <w:pPr>
        <w:pStyle w:val="SingleTxtG"/>
        <w:ind w:left="1701"/>
      </w:pPr>
      <w:r>
        <w:t>(b)</w:t>
      </w:r>
      <w:r>
        <w:tab/>
        <w:t xml:space="preserve">a </w:t>
      </w:r>
      <w:r w:rsidRPr="009D009C">
        <w:t xml:space="preserve">visual inspection of the </w:t>
      </w:r>
      <w:r>
        <w:t xml:space="preserve">vehicle or </w:t>
      </w:r>
      <w:r w:rsidRPr="00E77ED8">
        <w:t xml:space="preserve">of </w:t>
      </w:r>
      <w:r w:rsidRPr="001F5F85">
        <w:t xml:space="preserve">the </w:t>
      </w:r>
      <w:r w:rsidRPr="00F746CB">
        <w:rPr>
          <w:strike/>
          <w:highlight w:val="lightGray"/>
        </w:rPr>
        <w:t>large</w:t>
      </w:r>
      <w:r w:rsidRPr="00E77ED8">
        <w:t xml:space="preserve"> container(s), bulk container(s</w:t>
      </w:r>
      <w:r w:rsidRPr="009C46FF">
        <w:t xml:space="preserve">), </w:t>
      </w:r>
      <w:r w:rsidRPr="009C46FF">
        <w:rPr>
          <w:i/>
          <w:highlight w:val="lightGray"/>
        </w:rPr>
        <w:t>MEGC(s),</w:t>
      </w:r>
      <w:r w:rsidRPr="009C46FF">
        <w:t xml:space="preserve"> tank-container(s) or portable tank(s) or if any, as well as of their equipment used in loading and unloading, </w:t>
      </w:r>
    </w:p>
    <w:p w:rsidR="00A852DC" w:rsidRDefault="00A852DC" w:rsidP="00A852DC">
      <w:pPr>
        <w:pStyle w:val="SingleTxtG"/>
        <w:ind w:left="1701"/>
      </w:pPr>
      <w:r w:rsidRPr="009C46FF">
        <w:t xml:space="preserve">shows that the vehicle, the driver, a </w:t>
      </w:r>
      <w:r w:rsidRPr="009C46FF">
        <w:rPr>
          <w:strike/>
          <w:highlight w:val="lightGray"/>
        </w:rPr>
        <w:t>large</w:t>
      </w:r>
      <w:r w:rsidRPr="009C46FF">
        <w:t xml:space="preserve"> container, a bulk-container, </w:t>
      </w:r>
      <w:r w:rsidRPr="009C46FF">
        <w:rPr>
          <w:i/>
          <w:highlight w:val="lightGray"/>
        </w:rPr>
        <w:t>a</w:t>
      </w:r>
      <w:r w:rsidRPr="009C46FF">
        <w:rPr>
          <w:b/>
          <w:highlight w:val="lightGray"/>
        </w:rPr>
        <w:t xml:space="preserve"> </w:t>
      </w:r>
      <w:r w:rsidRPr="009C46FF">
        <w:rPr>
          <w:i/>
          <w:highlight w:val="lightGray"/>
        </w:rPr>
        <w:t>MEGC,</w:t>
      </w:r>
      <w:r w:rsidRPr="009C46FF">
        <w:t xml:space="preserve"> a tank-container, a portable tank or their equipment do</w:t>
      </w:r>
      <w:r w:rsidRPr="009D009C">
        <w:t xml:space="preserve"> not comply with the regulatory provisions.</w:t>
      </w:r>
      <w:r>
        <w:t xml:space="preserve"> </w:t>
      </w:r>
      <w:r w:rsidRPr="009D009C">
        <w:t xml:space="preserve">The interior and exterior of a </w:t>
      </w:r>
      <w:r>
        <w:t>vehicle</w:t>
      </w:r>
      <w:r w:rsidRPr="009D009C">
        <w:t xml:space="preserve"> or container shall be inspected prior to loading to ensure that there is no damage that could affect its integrity or that of the packages to be loaded in it.</w:t>
      </w:r>
      <w:r>
        <w:t>”</w:t>
      </w:r>
    </w:p>
    <w:p w:rsidR="00A852DC" w:rsidRPr="00FB5DC9" w:rsidRDefault="00A852DC" w:rsidP="00A852DC">
      <w:pPr>
        <w:pStyle w:val="H1G"/>
        <w:rPr>
          <w:sz w:val="28"/>
          <w:lang w:val="en-US"/>
        </w:rPr>
      </w:pPr>
      <w:r>
        <w:tab/>
      </w:r>
      <w:r>
        <w:tab/>
      </w:r>
      <w:r w:rsidRPr="00FB5DC9">
        <w:t>Proposal 4 Consequential amendments (optional)</w:t>
      </w:r>
      <w:r w:rsidRPr="00FB5DC9">
        <w:rPr>
          <w:sz w:val="28"/>
          <w:lang w:val="en-US"/>
        </w:rPr>
        <w:t xml:space="preserve"> </w:t>
      </w:r>
    </w:p>
    <w:p w:rsidR="00A852DC" w:rsidRPr="00312EAB" w:rsidRDefault="00A852DC" w:rsidP="00A852DC">
      <w:pPr>
        <w:pStyle w:val="SingleTxtG"/>
        <w:ind w:left="567" w:firstLine="567"/>
        <w:jc w:val="left"/>
        <w:rPr>
          <w:lang w:val="en-US"/>
        </w:rPr>
      </w:pPr>
      <w:r>
        <w:t>18.</w:t>
      </w:r>
      <w:r>
        <w:tab/>
      </w:r>
      <w:r w:rsidRPr="00312EAB">
        <w:t>A</w:t>
      </w:r>
      <w:r w:rsidRPr="00312EAB">
        <w:rPr>
          <w:lang w:val="en-US"/>
        </w:rPr>
        <w:t>mend 1.2.1</w:t>
      </w:r>
      <w:r w:rsidRPr="00312EAB">
        <w:rPr>
          <w:b/>
          <w:lang w:val="en-US"/>
        </w:rPr>
        <w:t xml:space="preserve"> </w:t>
      </w:r>
      <w:r w:rsidRPr="00312EAB">
        <w:rPr>
          <w:lang w:val="en-US"/>
        </w:rPr>
        <w:t xml:space="preserve">Definitions </w:t>
      </w:r>
      <w:r>
        <w:rPr>
          <w:lang w:val="en-US"/>
        </w:rPr>
        <w:t xml:space="preserve">in RID/ADR </w:t>
      </w:r>
      <w:r w:rsidRPr="00312EAB">
        <w:rPr>
          <w:lang w:val="en-US"/>
        </w:rPr>
        <w:t xml:space="preserve">as follows: </w:t>
      </w:r>
    </w:p>
    <w:p w:rsidR="00A852DC" w:rsidRDefault="00A852DC" w:rsidP="00A852DC">
      <w:pPr>
        <w:pStyle w:val="SingleTxtG"/>
        <w:ind w:firstLine="567"/>
        <w:rPr>
          <w:rFonts w:eastAsia="MS Mincho"/>
          <w:lang w:val="en-US" w:eastAsia="ja-JP"/>
        </w:rPr>
      </w:pPr>
      <w:r>
        <w:rPr>
          <w:rFonts w:eastAsia="MS Mincho"/>
          <w:i/>
          <w:lang w:val="en-US" w:eastAsia="ja-JP"/>
        </w:rPr>
        <w:t xml:space="preserve"> “</w:t>
      </w:r>
      <w:r w:rsidRPr="008615F7">
        <w:rPr>
          <w:rFonts w:eastAsia="MS Mincho"/>
          <w:i/>
          <w:lang w:val="en-US" w:eastAsia="ja-JP"/>
        </w:rPr>
        <w:t>“Filler”</w:t>
      </w:r>
      <w:r>
        <w:rPr>
          <w:rFonts w:eastAsia="MS Mincho"/>
          <w:lang w:val="en-US" w:eastAsia="ja-JP"/>
        </w:rPr>
        <w:t xml:space="preserve"> means any enterprise which </w:t>
      </w:r>
      <w:r w:rsidRPr="008615F7">
        <w:rPr>
          <w:rFonts w:eastAsia="MS Mincho"/>
          <w:strike/>
          <w:highlight w:val="lightGray"/>
          <w:lang w:val="en-US" w:eastAsia="ja-JP"/>
        </w:rPr>
        <w:t>loads</w:t>
      </w:r>
      <w:r w:rsidRPr="008615F7">
        <w:rPr>
          <w:rFonts w:eastAsia="MS Mincho"/>
          <w:highlight w:val="lightGray"/>
          <w:lang w:val="en-US" w:eastAsia="ja-JP"/>
        </w:rPr>
        <w:t xml:space="preserve"> </w:t>
      </w:r>
      <w:r w:rsidRPr="008615F7">
        <w:rPr>
          <w:rFonts w:eastAsia="MS Mincho"/>
          <w:i/>
          <w:highlight w:val="lightGray"/>
          <w:lang w:val="en-US" w:eastAsia="ja-JP"/>
        </w:rPr>
        <w:t>fills</w:t>
      </w:r>
      <w:r>
        <w:rPr>
          <w:rFonts w:eastAsia="MS Mincho"/>
          <w:lang w:val="en-US" w:eastAsia="ja-JP"/>
        </w:rPr>
        <w:t xml:space="preserve"> dangerous goods into a tank...</w:t>
      </w:r>
    </w:p>
    <w:p w:rsidR="00A852DC" w:rsidRPr="00F24C4A" w:rsidRDefault="00A852DC" w:rsidP="00A852DC">
      <w:pPr>
        <w:pStyle w:val="SingleTxtG"/>
        <w:ind w:left="1701"/>
        <w:rPr>
          <w:rFonts w:eastAsia="MS Mincho"/>
        </w:rPr>
      </w:pPr>
      <w:r w:rsidRPr="0014714F">
        <w:rPr>
          <w:rFonts w:eastAsia="MS Mincho"/>
          <w:lang w:val="en-US" w:eastAsia="ja-JP"/>
        </w:rPr>
        <w:t xml:space="preserve">"Vacuum-operated waste tank" means a fixed tank, demountable tank, tank-container or tank swap body primarily used for the carriage of dangerous wastes, with special constructional features and/or equipment to facilitate the </w:t>
      </w:r>
      <w:proofErr w:type="spellStart"/>
      <w:r w:rsidRPr="0014714F">
        <w:rPr>
          <w:rFonts w:eastAsia="MS Mincho"/>
          <w:i/>
          <w:highlight w:val="lightGray"/>
          <w:lang w:val="en-US" w:eastAsia="ja-JP"/>
        </w:rPr>
        <w:t>filling</w:t>
      </w:r>
      <w:r w:rsidRPr="0014714F">
        <w:rPr>
          <w:rFonts w:eastAsia="MS Mincho"/>
          <w:strike/>
          <w:highlight w:val="lightGray"/>
          <w:lang w:val="en-US" w:eastAsia="ja-JP"/>
        </w:rPr>
        <w:t>loading</w:t>
      </w:r>
      <w:proofErr w:type="spellEnd"/>
      <w:r w:rsidRPr="0014714F">
        <w:rPr>
          <w:rFonts w:eastAsia="MS Mincho"/>
          <w:lang w:val="en-US" w:eastAsia="ja-JP"/>
        </w:rPr>
        <w:t xml:space="preserve"> and </w:t>
      </w:r>
      <w:r w:rsidRPr="0014714F">
        <w:rPr>
          <w:rFonts w:eastAsia="MS Mincho"/>
          <w:i/>
          <w:highlight w:val="lightGray"/>
          <w:lang w:val="en-US" w:eastAsia="ja-JP"/>
        </w:rPr>
        <w:t>discharging</w:t>
      </w:r>
      <w:r w:rsidRPr="0014714F">
        <w:rPr>
          <w:rFonts w:eastAsia="MS Mincho"/>
          <w:highlight w:val="lightGray"/>
          <w:lang w:val="en-US" w:eastAsia="ja-JP"/>
        </w:rPr>
        <w:t xml:space="preserve"> </w:t>
      </w:r>
      <w:r w:rsidRPr="0014714F">
        <w:rPr>
          <w:rFonts w:eastAsia="MS Mincho"/>
          <w:strike/>
          <w:highlight w:val="lightGray"/>
          <w:lang w:val="en-US" w:eastAsia="ja-JP"/>
        </w:rPr>
        <w:t>unloading</w:t>
      </w:r>
      <w:r w:rsidRPr="0014714F">
        <w:rPr>
          <w:rFonts w:eastAsia="MS Mincho"/>
          <w:lang w:val="en-US" w:eastAsia="ja-JP"/>
        </w:rPr>
        <w:t xml:space="preserve"> of wastes as specified in Chapter 6.10. A tank which fully complies with the requirements of Chapter 6.7 or 6.8 is not considered to be a vacuum-operated waste tank</w:t>
      </w:r>
      <w:r>
        <w:rPr>
          <w:rFonts w:eastAsia="MS Mincho"/>
          <w:lang w:val="en-US" w:eastAsia="ja-JP"/>
        </w:rPr>
        <w:t>.</w:t>
      </w:r>
      <w:r w:rsidRPr="0014714F">
        <w:rPr>
          <w:rFonts w:eastAsia="MS Mincho"/>
          <w:lang w:val="en-US" w:eastAsia="ja-JP"/>
        </w:rPr>
        <w:t>”</w:t>
      </w:r>
    </w:p>
    <w:p w:rsidR="00A852DC" w:rsidRPr="00F24C4A" w:rsidRDefault="00A852DC" w:rsidP="00A852DC">
      <w:pPr>
        <w:pStyle w:val="SingleTxtG"/>
      </w:pPr>
      <w:r w:rsidRPr="00F24C4A">
        <w:t>19.</w:t>
      </w:r>
      <w:r w:rsidRPr="00F24C4A">
        <w:tab/>
        <w:t>Amend 6.11.4.2 to read:</w:t>
      </w:r>
    </w:p>
    <w:p w:rsidR="00A852DC" w:rsidRPr="00F24C4A" w:rsidRDefault="00A852DC" w:rsidP="00A852DC">
      <w:pPr>
        <w:pStyle w:val="SingleTxtG"/>
        <w:ind w:left="1701"/>
      </w:pPr>
      <w:r>
        <w:rPr>
          <w:lang w:val="en-US"/>
        </w:rPr>
        <w:t xml:space="preserve">“6.11.4.2 These bulk containers shall </w:t>
      </w:r>
      <w:proofErr w:type="gramStart"/>
      <w:r>
        <w:rPr>
          <w:lang w:val="en-US"/>
        </w:rPr>
        <w:t>designed</w:t>
      </w:r>
      <w:proofErr w:type="gramEnd"/>
      <w:r>
        <w:rPr>
          <w:lang w:val="en-US"/>
        </w:rPr>
        <w:t xml:space="preserve"> and constructed so as to be strong enough to withstand the shocks and </w:t>
      </w:r>
      <w:r w:rsidRPr="00774CFF">
        <w:rPr>
          <w:i/>
          <w:highlight w:val="lightGray"/>
          <w:lang w:val="en-US"/>
        </w:rPr>
        <w:t>forces</w:t>
      </w:r>
      <w:r w:rsidRPr="00774CFF">
        <w:rPr>
          <w:highlight w:val="lightGray"/>
          <w:lang w:val="en-US"/>
        </w:rPr>
        <w:t xml:space="preserve"> </w:t>
      </w:r>
      <w:r w:rsidRPr="00774CFF">
        <w:rPr>
          <w:strike/>
          <w:highlight w:val="lightGray"/>
          <w:lang w:val="en-US"/>
        </w:rPr>
        <w:t>load</w:t>
      </w:r>
      <w:r w:rsidRPr="001F3C53">
        <w:rPr>
          <w:strike/>
          <w:highlight w:val="lightGray"/>
          <w:lang w:val="en-US"/>
        </w:rPr>
        <w:t>ing</w:t>
      </w:r>
      <w:r w:rsidRPr="00774CFF">
        <w:rPr>
          <w:i/>
          <w:strike/>
          <w:highlight w:val="lightGray"/>
          <w:lang w:val="en-US"/>
        </w:rPr>
        <w:t>s</w:t>
      </w:r>
      <w:r>
        <w:rPr>
          <w:lang w:val="en-US"/>
        </w:rPr>
        <w:t xml:space="preserve"> normally encountered during carriage including, as applicable, transshipment between modes of transport.”</w:t>
      </w:r>
    </w:p>
    <w:p w:rsidR="00A852DC" w:rsidRPr="00F24C4A" w:rsidRDefault="00A852DC" w:rsidP="00A852DC">
      <w:pPr>
        <w:pStyle w:val="SingleTxtG"/>
        <w:rPr>
          <w:rFonts w:eastAsia="MS Mincho"/>
        </w:rPr>
      </w:pPr>
      <w:r w:rsidRPr="00F24C4A">
        <w:rPr>
          <w:rFonts w:eastAsia="MS Mincho"/>
        </w:rPr>
        <w:t>20.</w:t>
      </w:r>
      <w:r w:rsidRPr="00F24C4A">
        <w:rPr>
          <w:rFonts w:eastAsia="MS Mincho"/>
        </w:rPr>
        <w:tab/>
        <w:t>Amend AP4 in 7.3.3.2.3 to read:</w:t>
      </w:r>
    </w:p>
    <w:p w:rsidR="00A852DC" w:rsidRPr="00F24C4A" w:rsidRDefault="00A852DC" w:rsidP="00A852DC">
      <w:pPr>
        <w:pStyle w:val="SingleTxtG"/>
        <w:ind w:left="1701"/>
        <w:rPr>
          <w:rFonts w:eastAsia="MS Mincho"/>
        </w:rPr>
      </w:pPr>
      <w:r>
        <w:rPr>
          <w:rFonts w:eastAsia="MS Mincho"/>
          <w:lang w:val="en-US" w:eastAsia="ja-JP"/>
        </w:rPr>
        <w:t xml:space="preserve">“AP4: Closed wagons/vehicles and closed containers shall be equipped with hermetically closed openings used for </w:t>
      </w:r>
      <w:r w:rsidRPr="00954826">
        <w:rPr>
          <w:rFonts w:eastAsia="MS Mincho"/>
          <w:strike/>
          <w:highlight w:val="lightGray"/>
          <w:lang w:val="en-US" w:eastAsia="ja-JP"/>
        </w:rPr>
        <w:t>loading and unloading</w:t>
      </w:r>
      <w:r w:rsidRPr="00954826">
        <w:rPr>
          <w:rFonts w:eastAsia="MS Mincho"/>
          <w:highlight w:val="lightGray"/>
          <w:lang w:val="en-US" w:eastAsia="ja-JP"/>
        </w:rPr>
        <w:t xml:space="preserve"> </w:t>
      </w:r>
      <w:r w:rsidRPr="00954826">
        <w:rPr>
          <w:rFonts w:eastAsia="MS Mincho"/>
          <w:i/>
          <w:highlight w:val="lightGray"/>
          <w:lang w:val="en-US" w:eastAsia="ja-JP"/>
        </w:rPr>
        <w:t>filling and discharging</w:t>
      </w:r>
      <w:r>
        <w:rPr>
          <w:rFonts w:eastAsia="MS Mincho"/>
          <w:lang w:val="en-US" w:eastAsia="ja-JP"/>
        </w:rPr>
        <w:t xml:space="preserve"> to prevent the exit of gas and exclude the ingress of moisture.”</w:t>
      </w:r>
    </w:p>
    <w:p w:rsidR="00A852DC" w:rsidRPr="00F24C4A" w:rsidRDefault="00A852DC" w:rsidP="00A852DC">
      <w:pPr>
        <w:pStyle w:val="SingleTxtG"/>
        <w:rPr>
          <w:rFonts w:eastAsia="MS Mincho"/>
        </w:rPr>
      </w:pPr>
      <w:r>
        <w:rPr>
          <w:rFonts w:eastAsia="MS Mincho"/>
        </w:rPr>
        <w:t>21.</w:t>
      </w:r>
      <w:r w:rsidRPr="00F24C4A">
        <w:rPr>
          <w:rFonts w:eastAsia="MS Mincho"/>
        </w:rPr>
        <w:tab/>
        <w:t>Amend sub-section 7.5.7.4 in ADR as follows:</w:t>
      </w:r>
    </w:p>
    <w:p w:rsidR="00A852DC" w:rsidRPr="00F24C4A" w:rsidRDefault="00A852DC" w:rsidP="00A852DC">
      <w:pPr>
        <w:pStyle w:val="SingleTxtG"/>
        <w:ind w:left="1701"/>
      </w:pPr>
      <w:r>
        <w:rPr>
          <w:rFonts w:eastAsia="MS Mincho"/>
          <w:lang w:val="en-US" w:eastAsia="ja-JP"/>
        </w:rPr>
        <w:t xml:space="preserve">“7.5.7.4 </w:t>
      </w:r>
      <w:r w:rsidRPr="008615F7">
        <w:rPr>
          <w:rFonts w:cs="TimesNewRomanPSMT"/>
          <w:lang w:val="en-US"/>
        </w:rPr>
        <w:t xml:space="preserve">The provisions of 7.5.7.1 also apply to the loading, stowage and </w:t>
      </w:r>
      <w:r w:rsidRPr="008615F7">
        <w:rPr>
          <w:rFonts w:cs="TimesNewRomanPSMT"/>
          <w:strike/>
          <w:highlight w:val="lightGray"/>
          <w:lang w:val="en-US"/>
        </w:rPr>
        <w:t>unloading</w:t>
      </w:r>
      <w:r w:rsidRPr="008615F7">
        <w:rPr>
          <w:rFonts w:cs="TimesNewRomanPSMT"/>
          <w:highlight w:val="lightGray"/>
          <w:lang w:val="en-US"/>
        </w:rPr>
        <w:t xml:space="preserve"> </w:t>
      </w:r>
      <w:r w:rsidRPr="008615F7">
        <w:rPr>
          <w:rFonts w:cs="TimesNewRomanPSMT"/>
          <w:i/>
          <w:highlight w:val="lightGray"/>
          <w:lang w:val="en-US"/>
        </w:rPr>
        <w:t>removal</w:t>
      </w:r>
      <w:r w:rsidRPr="008615F7">
        <w:rPr>
          <w:rFonts w:cs="TimesNewRomanPSMT"/>
          <w:lang w:val="en-US"/>
        </w:rPr>
        <w:t xml:space="preserve"> of containers, </w:t>
      </w:r>
      <w:proofErr w:type="spellStart"/>
      <w:r w:rsidRPr="008615F7">
        <w:rPr>
          <w:rFonts w:cs="TimesNewRomanPSMT"/>
          <w:lang w:val="en-US"/>
        </w:rPr>
        <w:t>tankcontainers</w:t>
      </w:r>
      <w:proofErr w:type="spellEnd"/>
      <w:r w:rsidRPr="008615F7">
        <w:rPr>
          <w:rFonts w:cs="TimesNewRomanPSMT"/>
          <w:lang w:val="en-US"/>
        </w:rPr>
        <w:t>, portable tanks and MEGCs on to and from vehicles.</w:t>
      </w:r>
      <w:r>
        <w:rPr>
          <w:rFonts w:cs="TimesNewRomanPSMT"/>
          <w:lang w:val="en-US"/>
        </w:rPr>
        <w:t>”</w:t>
      </w:r>
    </w:p>
    <w:p w:rsidR="00A852DC" w:rsidRPr="00F24C4A" w:rsidRDefault="00A852DC" w:rsidP="00A852DC">
      <w:pPr>
        <w:pStyle w:val="SingleTxtG"/>
        <w:rPr>
          <w:rFonts w:eastAsia="MS Mincho"/>
        </w:rPr>
      </w:pPr>
      <w:r w:rsidRPr="00F24C4A">
        <w:rPr>
          <w:rFonts w:eastAsia="MS Mincho"/>
        </w:rPr>
        <w:t>22.</w:t>
      </w:r>
      <w:r w:rsidRPr="00F24C4A">
        <w:rPr>
          <w:rFonts w:eastAsia="MS Mincho"/>
        </w:rPr>
        <w:tab/>
        <w:t xml:space="preserve">The following paragraphs refers to the UN-Recommendations, therefore the proposed amendments should first be adopted at the UN-Subcommittee.  </w:t>
      </w:r>
    </w:p>
    <w:p w:rsidR="00A852DC" w:rsidRPr="00F24C4A" w:rsidRDefault="00A852DC" w:rsidP="00A852DC">
      <w:pPr>
        <w:pStyle w:val="SingleTxtG"/>
        <w:rPr>
          <w:rFonts w:eastAsia="MS Mincho"/>
        </w:rPr>
      </w:pPr>
      <w:r w:rsidRPr="00F24C4A">
        <w:rPr>
          <w:rFonts w:eastAsia="MS Mincho"/>
        </w:rPr>
        <w:t>Amend the following paragraphs, changing “loading”/”loadings” with “force”/”forces” or “load”/”loads”:</w:t>
      </w:r>
    </w:p>
    <w:p w:rsidR="00A852DC" w:rsidRPr="00312EAB" w:rsidRDefault="00A852DC" w:rsidP="00A852DC">
      <w:pPr>
        <w:pStyle w:val="SingleTxtG"/>
        <w:ind w:left="1701"/>
        <w:rPr>
          <w:i/>
          <w:lang w:val="en-US"/>
        </w:rPr>
      </w:pPr>
      <w:r w:rsidRPr="00312EAB">
        <w:rPr>
          <w:i/>
          <w:lang w:val="en-US"/>
        </w:rPr>
        <w:t>4.1.1.1</w:t>
      </w:r>
      <w:r>
        <w:rPr>
          <w:i/>
          <w:lang w:val="en-US"/>
        </w:rPr>
        <w:t xml:space="preserve"> (UN/RID/ADR)</w:t>
      </w:r>
    </w:p>
    <w:p w:rsidR="00A852DC" w:rsidRDefault="00A852DC" w:rsidP="00A852DC">
      <w:pPr>
        <w:pStyle w:val="SingleTxtG"/>
        <w:ind w:left="1701"/>
        <w:rPr>
          <w:lang w:val="en-US"/>
        </w:rPr>
      </w:pPr>
      <w:r>
        <w:rPr>
          <w:lang w:val="en-US"/>
        </w:rPr>
        <w:t>“…</w:t>
      </w:r>
      <w:proofErr w:type="gramStart"/>
      <w:r>
        <w:rPr>
          <w:lang w:val="en-US"/>
        </w:rPr>
        <w:t xml:space="preserve">which shall be strong enough to withstand the shocks and </w:t>
      </w:r>
      <w:proofErr w:type="spellStart"/>
      <w:r w:rsidRPr="00954826">
        <w:rPr>
          <w:i/>
          <w:highlight w:val="lightGray"/>
          <w:lang w:val="en-US"/>
        </w:rPr>
        <w:t>forces</w:t>
      </w:r>
      <w:r w:rsidRPr="00954826">
        <w:rPr>
          <w:strike/>
          <w:highlight w:val="lightGray"/>
          <w:lang w:val="en-US"/>
        </w:rPr>
        <w:t>load</w:t>
      </w:r>
      <w:r w:rsidRPr="00AD3494">
        <w:rPr>
          <w:strike/>
          <w:highlight w:val="lightGray"/>
          <w:lang w:val="en-US"/>
        </w:rPr>
        <w:t>ing</w:t>
      </w:r>
      <w:r w:rsidRPr="00954826">
        <w:rPr>
          <w:strike/>
          <w:highlight w:val="lightGray"/>
          <w:lang w:val="en-US"/>
        </w:rPr>
        <w:t>s</w:t>
      </w:r>
      <w:proofErr w:type="spellEnd"/>
      <w:r>
        <w:rPr>
          <w:lang w:val="en-US"/>
        </w:rPr>
        <w:t xml:space="preserve"> normally encountered during carriage…</w:t>
      </w:r>
      <w:proofErr w:type="gramEnd"/>
      <w:r>
        <w:rPr>
          <w:lang w:val="en-US"/>
        </w:rPr>
        <w:t>”</w:t>
      </w:r>
    </w:p>
    <w:p w:rsidR="00A852DC" w:rsidRPr="00312EAB" w:rsidRDefault="00A852DC" w:rsidP="00A852DC">
      <w:pPr>
        <w:pStyle w:val="SingleTxtG"/>
        <w:ind w:left="1701"/>
        <w:rPr>
          <w:i/>
          <w:lang w:val="en-US"/>
        </w:rPr>
      </w:pPr>
      <w:r w:rsidRPr="00312EAB">
        <w:rPr>
          <w:i/>
          <w:lang w:val="en-US"/>
        </w:rPr>
        <w:lastRenderedPageBreak/>
        <w:t>4.1.3.8.1</w:t>
      </w:r>
      <w:r>
        <w:rPr>
          <w:i/>
          <w:lang w:val="en-US"/>
        </w:rPr>
        <w:t>(UN/RID/ADR)</w:t>
      </w:r>
    </w:p>
    <w:p w:rsidR="00A852DC" w:rsidRDefault="00A852DC" w:rsidP="00A852DC">
      <w:pPr>
        <w:pStyle w:val="SingleTxtG"/>
        <w:ind w:left="1701"/>
        <w:rPr>
          <w:lang w:val="en-US"/>
        </w:rPr>
      </w:pPr>
      <w:r>
        <w:rPr>
          <w:lang w:val="en-US"/>
        </w:rPr>
        <w:t>“(</w:t>
      </w:r>
      <w:proofErr w:type="gramStart"/>
      <w:r>
        <w:rPr>
          <w:lang w:val="en-US"/>
        </w:rPr>
        <w:t>a</w:t>
      </w:r>
      <w:proofErr w:type="gramEnd"/>
      <w:r>
        <w:rPr>
          <w:lang w:val="en-US"/>
        </w:rPr>
        <w:t xml:space="preserve">) Large and robust articles shall be strong enough to withstand the shocks and </w:t>
      </w:r>
      <w:proofErr w:type="spellStart"/>
      <w:r w:rsidRPr="00954826">
        <w:rPr>
          <w:i/>
          <w:highlight w:val="lightGray"/>
          <w:lang w:val="en-US"/>
        </w:rPr>
        <w:t>forces</w:t>
      </w:r>
      <w:r w:rsidRPr="00954826">
        <w:rPr>
          <w:strike/>
          <w:highlight w:val="lightGray"/>
          <w:lang w:val="en-US"/>
        </w:rPr>
        <w:t>load</w:t>
      </w:r>
      <w:r w:rsidRPr="00AD3494">
        <w:rPr>
          <w:strike/>
          <w:highlight w:val="lightGray"/>
          <w:lang w:val="en-US"/>
        </w:rPr>
        <w:t>ing</w:t>
      </w:r>
      <w:r w:rsidRPr="00954826">
        <w:rPr>
          <w:strike/>
          <w:highlight w:val="lightGray"/>
          <w:lang w:val="en-US"/>
        </w:rPr>
        <w:t>s</w:t>
      </w:r>
      <w:proofErr w:type="spellEnd"/>
      <w:r>
        <w:rPr>
          <w:lang w:val="en-US"/>
        </w:rPr>
        <w:t xml:space="preserve"> normally encountered during carriage…”</w:t>
      </w:r>
    </w:p>
    <w:p w:rsidR="00A852DC" w:rsidRPr="00312EAB" w:rsidRDefault="00A852DC" w:rsidP="00A852DC">
      <w:pPr>
        <w:pStyle w:val="SingleTxtG"/>
        <w:ind w:left="1701"/>
        <w:rPr>
          <w:i/>
          <w:lang w:val="en-US"/>
        </w:rPr>
      </w:pPr>
      <w:r w:rsidRPr="00312EAB">
        <w:rPr>
          <w:i/>
          <w:lang w:val="en-US"/>
        </w:rPr>
        <w:t>P650</w:t>
      </w:r>
      <w:r>
        <w:rPr>
          <w:i/>
          <w:lang w:val="en-US"/>
        </w:rPr>
        <w:t xml:space="preserve"> (UN/RID/ADR)</w:t>
      </w:r>
    </w:p>
    <w:p w:rsidR="00A852DC" w:rsidRDefault="00A852DC" w:rsidP="00A852DC">
      <w:pPr>
        <w:pStyle w:val="SingleTxtG"/>
        <w:ind w:left="1701"/>
        <w:rPr>
          <w:lang w:val="en-US"/>
        </w:rPr>
      </w:pPr>
      <w:r>
        <w:rPr>
          <w:lang w:val="en-US"/>
        </w:rPr>
        <w:t xml:space="preserve">“The packaging shall be of good quality, strong enough to withstand the shocks and </w:t>
      </w:r>
      <w:proofErr w:type="spellStart"/>
      <w:r w:rsidRPr="00954826">
        <w:rPr>
          <w:i/>
          <w:highlight w:val="lightGray"/>
          <w:lang w:val="en-US"/>
        </w:rPr>
        <w:t>forces</w:t>
      </w:r>
      <w:r w:rsidRPr="00954826">
        <w:rPr>
          <w:strike/>
          <w:highlight w:val="lightGray"/>
          <w:lang w:val="en-US"/>
        </w:rPr>
        <w:t>load</w:t>
      </w:r>
      <w:r w:rsidRPr="001F3C53">
        <w:rPr>
          <w:strike/>
          <w:highlight w:val="lightGray"/>
          <w:lang w:val="en-US"/>
        </w:rPr>
        <w:t>ing</w:t>
      </w:r>
      <w:r w:rsidRPr="00954826">
        <w:rPr>
          <w:strike/>
          <w:highlight w:val="lightGray"/>
          <w:lang w:val="en-US"/>
        </w:rPr>
        <w:t>s</w:t>
      </w:r>
      <w:proofErr w:type="spellEnd"/>
      <w:r>
        <w:rPr>
          <w:lang w:val="en-US"/>
        </w:rPr>
        <w:t xml:space="preserve"> normally encountered during carriage…”</w:t>
      </w:r>
    </w:p>
    <w:p w:rsidR="00A852DC" w:rsidRPr="00312EAB" w:rsidRDefault="00A852DC" w:rsidP="00A852DC">
      <w:pPr>
        <w:pStyle w:val="SingleTxtG"/>
        <w:ind w:left="1701"/>
        <w:rPr>
          <w:i/>
          <w:lang w:val="en-US"/>
        </w:rPr>
      </w:pPr>
      <w:r w:rsidRPr="00312EAB">
        <w:rPr>
          <w:i/>
          <w:lang w:val="en-US"/>
        </w:rPr>
        <w:t>4.1.5.2 (c</w:t>
      </w:r>
      <w:proofErr w:type="gramStart"/>
      <w:r w:rsidRPr="00312EAB">
        <w:rPr>
          <w:i/>
          <w:lang w:val="en-US"/>
        </w:rPr>
        <w:t>)</w:t>
      </w:r>
      <w:r>
        <w:rPr>
          <w:i/>
          <w:lang w:val="en-US"/>
        </w:rPr>
        <w:t>(</w:t>
      </w:r>
      <w:proofErr w:type="gramEnd"/>
      <w:r>
        <w:rPr>
          <w:i/>
          <w:lang w:val="en-US"/>
        </w:rPr>
        <w:t>UN/RID/ADR)</w:t>
      </w:r>
    </w:p>
    <w:p w:rsidR="00A852DC" w:rsidRDefault="00A852DC" w:rsidP="00A852DC">
      <w:pPr>
        <w:pStyle w:val="SingleTxtG"/>
        <w:ind w:left="1701"/>
        <w:rPr>
          <w:lang w:val="en-US"/>
        </w:rPr>
      </w:pPr>
      <w:r>
        <w:rPr>
          <w:lang w:val="en-US"/>
        </w:rPr>
        <w:t>“(c) The packages will withstand any load</w:t>
      </w:r>
      <w:r w:rsidRPr="00BF2AD9">
        <w:rPr>
          <w:strike/>
          <w:highlight w:val="lightGray"/>
          <w:lang w:val="en-US"/>
        </w:rPr>
        <w:t>ing</w:t>
      </w:r>
      <w:r>
        <w:rPr>
          <w:lang w:val="en-US"/>
        </w:rPr>
        <w:t xml:space="preserve"> imposed on them…”</w:t>
      </w:r>
    </w:p>
    <w:p w:rsidR="00A852DC" w:rsidRPr="00954826" w:rsidRDefault="00A852DC" w:rsidP="00A852DC">
      <w:pPr>
        <w:pStyle w:val="SingleTxtG"/>
        <w:ind w:left="1701"/>
        <w:rPr>
          <w:i/>
        </w:rPr>
      </w:pPr>
      <w:r w:rsidRPr="00FB5DC9">
        <w:rPr>
          <w:i/>
        </w:rPr>
        <w:t>5.5.2.3.4</w:t>
      </w:r>
      <w:r>
        <w:t xml:space="preserve"> (</w:t>
      </w:r>
      <w:r>
        <w:rPr>
          <w:i/>
          <w:lang w:val="en-US"/>
        </w:rPr>
        <w:t>UN/RID/ADR)</w:t>
      </w:r>
    </w:p>
    <w:p w:rsidR="00A852DC" w:rsidRPr="00FB5DC9" w:rsidRDefault="00A852DC" w:rsidP="00A852DC">
      <w:pPr>
        <w:pStyle w:val="SingleTxtG"/>
        <w:ind w:left="1701"/>
        <w:rPr>
          <w:lang w:val="en-US"/>
        </w:rPr>
      </w:pPr>
      <w:r w:rsidRPr="00FB5DC9">
        <w:rPr>
          <w:lang w:val="en-US"/>
        </w:rPr>
        <w:t>“When the fumigated cargo transport unit has been ventilated and the fumigated goods or materials unloaded, the fumigation warning mark shall be removed.”</w:t>
      </w:r>
    </w:p>
    <w:p w:rsidR="00A852DC" w:rsidRPr="00312EAB" w:rsidRDefault="00A852DC" w:rsidP="00A852DC">
      <w:pPr>
        <w:pStyle w:val="SingleTxtG"/>
        <w:ind w:left="1701"/>
        <w:rPr>
          <w:i/>
          <w:lang w:val="en-US"/>
        </w:rPr>
      </w:pPr>
      <w:r w:rsidRPr="00312EAB">
        <w:rPr>
          <w:i/>
          <w:lang w:val="en-US"/>
        </w:rPr>
        <w:t>6.7.2.2.12 (d), 6.7.3.2.9 (d), 6.7.4.2.12 (d) and 6.7.5.2.8 (d)</w:t>
      </w:r>
      <w:r w:rsidRPr="00297FFB">
        <w:rPr>
          <w:i/>
          <w:lang w:val="en-US"/>
        </w:rPr>
        <w:t xml:space="preserve"> </w:t>
      </w:r>
      <w:r>
        <w:rPr>
          <w:i/>
          <w:lang w:val="en-US"/>
        </w:rPr>
        <w:t>(UN/RID/ADR)</w:t>
      </w:r>
    </w:p>
    <w:p w:rsidR="00A852DC" w:rsidRDefault="00A852DC" w:rsidP="00A852DC">
      <w:pPr>
        <w:pStyle w:val="SingleTxtG"/>
        <w:ind w:left="1701"/>
        <w:rPr>
          <w:lang w:val="en-US"/>
        </w:rPr>
      </w:pPr>
      <w:r>
        <w:rPr>
          <w:lang w:val="en-US"/>
        </w:rPr>
        <w:t>“(d) Vertically downwards: twice the MPGM (total load</w:t>
      </w:r>
      <w:r w:rsidRPr="00954826">
        <w:rPr>
          <w:strike/>
          <w:highlight w:val="lightGray"/>
          <w:lang w:val="en-US"/>
        </w:rPr>
        <w:t>ing</w:t>
      </w:r>
      <w:r>
        <w:rPr>
          <w:lang w:val="en-US"/>
        </w:rPr>
        <w:t xml:space="preserve"> including the effect of gravity) multiplied…”</w:t>
      </w:r>
    </w:p>
    <w:p w:rsidR="00A852DC" w:rsidRPr="00312EAB" w:rsidRDefault="00A852DC" w:rsidP="00A852DC">
      <w:pPr>
        <w:pStyle w:val="SingleTxtG"/>
        <w:ind w:left="1701"/>
        <w:rPr>
          <w:i/>
          <w:lang w:val="en-US"/>
        </w:rPr>
      </w:pPr>
      <w:r w:rsidRPr="00312EAB">
        <w:rPr>
          <w:i/>
          <w:lang w:val="en-US"/>
        </w:rPr>
        <w:t>6.7.5.2.2</w:t>
      </w:r>
      <w:r>
        <w:rPr>
          <w:i/>
          <w:lang w:val="en-US"/>
        </w:rPr>
        <w:t>(UN/RID/ADR)</w:t>
      </w:r>
    </w:p>
    <w:p w:rsidR="00A852DC" w:rsidRDefault="00A852DC" w:rsidP="00A852DC">
      <w:pPr>
        <w:pStyle w:val="SingleTxtG"/>
        <w:ind w:left="1701"/>
        <w:rPr>
          <w:lang w:val="en-US"/>
        </w:rPr>
      </w:pPr>
      <w:r>
        <w:rPr>
          <w:lang w:val="en-US"/>
        </w:rPr>
        <w:t xml:space="preserve">“… The design shall take into account the effects of dynamic </w:t>
      </w:r>
      <w:r w:rsidRPr="00954826">
        <w:rPr>
          <w:i/>
          <w:highlight w:val="lightGray"/>
          <w:lang w:val="en-US"/>
        </w:rPr>
        <w:t>forces</w:t>
      </w:r>
      <w:r w:rsidRPr="00954826">
        <w:rPr>
          <w:highlight w:val="lightGray"/>
          <w:lang w:val="en-US"/>
        </w:rPr>
        <w:t xml:space="preserve"> </w:t>
      </w:r>
      <w:r w:rsidRPr="00954826">
        <w:rPr>
          <w:strike/>
          <w:highlight w:val="lightGray"/>
          <w:lang w:val="en-US"/>
        </w:rPr>
        <w:t>load</w:t>
      </w:r>
      <w:r w:rsidRPr="001F3C53">
        <w:rPr>
          <w:strike/>
          <w:highlight w:val="lightGray"/>
          <w:lang w:val="en-US"/>
        </w:rPr>
        <w:t>ing</w:t>
      </w:r>
      <w:r w:rsidRPr="00954826">
        <w:rPr>
          <w:i/>
          <w:strike/>
          <w:highlight w:val="lightGray"/>
          <w:lang w:val="en-US"/>
        </w:rPr>
        <w:t>s</w:t>
      </w:r>
      <w:r>
        <w:rPr>
          <w:lang w:val="en-US"/>
        </w:rPr>
        <w:t xml:space="preserve"> and fatigue.”</w:t>
      </w:r>
    </w:p>
    <w:p w:rsidR="00A852DC" w:rsidRPr="00A852DC" w:rsidRDefault="00A852DC" w:rsidP="00A852DC">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A852DC" w:rsidRPr="00A852DC" w:rsidSect="009D2A5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9B" w:rsidRDefault="006F099B"/>
  </w:endnote>
  <w:endnote w:type="continuationSeparator" w:id="0">
    <w:p w:rsidR="006F099B" w:rsidRDefault="006F099B"/>
  </w:endnote>
  <w:endnote w:type="continuationNotice" w:id="1">
    <w:p w:rsidR="006F099B" w:rsidRDefault="006F0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B" w:rsidRPr="009D2A5B" w:rsidRDefault="006F099B"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E74CC4">
      <w:rPr>
        <w:b/>
        <w:noProof/>
        <w:sz w:val="18"/>
      </w:rPr>
      <w:t>6</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B" w:rsidRPr="009D2A5B" w:rsidRDefault="006F099B"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E74CC4">
      <w:rPr>
        <w:b/>
        <w:noProof/>
        <w:sz w:val="18"/>
      </w:rPr>
      <w:t>5</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B" w:rsidRPr="0048397A" w:rsidRDefault="006F099B">
    <w:pPr>
      <w:pStyle w:val="Footer"/>
      <w:rPr>
        <w:sz w:val="20"/>
      </w:rPr>
    </w:pPr>
    <w:r>
      <w:rPr>
        <w:sz w:val="20"/>
      </w:rPr>
      <w:t>GE.15-</w:t>
    </w:r>
    <w:r>
      <w:rPr>
        <w:noProof/>
        <w:sz w:val="20"/>
        <w:lang w:eastAsia="en-GB"/>
      </w:rPr>
      <w:drawing>
        <wp:anchor distT="0" distB="0" distL="114300" distR="114300" simplePos="0" relativeHeight="251657728" behindDoc="0" locked="1" layoutInCell="1" allowOverlap="1" wp14:anchorId="52CDA499" wp14:editId="36306FCD">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9B" w:rsidRPr="000B175B" w:rsidRDefault="006F099B" w:rsidP="000B175B">
      <w:pPr>
        <w:tabs>
          <w:tab w:val="right" w:pos="2155"/>
        </w:tabs>
        <w:spacing w:after="80"/>
        <w:ind w:left="680"/>
        <w:rPr>
          <w:u w:val="single"/>
        </w:rPr>
      </w:pPr>
      <w:r>
        <w:rPr>
          <w:u w:val="single"/>
        </w:rPr>
        <w:tab/>
      </w:r>
    </w:p>
  </w:footnote>
  <w:footnote w:type="continuationSeparator" w:id="0">
    <w:p w:rsidR="006F099B" w:rsidRPr="00FC68B7" w:rsidRDefault="006F099B" w:rsidP="00FC68B7">
      <w:pPr>
        <w:tabs>
          <w:tab w:val="left" w:pos="2155"/>
        </w:tabs>
        <w:spacing w:after="80"/>
        <w:ind w:left="680"/>
        <w:rPr>
          <w:u w:val="single"/>
        </w:rPr>
      </w:pPr>
      <w:r>
        <w:rPr>
          <w:u w:val="single"/>
        </w:rPr>
        <w:tab/>
      </w:r>
    </w:p>
  </w:footnote>
  <w:footnote w:type="continuationNotice" w:id="1">
    <w:p w:rsidR="006F099B" w:rsidRDefault="006F099B"/>
  </w:footnote>
  <w:footnote w:id="2">
    <w:p w:rsidR="00A852DC" w:rsidRPr="00BA3578" w:rsidRDefault="00A852DC" w:rsidP="00A852DC">
      <w:pPr>
        <w:pStyle w:val="FootnoteText"/>
        <w:widowControl w:val="0"/>
        <w:tabs>
          <w:tab w:val="clear" w:pos="1021"/>
          <w:tab w:val="right" w:pos="1020"/>
        </w:tabs>
      </w:pPr>
      <w:r>
        <w:tab/>
      </w:r>
      <w:r>
        <w:rPr>
          <w:rStyle w:val="FootnoteReference"/>
        </w:rPr>
        <w:footnoteRef/>
      </w:r>
      <w:r>
        <w:tab/>
      </w:r>
      <w:r w:rsidRPr="00BA3578">
        <w:t>In accordance with the programme of work of the Inland Transport Committee for 2014–2015 (ECE/TRANS/240, para. 100, ECE/TRANS/2014/23, cluster 9, para.9.2).</w:t>
      </w:r>
    </w:p>
  </w:footnote>
  <w:footnote w:id="3">
    <w:p w:rsidR="00A852DC" w:rsidRPr="00BA3578" w:rsidRDefault="00A852DC" w:rsidP="00A852DC">
      <w:pPr>
        <w:pStyle w:val="FootnoteText"/>
        <w:widowControl w:val="0"/>
        <w:tabs>
          <w:tab w:val="clear" w:pos="1021"/>
          <w:tab w:val="right" w:pos="1020"/>
        </w:tabs>
      </w:pPr>
      <w:r w:rsidRPr="00BA3578">
        <w:tab/>
      </w:r>
      <w:r w:rsidRPr="00BA3578">
        <w:rPr>
          <w:rStyle w:val="FootnoteReference"/>
        </w:rPr>
        <w:footnoteRef/>
      </w:r>
      <w:r w:rsidRPr="00BA3578">
        <w:tab/>
        <w:t>Circulated by the Intergovernmental Organisation for International Carriage by Rail (OTIF) und</w:t>
      </w:r>
      <w:r>
        <w:t>er the symbol OTIF/RID/RC/2015/</w:t>
      </w:r>
      <w:r w:rsidRPr="00CF79FB">
        <w:rPr>
          <w:lang w:val="en-GB"/>
        </w:rPr>
        <w:t>3</w:t>
      </w:r>
      <w:r>
        <w:rPr>
          <w:lang w:val="en-GB"/>
        </w:rPr>
        <w:t>7</w:t>
      </w:r>
      <w:r w:rsidRPr="00BA357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B" w:rsidRPr="009D2A5B" w:rsidRDefault="006F099B" w:rsidP="009D2A5B">
    <w:pPr>
      <w:pStyle w:val="Header"/>
    </w:pPr>
    <w:r w:rsidRPr="009D2A5B">
      <w:t>ECE/TRANS/WP.15/AC.1/201</w:t>
    </w:r>
    <w:r>
      <w:t>5</w:t>
    </w:r>
    <w:r w:rsidRPr="009D2A5B">
      <w:t>/</w:t>
    </w:r>
    <w:r>
      <w:t>3</w:t>
    </w:r>
    <w:r w:rsidR="00A852DC">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B" w:rsidRPr="009D2A5B" w:rsidRDefault="006F099B" w:rsidP="009D2A5B">
    <w:pPr>
      <w:pStyle w:val="Header"/>
      <w:jc w:val="right"/>
    </w:pPr>
    <w:r w:rsidRPr="009D2A5B">
      <w:t>ECE/TRANS/WP.15/AC.1/201</w:t>
    </w:r>
    <w:r>
      <w:t>5</w:t>
    </w:r>
    <w:r w:rsidRPr="009D2A5B">
      <w:t>/</w:t>
    </w:r>
    <w:r>
      <w:t>3</w:t>
    </w:r>
    <w:r w:rsidR="00A852DC">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269082D"/>
    <w:multiLevelType w:val="hybridMultilevel"/>
    <w:tmpl w:val="A3C668B6"/>
    <w:lvl w:ilvl="0" w:tplc="0409000F">
      <w:start w:val="1"/>
      <w:numFmt w:val="decimal"/>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3"/>
  </w:num>
  <w:num w:numId="16">
    <w:abstractNumId w:val="11"/>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7F90"/>
    <w:rsid w:val="00046B1F"/>
    <w:rsid w:val="00050F6B"/>
    <w:rsid w:val="00057E97"/>
    <w:rsid w:val="00072C8C"/>
    <w:rsid w:val="000733B5"/>
    <w:rsid w:val="00081815"/>
    <w:rsid w:val="000931C0"/>
    <w:rsid w:val="000B022F"/>
    <w:rsid w:val="000B0595"/>
    <w:rsid w:val="000B175B"/>
    <w:rsid w:val="000B3A0F"/>
    <w:rsid w:val="000B4EF7"/>
    <w:rsid w:val="000C2C03"/>
    <w:rsid w:val="000C2D2E"/>
    <w:rsid w:val="000C4D51"/>
    <w:rsid w:val="000C5682"/>
    <w:rsid w:val="000E0415"/>
    <w:rsid w:val="000E157A"/>
    <w:rsid w:val="0010703B"/>
    <w:rsid w:val="001103AA"/>
    <w:rsid w:val="0011666B"/>
    <w:rsid w:val="00155068"/>
    <w:rsid w:val="00165557"/>
    <w:rsid w:val="00165F3A"/>
    <w:rsid w:val="00186147"/>
    <w:rsid w:val="00197ED7"/>
    <w:rsid w:val="001A0711"/>
    <w:rsid w:val="001B13A5"/>
    <w:rsid w:val="001B4B04"/>
    <w:rsid w:val="001C6663"/>
    <w:rsid w:val="001C7895"/>
    <w:rsid w:val="001D0C8C"/>
    <w:rsid w:val="001D1419"/>
    <w:rsid w:val="001D26DF"/>
    <w:rsid w:val="001D3A03"/>
    <w:rsid w:val="001D7F46"/>
    <w:rsid w:val="001E0B9E"/>
    <w:rsid w:val="001E2674"/>
    <w:rsid w:val="001E7B67"/>
    <w:rsid w:val="001F7435"/>
    <w:rsid w:val="00202DA8"/>
    <w:rsid w:val="002042CE"/>
    <w:rsid w:val="0021157B"/>
    <w:rsid w:val="00211E0B"/>
    <w:rsid w:val="00216E14"/>
    <w:rsid w:val="00234112"/>
    <w:rsid w:val="00267F5F"/>
    <w:rsid w:val="00277D27"/>
    <w:rsid w:val="00283A44"/>
    <w:rsid w:val="00286B4D"/>
    <w:rsid w:val="00295F09"/>
    <w:rsid w:val="002A603B"/>
    <w:rsid w:val="002A7B83"/>
    <w:rsid w:val="002D4643"/>
    <w:rsid w:val="002D4B6C"/>
    <w:rsid w:val="002F175C"/>
    <w:rsid w:val="002F53D7"/>
    <w:rsid w:val="00302E18"/>
    <w:rsid w:val="00322290"/>
    <w:rsid w:val="003229D8"/>
    <w:rsid w:val="00325F38"/>
    <w:rsid w:val="00352709"/>
    <w:rsid w:val="00371178"/>
    <w:rsid w:val="003870A1"/>
    <w:rsid w:val="003A6810"/>
    <w:rsid w:val="003C2CC4"/>
    <w:rsid w:val="003D4B23"/>
    <w:rsid w:val="003F1E6A"/>
    <w:rsid w:val="003F4266"/>
    <w:rsid w:val="003F6047"/>
    <w:rsid w:val="004059B4"/>
    <w:rsid w:val="00410C89"/>
    <w:rsid w:val="00422E03"/>
    <w:rsid w:val="00426B9B"/>
    <w:rsid w:val="004325CB"/>
    <w:rsid w:val="00434071"/>
    <w:rsid w:val="00442A83"/>
    <w:rsid w:val="0045495B"/>
    <w:rsid w:val="004808D3"/>
    <w:rsid w:val="0048397A"/>
    <w:rsid w:val="004A12F2"/>
    <w:rsid w:val="004A5B30"/>
    <w:rsid w:val="004C2461"/>
    <w:rsid w:val="004C7462"/>
    <w:rsid w:val="004D4E04"/>
    <w:rsid w:val="004D5426"/>
    <w:rsid w:val="004E0C05"/>
    <w:rsid w:val="004E77B2"/>
    <w:rsid w:val="004F43DB"/>
    <w:rsid w:val="00503DEB"/>
    <w:rsid w:val="00504B2D"/>
    <w:rsid w:val="0052136D"/>
    <w:rsid w:val="00522B58"/>
    <w:rsid w:val="0052775E"/>
    <w:rsid w:val="00535C90"/>
    <w:rsid w:val="005420F2"/>
    <w:rsid w:val="00546993"/>
    <w:rsid w:val="00550D3B"/>
    <w:rsid w:val="005628B6"/>
    <w:rsid w:val="005A575C"/>
    <w:rsid w:val="005B008A"/>
    <w:rsid w:val="005B3DB3"/>
    <w:rsid w:val="005B4E13"/>
    <w:rsid w:val="005D68D6"/>
    <w:rsid w:val="005E6A77"/>
    <w:rsid w:val="005F7B75"/>
    <w:rsid w:val="006001EE"/>
    <w:rsid w:val="00605042"/>
    <w:rsid w:val="00611FC4"/>
    <w:rsid w:val="006176FB"/>
    <w:rsid w:val="00640B26"/>
    <w:rsid w:val="00646FA2"/>
    <w:rsid w:val="006520EB"/>
    <w:rsid w:val="00652D0A"/>
    <w:rsid w:val="006563A7"/>
    <w:rsid w:val="006623D5"/>
    <w:rsid w:val="00662BB6"/>
    <w:rsid w:val="00667F8F"/>
    <w:rsid w:val="00684C21"/>
    <w:rsid w:val="00684CD4"/>
    <w:rsid w:val="0069232B"/>
    <w:rsid w:val="00692BD5"/>
    <w:rsid w:val="00697A0B"/>
    <w:rsid w:val="006A2530"/>
    <w:rsid w:val="006C3589"/>
    <w:rsid w:val="006D37AF"/>
    <w:rsid w:val="006D51D0"/>
    <w:rsid w:val="006E1355"/>
    <w:rsid w:val="006E564B"/>
    <w:rsid w:val="006E7191"/>
    <w:rsid w:val="006F099B"/>
    <w:rsid w:val="00703577"/>
    <w:rsid w:val="00705894"/>
    <w:rsid w:val="00714C94"/>
    <w:rsid w:val="0072632A"/>
    <w:rsid w:val="00731FF0"/>
    <w:rsid w:val="007327D5"/>
    <w:rsid w:val="00735BA5"/>
    <w:rsid w:val="00754ED8"/>
    <w:rsid w:val="00755AA7"/>
    <w:rsid w:val="007611CF"/>
    <w:rsid w:val="007629C8"/>
    <w:rsid w:val="0077047D"/>
    <w:rsid w:val="00774CE6"/>
    <w:rsid w:val="007B5050"/>
    <w:rsid w:val="007B6BA5"/>
    <w:rsid w:val="007C3390"/>
    <w:rsid w:val="007C4F4B"/>
    <w:rsid w:val="007E01E9"/>
    <w:rsid w:val="007E63F3"/>
    <w:rsid w:val="007F6611"/>
    <w:rsid w:val="007F7106"/>
    <w:rsid w:val="00811920"/>
    <w:rsid w:val="00815AD0"/>
    <w:rsid w:val="00823CDF"/>
    <w:rsid w:val="008242D7"/>
    <w:rsid w:val="008257B1"/>
    <w:rsid w:val="00843767"/>
    <w:rsid w:val="008521A5"/>
    <w:rsid w:val="008527BD"/>
    <w:rsid w:val="008615CE"/>
    <w:rsid w:val="008679D9"/>
    <w:rsid w:val="00871389"/>
    <w:rsid w:val="00883999"/>
    <w:rsid w:val="008878DE"/>
    <w:rsid w:val="008979B1"/>
    <w:rsid w:val="008A6B25"/>
    <w:rsid w:val="008A6C4F"/>
    <w:rsid w:val="008B2335"/>
    <w:rsid w:val="008B717B"/>
    <w:rsid w:val="008E0678"/>
    <w:rsid w:val="008E3E0A"/>
    <w:rsid w:val="008F6495"/>
    <w:rsid w:val="009223CA"/>
    <w:rsid w:val="00926670"/>
    <w:rsid w:val="0093125B"/>
    <w:rsid w:val="00931ADF"/>
    <w:rsid w:val="00940F93"/>
    <w:rsid w:val="0094558F"/>
    <w:rsid w:val="00957E03"/>
    <w:rsid w:val="00961690"/>
    <w:rsid w:val="00967B33"/>
    <w:rsid w:val="009760F3"/>
    <w:rsid w:val="009A0E8D"/>
    <w:rsid w:val="009B1518"/>
    <w:rsid w:val="009B26E7"/>
    <w:rsid w:val="009B6669"/>
    <w:rsid w:val="009C454F"/>
    <w:rsid w:val="009C7745"/>
    <w:rsid w:val="009D2A5B"/>
    <w:rsid w:val="009D7FA4"/>
    <w:rsid w:val="009E3DD7"/>
    <w:rsid w:val="00A00A3F"/>
    <w:rsid w:val="00A01489"/>
    <w:rsid w:val="00A15624"/>
    <w:rsid w:val="00A16E58"/>
    <w:rsid w:val="00A17C04"/>
    <w:rsid w:val="00A23D32"/>
    <w:rsid w:val="00A3009E"/>
    <w:rsid w:val="00A3026E"/>
    <w:rsid w:val="00A338F1"/>
    <w:rsid w:val="00A44B17"/>
    <w:rsid w:val="00A72F22"/>
    <w:rsid w:val="00A7360F"/>
    <w:rsid w:val="00A748A6"/>
    <w:rsid w:val="00A769F4"/>
    <w:rsid w:val="00A776B4"/>
    <w:rsid w:val="00A8479D"/>
    <w:rsid w:val="00A852DC"/>
    <w:rsid w:val="00A94361"/>
    <w:rsid w:val="00A943BA"/>
    <w:rsid w:val="00AA189A"/>
    <w:rsid w:val="00AA293C"/>
    <w:rsid w:val="00AC4E7D"/>
    <w:rsid w:val="00AF0BF8"/>
    <w:rsid w:val="00AF26BE"/>
    <w:rsid w:val="00B03211"/>
    <w:rsid w:val="00B11BB4"/>
    <w:rsid w:val="00B22BC2"/>
    <w:rsid w:val="00B30179"/>
    <w:rsid w:val="00B421C1"/>
    <w:rsid w:val="00B55C71"/>
    <w:rsid w:val="00B56E4A"/>
    <w:rsid w:val="00B56E9C"/>
    <w:rsid w:val="00B61320"/>
    <w:rsid w:val="00B618C4"/>
    <w:rsid w:val="00B64B1F"/>
    <w:rsid w:val="00B6553F"/>
    <w:rsid w:val="00B70F1E"/>
    <w:rsid w:val="00B77D05"/>
    <w:rsid w:val="00B81206"/>
    <w:rsid w:val="00B81E12"/>
    <w:rsid w:val="00B914A6"/>
    <w:rsid w:val="00BA7CCE"/>
    <w:rsid w:val="00BB7CD1"/>
    <w:rsid w:val="00BC3FA0"/>
    <w:rsid w:val="00BC74E9"/>
    <w:rsid w:val="00BF68A8"/>
    <w:rsid w:val="00C10FE6"/>
    <w:rsid w:val="00C11A03"/>
    <w:rsid w:val="00C15BF3"/>
    <w:rsid w:val="00C22C0C"/>
    <w:rsid w:val="00C30C61"/>
    <w:rsid w:val="00C4527F"/>
    <w:rsid w:val="00C463DD"/>
    <w:rsid w:val="00C4724C"/>
    <w:rsid w:val="00C629A0"/>
    <w:rsid w:val="00C64629"/>
    <w:rsid w:val="00C745C3"/>
    <w:rsid w:val="00C76F8B"/>
    <w:rsid w:val="00CA6342"/>
    <w:rsid w:val="00CB3E03"/>
    <w:rsid w:val="00CD5E14"/>
    <w:rsid w:val="00CE4A8F"/>
    <w:rsid w:val="00CF79FB"/>
    <w:rsid w:val="00D2031B"/>
    <w:rsid w:val="00D25FE2"/>
    <w:rsid w:val="00D43252"/>
    <w:rsid w:val="00D47EEA"/>
    <w:rsid w:val="00D50827"/>
    <w:rsid w:val="00D550D4"/>
    <w:rsid w:val="00D6338C"/>
    <w:rsid w:val="00D773DF"/>
    <w:rsid w:val="00D85770"/>
    <w:rsid w:val="00D85A0E"/>
    <w:rsid w:val="00D872AC"/>
    <w:rsid w:val="00D9255F"/>
    <w:rsid w:val="00D95303"/>
    <w:rsid w:val="00D978C6"/>
    <w:rsid w:val="00DA3C1C"/>
    <w:rsid w:val="00DB2651"/>
    <w:rsid w:val="00DE00EC"/>
    <w:rsid w:val="00E0182A"/>
    <w:rsid w:val="00E046DF"/>
    <w:rsid w:val="00E05B49"/>
    <w:rsid w:val="00E109E1"/>
    <w:rsid w:val="00E113B1"/>
    <w:rsid w:val="00E15051"/>
    <w:rsid w:val="00E15557"/>
    <w:rsid w:val="00E240D2"/>
    <w:rsid w:val="00E27346"/>
    <w:rsid w:val="00E314A5"/>
    <w:rsid w:val="00E3152E"/>
    <w:rsid w:val="00E31B24"/>
    <w:rsid w:val="00E4347F"/>
    <w:rsid w:val="00E71610"/>
    <w:rsid w:val="00E71BC8"/>
    <w:rsid w:val="00E7260F"/>
    <w:rsid w:val="00E73F5D"/>
    <w:rsid w:val="00E74CC4"/>
    <w:rsid w:val="00E77E4E"/>
    <w:rsid w:val="00E80673"/>
    <w:rsid w:val="00E96630"/>
    <w:rsid w:val="00EC106A"/>
    <w:rsid w:val="00ED2C3B"/>
    <w:rsid w:val="00ED7A2A"/>
    <w:rsid w:val="00EE6B3A"/>
    <w:rsid w:val="00EF1D7F"/>
    <w:rsid w:val="00F2394E"/>
    <w:rsid w:val="00F31E5F"/>
    <w:rsid w:val="00F32BB7"/>
    <w:rsid w:val="00F412DE"/>
    <w:rsid w:val="00F6100A"/>
    <w:rsid w:val="00F63C9D"/>
    <w:rsid w:val="00F641EC"/>
    <w:rsid w:val="00F66565"/>
    <w:rsid w:val="00F75A16"/>
    <w:rsid w:val="00F83FF8"/>
    <w:rsid w:val="00F93781"/>
    <w:rsid w:val="00FA57B8"/>
    <w:rsid w:val="00FB613B"/>
    <w:rsid w:val="00FC68B7"/>
    <w:rsid w:val="00FE0150"/>
    <w:rsid w:val="00FE106A"/>
    <w:rsid w:val="00FE175E"/>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locked/>
    <w:rsid w:val="00186147"/>
    <w:rPr>
      <w:b/>
      <w:sz w:val="28"/>
      <w:lang w:eastAsia="en-US"/>
    </w:rPr>
  </w:style>
  <w:style w:type="character" w:customStyle="1" w:styleId="SingleTxtGChar">
    <w:name w:val="_ Single Txt_G Char"/>
    <w:link w:val="SingleTxtG"/>
    <w:rsid w:val="00186147"/>
    <w:rPr>
      <w:lang w:eastAsia="en-US"/>
    </w:rPr>
  </w:style>
  <w:style w:type="paragraph" w:customStyle="1" w:styleId="Default">
    <w:name w:val="Default"/>
    <w:rsid w:val="00186147"/>
    <w:pPr>
      <w:widowControl w:val="0"/>
      <w:autoSpaceDE w:val="0"/>
      <w:autoSpaceDN w:val="0"/>
      <w:adjustRightInd w:val="0"/>
    </w:pPr>
    <w:rPr>
      <w:color w:val="000000"/>
      <w:sz w:val="24"/>
      <w:szCs w:val="24"/>
      <w:lang w:val="en-US" w:eastAsia="en-US"/>
    </w:rPr>
  </w:style>
  <w:style w:type="paragraph" w:styleId="CommentSubject">
    <w:name w:val="annotation subject"/>
    <w:basedOn w:val="CommentText"/>
    <w:next w:val="CommentText"/>
    <w:link w:val="CommentSubjectChar"/>
    <w:rsid w:val="0010703B"/>
    <w:rPr>
      <w:b/>
      <w:bCs/>
    </w:rPr>
  </w:style>
  <w:style w:type="character" w:customStyle="1" w:styleId="CommentTextChar">
    <w:name w:val="Comment Text Char"/>
    <w:link w:val="CommentText"/>
    <w:semiHidden/>
    <w:rsid w:val="0010703B"/>
    <w:rPr>
      <w:lang w:val="en-GB" w:eastAsia="en-US"/>
    </w:rPr>
  </w:style>
  <w:style w:type="character" w:customStyle="1" w:styleId="CommentSubjectChar">
    <w:name w:val="Comment Subject Char"/>
    <w:basedOn w:val="CommentTextChar"/>
    <w:link w:val="CommentSubject"/>
    <w:rsid w:val="0010703B"/>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locked/>
    <w:rsid w:val="00186147"/>
    <w:rPr>
      <w:b/>
      <w:sz w:val="28"/>
      <w:lang w:eastAsia="en-US"/>
    </w:rPr>
  </w:style>
  <w:style w:type="character" w:customStyle="1" w:styleId="SingleTxtGChar">
    <w:name w:val="_ Single Txt_G Char"/>
    <w:link w:val="SingleTxtG"/>
    <w:rsid w:val="00186147"/>
    <w:rPr>
      <w:lang w:eastAsia="en-US"/>
    </w:rPr>
  </w:style>
  <w:style w:type="paragraph" w:customStyle="1" w:styleId="Default">
    <w:name w:val="Default"/>
    <w:rsid w:val="00186147"/>
    <w:pPr>
      <w:widowControl w:val="0"/>
      <w:autoSpaceDE w:val="0"/>
      <w:autoSpaceDN w:val="0"/>
      <w:adjustRightInd w:val="0"/>
    </w:pPr>
    <w:rPr>
      <w:color w:val="000000"/>
      <w:sz w:val="24"/>
      <w:szCs w:val="24"/>
      <w:lang w:val="en-US" w:eastAsia="en-US"/>
    </w:rPr>
  </w:style>
  <w:style w:type="paragraph" w:styleId="CommentSubject">
    <w:name w:val="annotation subject"/>
    <w:basedOn w:val="CommentText"/>
    <w:next w:val="CommentText"/>
    <w:link w:val="CommentSubjectChar"/>
    <w:rsid w:val="0010703B"/>
    <w:rPr>
      <w:b/>
      <w:bCs/>
    </w:rPr>
  </w:style>
  <w:style w:type="character" w:customStyle="1" w:styleId="CommentTextChar">
    <w:name w:val="Comment Text Char"/>
    <w:link w:val="CommentText"/>
    <w:semiHidden/>
    <w:rsid w:val="0010703B"/>
    <w:rPr>
      <w:lang w:val="en-GB" w:eastAsia="en-US"/>
    </w:rPr>
  </w:style>
  <w:style w:type="character" w:customStyle="1" w:styleId="CommentSubjectChar">
    <w:name w:val="Comment Subject Char"/>
    <w:basedOn w:val="CommentTextChar"/>
    <w:link w:val="CommentSubject"/>
    <w:rsid w:val="0010703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1822</Words>
  <Characters>10327</Characters>
  <Application>Microsoft Office Word</Application>
  <DocSecurity>0</DocSecurity>
  <Lines>213</Lines>
  <Paragraphs>118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1126259</vt:lpstr>
      <vt:lpstr>1126259</vt:lpstr>
    </vt:vector>
  </TitlesOfParts>
  <Company>CSD</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5</cp:revision>
  <cp:lastPrinted>2015-06-26T12:42:00Z</cp:lastPrinted>
  <dcterms:created xsi:type="dcterms:W3CDTF">2015-06-26T12:31:00Z</dcterms:created>
  <dcterms:modified xsi:type="dcterms:W3CDTF">2015-06-26T12:42:00Z</dcterms:modified>
</cp:coreProperties>
</file>