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0A" w:rsidRPr="005360E7" w:rsidRDefault="00A9750A" w:rsidP="00A9750A">
      <w:pPr>
        <w:spacing w:line="240" w:lineRule="auto"/>
        <w:rPr>
          <w:sz w:val="2"/>
          <w:lang w:val="fr-CH"/>
        </w:rPr>
        <w:sectPr w:rsidR="00A9750A" w:rsidRPr="005360E7" w:rsidSect="00A9750A">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A9750A" w:rsidRPr="005360E7" w:rsidRDefault="00A9750A" w:rsidP="00A9750A">
      <w:pPr>
        <w:pStyle w:val="H1"/>
        <w:spacing w:after="120"/>
        <w:rPr>
          <w:sz w:val="28"/>
          <w:lang w:val="fr-CH"/>
        </w:rPr>
      </w:pPr>
      <w:r w:rsidRPr="005360E7">
        <w:rPr>
          <w:sz w:val="28"/>
          <w:lang w:val="fr-CH"/>
        </w:rPr>
        <w:lastRenderedPageBreak/>
        <w:t>Commission économique pour l’Europe</w:t>
      </w:r>
    </w:p>
    <w:p w:rsidR="00A9750A" w:rsidRPr="005360E7" w:rsidRDefault="00A9750A" w:rsidP="00A9750A">
      <w:pPr>
        <w:pStyle w:val="H1"/>
        <w:spacing w:after="120" w:line="300" w:lineRule="exact"/>
        <w:rPr>
          <w:b w:val="0"/>
          <w:sz w:val="28"/>
          <w:lang w:val="fr-CH"/>
        </w:rPr>
      </w:pPr>
      <w:r w:rsidRPr="005360E7">
        <w:rPr>
          <w:b w:val="0"/>
          <w:sz w:val="28"/>
          <w:lang w:val="fr-CH"/>
        </w:rPr>
        <w:t>Comité des transports intérieurs</w:t>
      </w:r>
    </w:p>
    <w:p w:rsidR="00E804CC" w:rsidRPr="005360E7" w:rsidRDefault="00E804CC" w:rsidP="00E804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Groupe de travail des transports de marchandises dangereuses</w:t>
      </w:r>
    </w:p>
    <w:p w:rsidR="00E804CC" w:rsidRPr="005360E7" w:rsidRDefault="00E804CC" w:rsidP="00E804CC">
      <w:pPr>
        <w:spacing w:line="120" w:lineRule="exact"/>
        <w:rPr>
          <w:rFonts w:eastAsia="Times New Roman"/>
          <w:b/>
          <w:sz w:val="10"/>
          <w:szCs w:val="24"/>
          <w:lang w:val="fr-CH"/>
        </w:rPr>
      </w:pPr>
    </w:p>
    <w:p w:rsidR="00E804CC" w:rsidRPr="005360E7" w:rsidRDefault="00E804CC" w:rsidP="00E804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 xml:space="preserve">Réunion commune de la Commission d’experts du RID </w:t>
      </w:r>
      <w:r w:rsidRPr="005360E7">
        <w:rPr>
          <w:lang w:val="fr-CH"/>
        </w:rPr>
        <w:br/>
        <w:t xml:space="preserve">et du Groupe de travail des transports </w:t>
      </w:r>
      <w:r w:rsidRPr="005360E7">
        <w:rPr>
          <w:lang w:val="fr-CH"/>
        </w:rPr>
        <w:br/>
        <w:t>de marchandises dangereuses</w:t>
      </w:r>
    </w:p>
    <w:p w:rsidR="00E804CC" w:rsidRPr="005360E7" w:rsidRDefault="00E804CC" w:rsidP="00E804C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Genève, 15-25 septembre 201</w:t>
      </w:r>
      <w:r w:rsidRPr="005360E7">
        <w:rPr>
          <w:lang w:val="fr-CH" w:eastAsia="ja-JP"/>
        </w:rPr>
        <w:t>5</w:t>
      </w:r>
    </w:p>
    <w:p w:rsidR="00E804CC" w:rsidRPr="005360E7" w:rsidRDefault="00E804CC" w:rsidP="00E804C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Point 3 b) de l’ordre du jour provisoire</w:t>
      </w:r>
    </w:p>
    <w:p w:rsidR="00E804CC" w:rsidRPr="00DD02A3" w:rsidRDefault="00E804CC" w:rsidP="00DD02A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Propositions diverses d’amendements au RID/ADR/ADN :</w:t>
      </w:r>
      <w:r w:rsidR="00DD02A3">
        <w:rPr>
          <w:lang w:val="fr-CH"/>
        </w:rPr>
        <w:t xml:space="preserve"> </w:t>
      </w:r>
      <w:r w:rsidR="00DD02A3">
        <w:rPr>
          <w:lang w:val="fr-CH"/>
        </w:rPr>
        <w:br/>
      </w:r>
      <w:r w:rsidRPr="005360E7">
        <w:rPr>
          <w:rFonts w:eastAsia="Times New Roman"/>
          <w:b w:val="0"/>
          <w:szCs w:val="24"/>
          <w:lang w:val="fr-CH"/>
        </w:rPr>
        <w:t>n</w:t>
      </w:r>
      <w:r w:rsidRPr="005360E7">
        <w:rPr>
          <w:rFonts w:eastAsia="Times New Roman"/>
          <w:szCs w:val="24"/>
          <w:lang w:val="fr-CH"/>
        </w:rPr>
        <w:t>ouvelles propositions</w:t>
      </w:r>
    </w:p>
    <w:p w:rsidR="00E804CC" w:rsidRPr="005360E7" w:rsidRDefault="00E804CC" w:rsidP="00E804CC">
      <w:pPr>
        <w:spacing w:line="120" w:lineRule="exact"/>
        <w:rPr>
          <w:rFonts w:eastAsia="Times New Roman"/>
          <w:b/>
          <w:sz w:val="10"/>
          <w:szCs w:val="24"/>
          <w:lang w:val="fr-CH"/>
        </w:rPr>
      </w:pPr>
    </w:p>
    <w:p w:rsidR="00E804CC" w:rsidRPr="005360E7" w:rsidRDefault="00E804CC" w:rsidP="00E804CC">
      <w:pPr>
        <w:spacing w:line="120" w:lineRule="exact"/>
        <w:rPr>
          <w:rFonts w:eastAsia="Times New Roman"/>
          <w:b/>
          <w:sz w:val="10"/>
          <w:szCs w:val="24"/>
          <w:lang w:val="fr-CH"/>
        </w:rPr>
      </w:pPr>
    </w:p>
    <w:p w:rsidR="00E804CC" w:rsidRPr="005360E7" w:rsidRDefault="00E804CC" w:rsidP="00E804CC">
      <w:pPr>
        <w:spacing w:line="120" w:lineRule="exact"/>
        <w:rPr>
          <w:rFonts w:eastAsia="Times New Roman"/>
          <w:b/>
          <w:sz w:val="10"/>
          <w:szCs w:val="24"/>
          <w:lang w:val="fr-CH"/>
        </w:rPr>
      </w:pPr>
    </w:p>
    <w:p w:rsidR="00E804CC" w:rsidRPr="005360E7" w:rsidRDefault="00E804CC" w:rsidP="00E804C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5360E7">
        <w:rPr>
          <w:lang w:val="fr-CH"/>
        </w:rPr>
        <w:tab/>
      </w:r>
      <w:r w:rsidRPr="005360E7">
        <w:rPr>
          <w:lang w:val="fr-CH"/>
        </w:rPr>
        <w:tab/>
        <w:t xml:space="preserve">Amendements au texte du RID/ADR en ce qui concerne </w:t>
      </w:r>
      <w:r w:rsidRPr="005360E7">
        <w:rPr>
          <w:lang w:val="fr-CH"/>
        </w:rPr>
        <w:br/>
        <w:t>les</w:t>
      </w:r>
      <w:r w:rsidR="005360E7">
        <w:rPr>
          <w:lang w:val="fr-CH"/>
        </w:rPr>
        <w:t xml:space="preserve"> </w:t>
      </w:r>
      <w:r w:rsidRPr="005360E7">
        <w:rPr>
          <w:lang w:val="fr-CH"/>
        </w:rPr>
        <w:t xml:space="preserve">prescriptions relatives au placardage et au marquage </w:t>
      </w:r>
      <w:r w:rsidRPr="005360E7">
        <w:rPr>
          <w:lang w:val="fr-CH"/>
        </w:rPr>
        <w:br/>
        <w:t>dans le chapitr</w:t>
      </w:r>
      <w:r w:rsidR="005360E7" w:rsidRPr="005360E7">
        <w:rPr>
          <w:lang w:val="fr-CH"/>
        </w:rPr>
        <w:t>e </w:t>
      </w:r>
      <w:r w:rsidRPr="005360E7">
        <w:rPr>
          <w:lang w:val="fr-CH"/>
        </w:rPr>
        <w:t>1.4</w:t>
      </w:r>
    </w:p>
    <w:p w:rsidR="00E804CC" w:rsidRPr="005360E7" w:rsidRDefault="00E804CC" w:rsidP="00E804CC">
      <w:pPr>
        <w:spacing w:line="120" w:lineRule="exact"/>
        <w:rPr>
          <w:sz w:val="10"/>
          <w:lang w:val="fr-CH"/>
        </w:rPr>
      </w:pPr>
    </w:p>
    <w:p w:rsidR="00E804CC" w:rsidRPr="005360E7" w:rsidRDefault="00E804CC" w:rsidP="00E804CC">
      <w:pPr>
        <w:spacing w:line="120" w:lineRule="exact"/>
        <w:rPr>
          <w:sz w:val="10"/>
          <w:lang w:val="fr-CH"/>
        </w:rPr>
      </w:pPr>
    </w:p>
    <w:p w:rsidR="00E804CC" w:rsidRPr="005360E7" w:rsidRDefault="00E804CC" w:rsidP="00E804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8"/>
          <w:szCs w:val="18"/>
          <w:lang w:val="fr-CH"/>
        </w:rPr>
      </w:pPr>
      <w:r w:rsidRPr="005360E7">
        <w:rPr>
          <w:lang w:val="fr-CH"/>
        </w:rPr>
        <w:tab/>
      </w:r>
      <w:r w:rsidRPr="005360E7">
        <w:rPr>
          <w:lang w:val="fr-CH"/>
        </w:rPr>
        <w:tab/>
        <w:t>Communication du Gouvernement britannique</w:t>
      </w:r>
      <w:r w:rsidRPr="005360E7">
        <w:rPr>
          <w:rStyle w:val="Appelnotedebasdep"/>
          <w:b w:val="0"/>
          <w:sz w:val="20"/>
          <w:szCs w:val="20"/>
          <w:lang w:val="fr-CH"/>
        </w:rPr>
        <w:footnoteReference w:id="1"/>
      </w:r>
      <w:r w:rsidRPr="005360E7">
        <w:rPr>
          <w:b w:val="0"/>
          <w:sz w:val="18"/>
          <w:szCs w:val="18"/>
          <w:vertAlign w:val="superscript"/>
          <w:lang w:val="fr-CH"/>
        </w:rPr>
        <w:t>,</w:t>
      </w:r>
      <w:r w:rsidRPr="005360E7">
        <w:rPr>
          <w:b w:val="0"/>
          <w:sz w:val="20"/>
          <w:szCs w:val="20"/>
          <w:lang w:val="fr-CH"/>
        </w:rPr>
        <w:t xml:space="preserve"> </w:t>
      </w:r>
      <w:r w:rsidRPr="005360E7">
        <w:rPr>
          <w:rStyle w:val="Appelnotedebasdep"/>
          <w:b w:val="0"/>
          <w:sz w:val="20"/>
          <w:szCs w:val="20"/>
          <w:lang w:val="fr-CH"/>
        </w:rPr>
        <w:footnoteReference w:id="2"/>
      </w:r>
    </w:p>
    <w:p w:rsidR="00E804CC" w:rsidRPr="005360E7" w:rsidRDefault="00E804CC" w:rsidP="00E804CC">
      <w:pPr>
        <w:spacing w:line="120" w:lineRule="exact"/>
        <w:rPr>
          <w:sz w:val="10"/>
          <w:lang w:val="fr-CH"/>
        </w:rPr>
      </w:pPr>
    </w:p>
    <w:p w:rsidR="00E804CC" w:rsidRPr="005360E7" w:rsidRDefault="00E804CC" w:rsidP="00E804CC">
      <w:pPr>
        <w:spacing w:line="120" w:lineRule="exact"/>
        <w:rPr>
          <w:sz w:val="10"/>
          <w:lang w:val="fr-CH"/>
        </w:rPr>
      </w:pPr>
    </w:p>
    <w:p w:rsidR="00E804CC" w:rsidRPr="005360E7" w:rsidRDefault="00E804CC" w:rsidP="00E804C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ab/>
      </w:r>
      <w:r w:rsidRPr="005360E7">
        <w:rPr>
          <w:lang w:val="fr-CH"/>
        </w:rPr>
        <w:tab/>
        <w:t>Introduction</w:t>
      </w:r>
    </w:p>
    <w:p w:rsidR="00E804CC" w:rsidRPr="005360E7" w:rsidRDefault="00E804CC" w:rsidP="00E804CC">
      <w:pPr>
        <w:spacing w:line="120" w:lineRule="exact"/>
        <w:rPr>
          <w:sz w:val="10"/>
          <w:lang w:val="fr-CH"/>
        </w:rPr>
      </w:pPr>
    </w:p>
    <w:p w:rsidR="00E804CC" w:rsidRPr="005360E7" w:rsidRDefault="00E804CC" w:rsidP="00E804CC">
      <w:pPr>
        <w:spacing w:line="120" w:lineRule="exact"/>
        <w:rPr>
          <w:sz w:val="10"/>
          <w:lang w:val="fr-CH"/>
        </w:rPr>
      </w:pPr>
    </w:p>
    <w:p w:rsidR="00E804CC" w:rsidRPr="005360E7" w:rsidRDefault="00E804CC" w:rsidP="00E804CC">
      <w:pPr>
        <w:pStyle w:val="SingleTxt"/>
        <w:numPr>
          <w:ilvl w:val="0"/>
          <w:numId w:val="7"/>
        </w:numPr>
        <w:tabs>
          <w:tab w:val="clear" w:pos="475"/>
          <w:tab w:val="num" w:pos="1742"/>
        </w:tabs>
        <w:ind w:left="1267"/>
        <w:rPr>
          <w:lang w:val="fr-CH"/>
        </w:rPr>
      </w:pPr>
      <w:r w:rsidRPr="005360E7">
        <w:rPr>
          <w:lang w:val="fr-CH"/>
        </w:rPr>
        <w:t xml:space="preserve">Dans un document soumis à la dernière réunion du WP.15 en mai 2015, le Royaume-Uni a mis en évidence des incohérences dans certaines parties du chapitre 1.4 de l’ADR en ce qui concerne la manière dont il est fait référence aux plaques-étiquettes et aux marques. Au cours de la discussion, le Royaume-Uni a été invité à soumettre un document officiel à la Réunion commune lors de sa session de septembre 2015, car toute modification apportée au chapitre 1.4 de l’ADR aurait aussi des répercussions pour le RID. </w:t>
      </w:r>
    </w:p>
    <w:p w:rsidR="00E804CC" w:rsidRPr="005360E7" w:rsidRDefault="00E804CC" w:rsidP="00E804CC">
      <w:pPr>
        <w:pStyle w:val="SingleTxt"/>
        <w:numPr>
          <w:ilvl w:val="0"/>
          <w:numId w:val="7"/>
        </w:numPr>
        <w:tabs>
          <w:tab w:val="clear" w:pos="475"/>
          <w:tab w:val="num" w:pos="1742"/>
        </w:tabs>
        <w:ind w:left="1267"/>
        <w:rPr>
          <w:lang w:val="fr-CH"/>
        </w:rPr>
      </w:pPr>
      <w:r w:rsidRPr="005360E7">
        <w:rPr>
          <w:szCs w:val="24"/>
          <w:lang w:val="fr-CH"/>
        </w:rPr>
        <w:t xml:space="preserve">Dans le texte du chapitre 1.4 de l’édition 2015 de l’ADR, les références aux placards et marques sont non seulement incohérentes mais aussi incorrectes. La formulation actuelle est la suivante : </w:t>
      </w:r>
    </w:p>
    <w:p w:rsidR="00E804CC" w:rsidRPr="005360E7" w:rsidRDefault="00035E06" w:rsidP="00035E06">
      <w:pPr>
        <w:pStyle w:val="SingleTxt"/>
        <w:rPr>
          <w:lang w:val="fr-CH"/>
        </w:rPr>
      </w:pPr>
      <w:r w:rsidRPr="005360E7">
        <w:rPr>
          <w:lang w:val="fr-CH"/>
        </w:rPr>
        <w:tab/>
      </w:r>
      <w:r w:rsidR="00E804CC" w:rsidRPr="005360E7">
        <w:rPr>
          <w:lang w:val="fr-CH"/>
        </w:rPr>
        <w:t>a)</w:t>
      </w:r>
      <w:r w:rsidR="00E804CC" w:rsidRPr="005360E7">
        <w:rPr>
          <w:lang w:val="fr-CH"/>
        </w:rPr>
        <w:tab/>
        <w:t>1.4.2.2.</w:t>
      </w:r>
      <w:r w:rsidR="007E323A" w:rsidRPr="005360E7">
        <w:rPr>
          <w:lang w:val="fr-CH"/>
        </w:rPr>
        <w:t>1 </w:t>
      </w:r>
      <w:r w:rsidR="00E804CC" w:rsidRPr="005360E7">
        <w:rPr>
          <w:lang w:val="fr-CH"/>
        </w:rPr>
        <w:t xml:space="preserve">f) </w:t>
      </w:r>
      <w:r w:rsidRPr="005360E7">
        <w:rPr>
          <w:lang w:val="fr-CH"/>
        </w:rPr>
        <w:t>« </w:t>
      </w:r>
      <w:r w:rsidR="00E804CC" w:rsidRPr="005360E7">
        <w:rPr>
          <w:lang w:val="fr-CH"/>
        </w:rPr>
        <w:t>… les plaques-étiquettes et les signalisations prescrites pour les véhicules …</w:t>
      </w:r>
      <w:r w:rsidRPr="005360E7">
        <w:rPr>
          <w:lang w:val="fr-CH"/>
        </w:rPr>
        <w:t> »;</w:t>
      </w:r>
    </w:p>
    <w:p w:rsidR="00E804CC" w:rsidRPr="005360E7" w:rsidRDefault="00035E06" w:rsidP="00035E06">
      <w:pPr>
        <w:pStyle w:val="SingleTxt"/>
        <w:rPr>
          <w:lang w:val="fr-CH"/>
        </w:rPr>
      </w:pPr>
      <w:r w:rsidRPr="005360E7">
        <w:rPr>
          <w:lang w:val="fr-CH"/>
        </w:rPr>
        <w:tab/>
      </w:r>
      <w:r w:rsidR="007E323A" w:rsidRPr="005360E7">
        <w:rPr>
          <w:lang w:val="fr-CH"/>
        </w:rPr>
        <w:t>b)</w:t>
      </w:r>
      <w:r w:rsidR="007E323A" w:rsidRPr="005360E7">
        <w:rPr>
          <w:lang w:val="fr-CH"/>
        </w:rPr>
        <w:tab/>
        <w:t>1.4.3.1.1 </w:t>
      </w:r>
      <w:r w:rsidR="00E804CC" w:rsidRPr="005360E7">
        <w:rPr>
          <w:lang w:val="fr-CH"/>
        </w:rPr>
        <w:t xml:space="preserve">d) </w:t>
      </w:r>
      <w:r w:rsidRPr="005360E7">
        <w:rPr>
          <w:lang w:val="fr-CH"/>
        </w:rPr>
        <w:t>« </w:t>
      </w:r>
      <w:r w:rsidR="00E804CC" w:rsidRPr="005360E7">
        <w:rPr>
          <w:lang w:val="fr-CH"/>
        </w:rPr>
        <w:t>…</w:t>
      </w:r>
      <w:r w:rsidRPr="005360E7">
        <w:rPr>
          <w:lang w:val="fr-CH"/>
        </w:rPr>
        <w:t xml:space="preserve"> </w:t>
      </w:r>
      <w:r w:rsidR="00E804CC" w:rsidRPr="005360E7">
        <w:rPr>
          <w:lang w:val="fr-CH"/>
        </w:rPr>
        <w:t>signalisations de danger conformément au chapitre 5.3.</w:t>
      </w:r>
      <w:r w:rsidRPr="005360E7">
        <w:rPr>
          <w:lang w:val="fr-CH"/>
        </w:rPr>
        <w:t> »;</w:t>
      </w:r>
    </w:p>
    <w:p w:rsidR="00E804CC" w:rsidRPr="005360E7" w:rsidRDefault="00035E06" w:rsidP="00035E06">
      <w:pPr>
        <w:pStyle w:val="SingleTxt"/>
        <w:rPr>
          <w:lang w:val="fr-CH"/>
        </w:rPr>
      </w:pPr>
      <w:r w:rsidRPr="005360E7">
        <w:rPr>
          <w:lang w:val="fr-CH"/>
        </w:rPr>
        <w:tab/>
      </w:r>
      <w:r w:rsidR="00E804CC" w:rsidRPr="005360E7">
        <w:rPr>
          <w:lang w:val="fr-CH"/>
        </w:rPr>
        <w:t>c)</w:t>
      </w:r>
      <w:r w:rsidR="00E804CC" w:rsidRPr="005360E7">
        <w:rPr>
          <w:lang w:val="fr-CH"/>
        </w:rPr>
        <w:tab/>
        <w:t>1.4.3.7.1</w:t>
      </w:r>
      <w:r w:rsidR="007E323A" w:rsidRPr="005360E7">
        <w:rPr>
          <w:lang w:val="fr-CH"/>
        </w:rPr>
        <w:t> </w:t>
      </w:r>
      <w:r w:rsidR="00E804CC" w:rsidRPr="005360E7">
        <w:rPr>
          <w:lang w:val="fr-CH"/>
        </w:rPr>
        <w:t xml:space="preserve">f) </w:t>
      </w:r>
      <w:r w:rsidRPr="005360E7">
        <w:rPr>
          <w:lang w:val="fr-CH"/>
        </w:rPr>
        <w:t>« </w:t>
      </w:r>
      <w:r w:rsidR="00E804CC" w:rsidRPr="005360E7">
        <w:rPr>
          <w:lang w:val="fr-CH"/>
        </w:rPr>
        <w:t>…</w:t>
      </w:r>
      <w:r w:rsidRPr="005360E7">
        <w:rPr>
          <w:lang w:val="fr-CH"/>
        </w:rPr>
        <w:t xml:space="preserve"> </w:t>
      </w:r>
      <w:r w:rsidR="00E804CC" w:rsidRPr="005360E7">
        <w:rPr>
          <w:lang w:val="fr-CH"/>
        </w:rPr>
        <w:t>signalisations de danger prescrites au chapitre 5.3.</w:t>
      </w:r>
      <w:r w:rsidRPr="005360E7">
        <w:rPr>
          <w:lang w:val="fr-CH"/>
        </w:rPr>
        <w:t> »</w:t>
      </w:r>
      <w:r w:rsidR="00E804CC" w:rsidRPr="005360E7">
        <w:rPr>
          <w:lang w:val="fr-CH"/>
        </w:rPr>
        <w:t>.</w:t>
      </w:r>
    </w:p>
    <w:p w:rsidR="00E804CC" w:rsidRPr="005360E7" w:rsidRDefault="00E804CC" w:rsidP="007E323A">
      <w:pPr>
        <w:pStyle w:val="SingleTxt"/>
        <w:numPr>
          <w:ilvl w:val="0"/>
          <w:numId w:val="7"/>
        </w:numPr>
        <w:tabs>
          <w:tab w:val="clear" w:pos="475"/>
          <w:tab w:val="num" w:pos="1742"/>
        </w:tabs>
        <w:ind w:left="1267"/>
        <w:rPr>
          <w:lang w:val="fr-CH"/>
        </w:rPr>
      </w:pPr>
      <w:r w:rsidRPr="005360E7">
        <w:rPr>
          <w:lang w:val="fr-CH"/>
        </w:rPr>
        <w:lastRenderedPageBreak/>
        <w:t xml:space="preserve">L’utilisation du terme </w:t>
      </w:r>
      <w:r w:rsidR="007E323A" w:rsidRPr="005360E7">
        <w:rPr>
          <w:lang w:val="fr-CH"/>
        </w:rPr>
        <w:t>« </w:t>
      </w:r>
      <w:r w:rsidRPr="005360E7">
        <w:rPr>
          <w:i/>
          <w:lang w:val="fr-CH"/>
        </w:rPr>
        <w:t>signalisations de danger</w:t>
      </w:r>
      <w:r w:rsidR="007E323A" w:rsidRPr="005360E7">
        <w:rPr>
          <w:lang w:val="fr-CH"/>
        </w:rPr>
        <w:t> »</w:t>
      </w:r>
      <w:r w:rsidRPr="005360E7">
        <w:rPr>
          <w:lang w:val="fr-CH"/>
        </w:rPr>
        <w:t xml:space="preserve"> est </w:t>
      </w:r>
      <w:proofErr w:type="gramStart"/>
      <w:r w:rsidRPr="005360E7">
        <w:rPr>
          <w:lang w:val="fr-CH"/>
        </w:rPr>
        <w:t>erronée</w:t>
      </w:r>
      <w:proofErr w:type="gramEnd"/>
      <w:r w:rsidRPr="005360E7">
        <w:rPr>
          <w:lang w:val="fr-CH"/>
        </w:rPr>
        <w:t xml:space="preserve"> car ce terme n’est pas défini dans l’ADR et donne lieu à u</w:t>
      </w:r>
      <w:r w:rsidR="007E323A" w:rsidRPr="005360E7">
        <w:rPr>
          <w:lang w:val="fr-CH"/>
        </w:rPr>
        <w:t>ne incohérence avec le chapitre </w:t>
      </w:r>
      <w:r w:rsidRPr="005360E7">
        <w:rPr>
          <w:lang w:val="fr-CH"/>
        </w:rPr>
        <w:t>5.3. On ne le retrouve pas dans le RID, même si le texte n’est pas le même dans les trois sous-sections. La formul</w:t>
      </w:r>
      <w:r w:rsidR="007E323A" w:rsidRPr="005360E7">
        <w:rPr>
          <w:lang w:val="fr-CH"/>
        </w:rPr>
        <w:t>ation actuelle dans le chapitre </w:t>
      </w:r>
      <w:r w:rsidRPr="005360E7">
        <w:rPr>
          <w:lang w:val="fr-CH"/>
        </w:rPr>
        <w:t>1.4 du RID est la suivante</w:t>
      </w:r>
      <w:r w:rsidR="007E323A" w:rsidRPr="005360E7">
        <w:rPr>
          <w:lang w:val="fr-CH"/>
        </w:rPr>
        <w:t> :</w:t>
      </w:r>
    </w:p>
    <w:p w:rsidR="00E804CC" w:rsidRPr="005360E7" w:rsidRDefault="007E323A" w:rsidP="00035E06">
      <w:pPr>
        <w:pStyle w:val="SingleTxt"/>
        <w:rPr>
          <w:lang w:val="fr-CH"/>
        </w:rPr>
      </w:pPr>
      <w:r w:rsidRPr="005360E7">
        <w:rPr>
          <w:lang w:val="fr-CH"/>
        </w:rPr>
        <w:tab/>
        <w:t>a)</w:t>
      </w:r>
      <w:r w:rsidRPr="005360E7">
        <w:rPr>
          <w:lang w:val="fr-CH"/>
        </w:rPr>
        <w:tab/>
        <w:t>1.4.2.2.1 f)</w:t>
      </w:r>
      <w:r w:rsidR="00E804CC" w:rsidRPr="005360E7">
        <w:rPr>
          <w:lang w:val="fr-CH"/>
        </w:rPr>
        <w:t xml:space="preserve"> </w:t>
      </w:r>
      <w:r w:rsidRPr="005360E7">
        <w:rPr>
          <w:lang w:val="fr-CH"/>
        </w:rPr>
        <w:t>« </w:t>
      </w:r>
      <w:r w:rsidR="00E804CC" w:rsidRPr="005360E7">
        <w:rPr>
          <w:lang w:val="fr-CH"/>
        </w:rPr>
        <w:t>…</w:t>
      </w:r>
      <w:r w:rsidRPr="005360E7">
        <w:rPr>
          <w:lang w:val="fr-CH"/>
        </w:rPr>
        <w:t xml:space="preserve"> </w:t>
      </w:r>
      <w:r w:rsidR="00E804CC" w:rsidRPr="005360E7">
        <w:rPr>
          <w:lang w:val="fr-CH"/>
        </w:rPr>
        <w:t>les plaques-étiquettes et les signalisations prescrites pour les wagons…</w:t>
      </w:r>
      <w:r w:rsidRPr="005360E7">
        <w:rPr>
          <w:lang w:val="fr-CH"/>
        </w:rPr>
        <w:t> »;</w:t>
      </w:r>
    </w:p>
    <w:p w:rsidR="00E804CC" w:rsidRPr="005360E7" w:rsidRDefault="007E323A" w:rsidP="00035E06">
      <w:pPr>
        <w:pStyle w:val="SingleTxt"/>
        <w:rPr>
          <w:lang w:val="fr-CH"/>
        </w:rPr>
      </w:pPr>
      <w:r w:rsidRPr="005360E7">
        <w:rPr>
          <w:lang w:val="fr-CH"/>
        </w:rPr>
        <w:tab/>
        <w:t>b)</w:t>
      </w:r>
      <w:r w:rsidRPr="005360E7">
        <w:rPr>
          <w:lang w:val="fr-CH"/>
        </w:rPr>
        <w:tab/>
        <w:t>1.4.3.1.1 </w:t>
      </w:r>
      <w:r w:rsidR="00E804CC" w:rsidRPr="005360E7">
        <w:rPr>
          <w:lang w:val="fr-CH"/>
        </w:rPr>
        <w:t xml:space="preserve">d) </w:t>
      </w:r>
      <w:r w:rsidRPr="005360E7">
        <w:rPr>
          <w:lang w:val="fr-CH"/>
        </w:rPr>
        <w:t xml:space="preserve">« … </w:t>
      </w:r>
      <w:r w:rsidR="00E804CC" w:rsidRPr="005360E7">
        <w:rPr>
          <w:lang w:val="fr-CH"/>
        </w:rPr>
        <w:t>au placardage et à la signalisation orange du wagon ou du grand conteneur.</w:t>
      </w:r>
      <w:r w:rsidRPr="005360E7">
        <w:rPr>
          <w:lang w:val="fr-CH"/>
        </w:rPr>
        <w:t> »;</w:t>
      </w:r>
    </w:p>
    <w:p w:rsidR="00E804CC" w:rsidRPr="005360E7" w:rsidRDefault="007E323A" w:rsidP="00035E06">
      <w:pPr>
        <w:pStyle w:val="SingleTxt"/>
        <w:rPr>
          <w:lang w:val="fr-CH"/>
        </w:rPr>
      </w:pPr>
      <w:r w:rsidRPr="005360E7">
        <w:rPr>
          <w:lang w:val="fr-CH"/>
        </w:rPr>
        <w:tab/>
      </w:r>
      <w:r w:rsidR="00E804CC" w:rsidRPr="005360E7">
        <w:rPr>
          <w:lang w:val="fr-CH"/>
        </w:rPr>
        <w:t>c)</w:t>
      </w:r>
      <w:r w:rsidR="00E804CC" w:rsidRPr="005360E7">
        <w:rPr>
          <w:lang w:val="fr-CH"/>
        </w:rPr>
        <w:tab/>
        <w:t xml:space="preserve">1.4.3.7.1 </w:t>
      </w:r>
      <w:r w:rsidRPr="005360E7">
        <w:rPr>
          <w:lang w:val="fr-CH"/>
        </w:rPr>
        <w:t>f) « </w:t>
      </w:r>
      <w:r w:rsidR="00E804CC" w:rsidRPr="005360E7">
        <w:rPr>
          <w:lang w:val="fr-CH"/>
        </w:rPr>
        <w:t>…</w:t>
      </w:r>
      <w:r w:rsidRPr="005360E7">
        <w:rPr>
          <w:lang w:val="fr-CH"/>
        </w:rPr>
        <w:t xml:space="preserve"> </w:t>
      </w:r>
      <w:r w:rsidR="00E804CC" w:rsidRPr="005360E7">
        <w:rPr>
          <w:lang w:val="fr-CH"/>
        </w:rPr>
        <w:t>les plaques-étiquettes et la signalisation orange.</w:t>
      </w:r>
      <w:r w:rsidRPr="005360E7">
        <w:rPr>
          <w:lang w:val="fr-CH"/>
        </w:rPr>
        <w:t> »</w:t>
      </w:r>
      <w:r w:rsidR="00E804CC" w:rsidRPr="005360E7">
        <w:rPr>
          <w:lang w:val="fr-CH"/>
        </w:rPr>
        <w:t>.</w:t>
      </w:r>
    </w:p>
    <w:p w:rsidR="00E804CC" w:rsidRPr="005360E7" w:rsidRDefault="00E804CC" w:rsidP="00934C77">
      <w:pPr>
        <w:pStyle w:val="SingleTxt"/>
        <w:numPr>
          <w:ilvl w:val="0"/>
          <w:numId w:val="7"/>
        </w:numPr>
        <w:tabs>
          <w:tab w:val="clear" w:pos="475"/>
          <w:tab w:val="num" w:pos="1742"/>
        </w:tabs>
        <w:ind w:left="1267"/>
        <w:rPr>
          <w:lang w:val="fr-CH"/>
        </w:rPr>
      </w:pPr>
      <w:r w:rsidRPr="005360E7">
        <w:rPr>
          <w:lang w:val="fr-CH"/>
        </w:rPr>
        <w:t xml:space="preserve">Le Royaume-Uni craint que les inexactitudes et les incohérences contenues dans le RID et l’ADR ainsi que les différences entre les deux textes modaux engendrent une certaine confusion au sein de l’industrie et chez tous ceux qui sont impliqués dans la mise en œuvre des règlements. </w:t>
      </w:r>
    </w:p>
    <w:p w:rsidR="00E804CC" w:rsidRPr="005360E7" w:rsidRDefault="00E804CC" w:rsidP="00934C77">
      <w:pPr>
        <w:pStyle w:val="SingleTxt"/>
        <w:numPr>
          <w:ilvl w:val="0"/>
          <w:numId w:val="7"/>
        </w:numPr>
        <w:tabs>
          <w:tab w:val="clear" w:pos="475"/>
          <w:tab w:val="num" w:pos="1742"/>
        </w:tabs>
        <w:ind w:left="1267"/>
        <w:rPr>
          <w:lang w:val="fr-CH"/>
        </w:rPr>
      </w:pPr>
      <w:r w:rsidRPr="005360E7">
        <w:rPr>
          <w:lang w:val="fr-CH"/>
        </w:rPr>
        <w:t>Par souci de clarté, le Royaume-Uni recommande de modifier certain</w:t>
      </w:r>
      <w:r w:rsidR="00934C77" w:rsidRPr="005360E7">
        <w:rPr>
          <w:lang w:val="fr-CH"/>
        </w:rPr>
        <w:t>es parties du texte du chapitre </w:t>
      </w:r>
      <w:r w:rsidRPr="005360E7">
        <w:rPr>
          <w:lang w:val="fr-CH"/>
        </w:rPr>
        <w:t xml:space="preserve">1.4 tant dans le RID que dans l’ADR. Cela permettra aussi d’harmoniser les textes du RID et de l’ADR, sans toucher pour autant aux nécessaires différences modales. </w:t>
      </w:r>
    </w:p>
    <w:p w:rsidR="00E804CC" w:rsidRPr="005360E7" w:rsidRDefault="00E804CC" w:rsidP="00934C77">
      <w:pPr>
        <w:pStyle w:val="SingleTxt"/>
        <w:numPr>
          <w:ilvl w:val="0"/>
          <w:numId w:val="7"/>
        </w:numPr>
        <w:tabs>
          <w:tab w:val="clear" w:pos="475"/>
          <w:tab w:val="num" w:pos="1742"/>
        </w:tabs>
        <w:ind w:left="1267"/>
        <w:rPr>
          <w:lang w:val="fr-CH"/>
        </w:rPr>
      </w:pPr>
      <w:r w:rsidRPr="005360E7">
        <w:rPr>
          <w:lang w:val="fr-CH"/>
        </w:rPr>
        <w:t>Le Royaume-Uni estime que ce sera d’une bonne occasion de clarifier de manière générale les autres parties du texte du chapit</w:t>
      </w:r>
      <w:r w:rsidR="00934C77" w:rsidRPr="005360E7">
        <w:rPr>
          <w:lang w:val="fr-CH"/>
        </w:rPr>
        <w:t>re </w:t>
      </w:r>
      <w:r w:rsidRPr="005360E7">
        <w:rPr>
          <w:lang w:val="fr-CH"/>
        </w:rPr>
        <w:t>1.4 du RID et de l’ADR où il est question de plaques-étiquettes et de marques. Il s’</w:t>
      </w:r>
      <w:r w:rsidR="00934C77" w:rsidRPr="005360E7">
        <w:rPr>
          <w:lang w:val="fr-CH"/>
        </w:rPr>
        <w:t xml:space="preserve">agit des sous-sections </w:t>
      </w:r>
      <w:r w:rsidRPr="005360E7">
        <w:rPr>
          <w:lang w:val="fr-CH"/>
        </w:rPr>
        <w:t>1.4.2.1.1</w:t>
      </w:r>
      <w:r w:rsidR="00934C77" w:rsidRPr="005360E7">
        <w:rPr>
          <w:lang w:val="fr-CH"/>
        </w:rPr>
        <w:t> c), 1.4.2.1.1 </w:t>
      </w:r>
      <w:r w:rsidRPr="005360E7">
        <w:rPr>
          <w:lang w:val="fr-CH"/>
        </w:rPr>
        <w:t xml:space="preserve">e) et </w:t>
      </w:r>
      <w:r w:rsidR="00934C77" w:rsidRPr="005360E7">
        <w:rPr>
          <w:lang w:val="fr-CH"/>
        </w:rPr>
        <w:t>1.4.3.3 </w:t>
      </w:r>
      <w:r w:rsidRPr="005360E7">
        <w:rPr>
          <w:lang w:val="fr-CH"/>
        </w:rPr>
        <w:t xml:space="preserve">h). Le Royaume-Uni est également d’avis que les sous-sections </w:t>
      </w:r>
      <w:r w:rsidR="00934C77" w:rsidRPr="005360E7">
        <w:rPr>
          <w:lang w:val="fr-CH"/>
        </w:rPr>
        <w:t>1.4.2.1.1 </w:t>
      </w:r>
      <w:r w:rsidRPr="005360E7">
        <w:rPr>
          <w:lang w:val="fr-CH"/>
        </w:rPr>
        <w:t xml:space="preserve">e) et </w:t>
      </w:r>
      <w:r w:rsidR="00934C77" w:rsidRPr="005360E7">
        <w:rPr>
          <w:lang w:val="fr-CH"/>
        </w:rPr>
        <w:t>1.4.3.3 </w:t>
      </w:r>
      <w:r w:rsidRPr="005360E7">
        <w:rPr>
          <w:lang w:val="fr-CH"/>
        </w:rPr>
        <w:t>h) ne devraient pas faire référence aux grands et petits conteneurs pour vrac, car ils ne sont pas définis dans ces règlements. Les modifications possibles sont détaillées dans la proposition.</w:t>
      </w:r>
    </w:p>
    <w:p w:rsidR="00934C77" w:rsidRPr="005360E7" w:rsidRDefault="00934C77" w:rsidP="00934C77">
      <w:pPr>
        <w:keepNext/>
        <w:keepLines/>
        <w:tabs>
          <w:tab w:val="right" w:pos="851"/>
        </w:tabs>
        <w:spacing w:line="120" w:lineRule="exact"/>
        <w:ind w:left="2405" w:right="1138" w:hanging="1138"/>
        <w:rPr>
          <w:b/>
          <w:sz w:val="10"/>
          <w:lang w:val="fr-CH"/>
        </w:rPr>
      </w:pPr>
    </w:p>
    <w:p w:rsidR="00934C77" w:rsidRPr="005360E7" w:rsidRDefault="00934C77" w:rsidP="00934C77">
      <w:pPr>
        <w:keepNext/>
        <w:keepLines/>
        <w:tabs>
          <w:tab w:val="right" w:pos="851"/>
        </w:tabs>
        <w:spacing w:line="120" w:lineRule="exact"/>
        <w:ind w:left="2405" w:right="1138" w:hanging="1138"/>
        <w:rPr>
          <w:b/>
          <w:sz w:val="10"/>
          <w:lang w:val="fr-CH"/>
        </w:rPr>
      </w:pPr>
    </w:p>
    <w:p w:rsidR="00E804CC" w:rsidRPr="005360E7" w:rsidRDefault="00E804CC" w:rsidP="00934C7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ab/>
      </w:r>
      <w:r w:rsidRPr="005360E7">
        <w:rPr>
          <w:lang w:val="fr-CH"/>
        </w:rPr>
        <w:tab/>
        <w:t>Proposition</w:t>
      </w:r>
    </w:p>
    <w:p w:rsidR="00934C77" w:rsidRPr="005360E7" w:rsidRDefault="00934C77" w:rsidP="00934C77">
      <w:pPr>
        <w:keepNext/>
        <w:keepLines/>
        <w:tabs>
          <w:tab w:val="right" w:pos="851"/>
        </w:tabs>
        <w:spacing w:line="120" w:lineRule="exact"/>
        <w:ind w:left="2405" w:right="1138" w:hanging="1138"/>
        <w:rPr>
          <w:b/>
          <w:sz w:val="10"/>
          <w:lang w:val="fr-CH"/>
        </w:rPr>
      </w:pPr>
    </w:p>
    <w:p w:rsidR="00934C77" w:rsidRPr="005360E7" w:rsidRDefault="00934C77" w:rsidP="00934C77">
      <w:pPr>
        <w:keepNext/>
        <w:keepLines/>
        <w:tabs>
          <w:tab w:val="right" w:pos="851"/>
        </w:tabs>
        <w:spacing w:line="120" w:lineRule="exact"/>
        <w:ind w:left="2405" w:right="1138" w:hanging="1138"/>
        <w:rPr>
          <w:b/>
          <w:sz w:val="10"/>
          <w:lang w:val="fr-CH"/>
        </w:rPr>
      </w:pPr>
    </w:p>
    <w:p w:rsidR="00E804CC" w:rsidRPr="005360E7" w:rsidRDefault="00E804CC" w:rsidP="00934C77">
      <w:pPr>
        <w:pStyle w:val="SingleTxt"/>
        <w:numPr>
          <w:ilvl w:val="0"/>
          <w:numId w:val="7"/>
        </w:numPr>
        <w:tabs>
          <w:tab w:val="clear" w:pos="475"/>
          <w:tab w:val="num" w:pos="1742"/>
        </w:tabs>
        <w:ind w:left="1267"/>
        <w:rPr>
          <w:lang w:val="fr-CH"/>
        </w:rPr>
      </w:pPr>
      <w:r w:rsidRPr="005360E7">
        <w:rPr>
          <w:lang w:val="fr-CH"/>
        </w:rPr>
        <w:t xml:space="preserve">Sans objet en français. </w:t>
      </w:r>
    </w:p>
    <w:p w:rsidR="00E804CC" w:rsidRPr="005360E7" w:rsidRDefault="00E804CC" w:rsidP="00934C77">
      <w:pPr>
        <w:pStyle w:val="SingleTxt"/>
        <w:numPr>
          <w:ilvl w:val="0"/>
          <w:numId w:val="7"/>
        </w:numPr>
        <w:tabs>
          <w:tab w:val="clear" w:pos="475"/>
          <w:tab w:val="num" w:pos="1742"/>
        </w:tabs>
        <w:ind w:left="1267"/>
        <w:rPr>
          <w:lang w:val="fr-CH"/>
        </w:rPr>
      </w:pPr>
      <w:r w:rsidRPr="005360E7">
        <w:rPr>
          <w:lang w:val="fr-CH"/>
        </w:rPr>
        <w:t xml:space="preserve">Ajouter les parties </w:t>
      </w:r>
      <w:r w:rsidRPr="005360E7">
        <w:rPr>
          <w:u w:val="single"/>
          <w:lang w:val="fr-CH"/>
        </w:rPr>
        <w:t>soulignées</w:t>
      </w:r>
      <w:r w:rsidRPr="005360E7">
        <w:rPr>
          <w:lang w:val="fr-CH"/>
        </w:rPr>
        <w:t xml:space="preserve"> et supprimer les parties </w:t>
      </w:r>
      <w:r w:rsidRPr="005360E7">
        <w:rPr>
          <w:strike/>
          <w:lang w:val="fr-CH"/>
        </w:rPr>
        <w:t>biffées</w:t>
      </w:r>
      <w:r w:rsidRPr="005360E7">
        <w:rPr>
          <w:lang w:val="fr-CH"/>
        </w:rPr>
        <w:t xml:space="preserve"> dans le texte de la sous-section 1.4.2.1.1 e).</w:t>
      </w:r>
    </w:p>
    <w:p w:rsidR="00E804CC" w:rsidRPr="005360E7" w:rsidRDefault="00E804CC" w:rsidP="00DD2715">
      <w:pPr>
        <w:pStyle w:val="SingleTxt"/>
        <w:keepNext/>
        <w:rPr>
          <w:lang w:val="fr-CH"/>
        </w:rPr>
      </w:pPr>
      <w:r w:rsidRPr="005360E7">
        <w:rPr>
          <w:lang w:val="fr-CH"/>
        </w:rPr>
        <w:t>1.4.2.1.1 (RID)</w:t>
      </w:r>
    </w:p>
    <w:p w:rsidR="00E804CC" w:rsidRPr="005360E7" w:rsidRDefault="00934C77" w:rsidP="00934C77">
      <w:pPr>
        <w:pStyle w:val="SingleTxt"/>
        <w:ind w:left="2693" w:hanging="1426"/>
        <w:rPr>
          <w:lang w:val="fr-CH"/>
        </w:rPr>
      </w:pPr>
      <w:r w:rsidRPr="005360E7">
        <w:rPr>
          <w:lang w:val="fr-CH"/>
        </w:rPr>
        <w:tab/>
      </w:r>
      <w:r w:rsidRPr="005360E7">
        <w:rPr>
          <w:lang w:val="fr-CH"/>
        </w:rPr>
        <w:tab/>
      </w:r>
      <w:r w:rsidR="00E804CC" w:rsidRPr="005360E7">
        <w:rPr>
          <w:lang w:val="fr-CH"/>
        </w:rPr>
        <w:t>e)</w:t>
      </w:r>
      <w:r w:rsidR="00E804CC" w:rsidRPr="005360E7">
        <w:rPr>
          <w:lang w:val="fr-CH"/>
        </w:rPr>
        <w:tab/>
        <w:t>Veiller à ce que même les citernes vides non nettoyées et non dégazées (wagons-citernes, wagons avec citernes amovibles, wagons-batteries, CGEM, citernes mobiles</w:t>
      </w:r>
      <w:r w:rsidR="005709B6">
        <w:rPr>
          <w:lang w:val="fr-CH"/>
        </w:rPr>
        <w:t xml:space="preserve"> et</w:t>
      </w:r>
      <w:r w:rsidR="00E804CC" w:rsidRPr="005360E7">
        <w:rPr>
          <w:lang w:val="fr-CH"/>
        </w:rPr>
        <w:t xml:space="preserve"> conteneurs-citernes), ou les wagons et </w:t>
      </w:r>
      <w:r w:rsidR="00E804CC" w:rsidRPr="005360E7">
        <w:rPr>
          <w:strike/>
          <w:lang w:val="fr-CH"/>
        </w:rPr>
        <w:t>grands conteneurs et petits</w:t>
      </w:r>
      <w:r w:rsidR="00E804CC" w:rsidRPr="005360E7">
        <w:rPr>
          <w:lang w:val="fr-CH"/>
        </w:rPr>
        <w:t xml:space="preserve"> conteneurs pour vrac vides, non nettoyés, </w:t>
      </w:r>
      <w:r w:rsidR="00E804CC" w:rsidRPr="005360E7">
        <w:rPr>
          <w:u w:val="single"/>
          <w:lang w:val="fr-CH"/>
        </w:rPr>
        <w:t>portent</w:t>
      </w:r>
      <w:r w:rsidR="00E804CC" w:rsidRPr="005360E7">
        <w:rPr>
          <w:lang w:val="fr-CH"/>
        </w:rPr>
        <w:t xml:space="preserve"> </w:t>
      </w:r>
      <w:r w:rsidR="00E804CC" w:rsidRPr="005360E7">
        <w:rPr>
          <w:u w:val="single"/>
          <w:lang w:val="fr-CH"/>
        </w:rPr>
        <w:t>les plaques-étiquettes</w:t>
      </w:r>
      <w:r w:rsidR="00E804CC" w:rsidRPr="005360E7">
        <w:rPr>
          <w:lang w:val="fr-CH"/>
        </w:rPr>
        <w:t xml:space="preserve"> et les signalisations </w:t>
      </w:r>
      <w:r w:rsidR="00E804CC" w:rsidRPr="005360E7">
        <w:rPr>
          <w:strike/>
          <w:lang w:val="fr-CH"/>
        </w:rPr>
        <w:t>soient marqués et étiquetés de manière conforme</w:t>
      </w:r>
      <w:r w:rsidR="00E804CC" w:rsidRPr="005360E7">
        <w:rPr>
          <w:lang w:val="fr-CH"/>
        </w:rPr>
        <w:t xml:space="preserve"> </w:t>
      </w:r>
      <w:r w:rsidR="00E804CC" w:rsidRPr="005360E7">
        <w:rPr>
          <w:u w:val="single"/>
          <w:lang w:val="fr-CH"/>
        </w:rPr>
        <w:t xml:space="preserve">prescrites </w:t>
      </w:r>
      <w:r w:rsidRPr="005360E7">
        <w:rPr>
          <w:u w:val="single"/>
          <w:lang w:val="fr-CH"/>
        </w:rPr>
        <w:t>au chapitre </w:t>
      </w:r>
      <w:r w:rsidR="00E804CC" w:rsidRPr="005360E7">
        <w:rPr>
          <w:u w:val="single"/>
          <w:lang w:val="fr-CH"/>
        </w:rPr>
        <w:t>5.3</w:t>
      </w:r>
      <w:r w:rsidR="00E804CC" w:rsidRPr="005360E7">
        <w:rPr>
          <w:lang w:val="fr-CH"/>
        </w:rPr>
        <w:t xml:space="preserve"> et que les citernes vides, non nettoyées, soient fermées et présentent les mêmes garanties d’étanchéité que si elles étaient pleines. </w:t>
      </w:r>
    </w:p>
    <w:p w:rsidR="00E804CC" w:rsidRPr="005360E7" w:rsidRDefault="00E804CC" w:rsidP="00DD2715">
      <w:pPr>
        <w:pStyle w:val="SingleTxt"/>
        <w:keepNext/>
        <w:rPr>
          <w:lang w:val="fr-CH"/>
        </w:rPr>
      </w:pPr>
      <w:r w:rsidRPr="005360E7">
        <w:rPr>
          <w:lang w:val="fr-CH"/>
        </w:rPr>
        <w:t>1.4.2.1.1 (ADR)</w:t>
      </w:r>
    </w:p>
    <w:p w:rsidR="00E804CC" w:rsidRPr="005360E7" w:rsidRDefault="00934C77" w:rsidP="00934C77">
      <w:pPr>
        <w:pStyle w:val="SingleTxt"/>
        <w:ind w:left="2693" w:hanging="1426"/>
        <w:rPr>
          <w:szCs w:val="24"/>
          <w:lang w:val="fr-CH"/>
        </w:rPr>
      </w:pPr>
      <w:r w:rsidRPr="005360E7">
        <w:rPr>
          <w:szCs w:val="24"/>
          <w:lang w:val="fr-CH"/>
        </w:rPr>
        <w:tab/>
      </w:r>
      <w:r w:rsidRPr="005360E7">
        <w:rPr>
          <w:szCs w:val="24"/>
          <w:lang w:val="fr-CH"/>
        </w:rPr>
        <w:tab/>
      </w:r>
      <w:r w:rsidR="00E804CC" w:rsidRPr="005360E7">
        <w:rPr>
          <w:szCs w:val="24"/>
          <w:lang w:val="fr-CH"/>
        </w:rPr>
        <w:t>e)</w:t>
      </w:r>
      <w:r w:rsidR="00E804CC" w:rsidRPr="005360E7">
        <w:rPr>
          <w:szCs w:val="24"/>
          <w:lang w:val="fr-CH"/>
        </w:rPr>
        <w:tab/>
        <w:t>Veiller à ce que même les citernes vides non nettoyées et non dégazées (véhicules-citernes, citernes démontables, véhicules-batteries,</w:t>
      </w:r>
      <w:r w:rsidR="00E804CC" w:rsidRPr="005360E7">
        <w:rPr>
          <w:lang w:val="fr-CH"/>
        </w:rPr>
        <w:t xml:space="preserve"> </w:t>
      </w:r>
      <w:r w:rsidR="00E804CC" w:rsidRPr="005360E7">
        <w:rPr>
          <w:szCs w:val="24"/>
          <w:lang w:val="fr-CH"/>
        </w:rPr>
        <w:t xml:space="preserve">CGEM, citernes mobiles et conteneurs-citernes), ou les véhicules et </w:t>
      </w:r>
      <w:r w:rsidR="00E804CC" w:rsidRPr="005360E7">
        <w:rPr>
          <w:strike/>
          <w:szCs w:val="24"/>
          <w:lang w:val="fr-CH"/>
        </w:rPr>
        <w:t>grands conteneurs et petits</w:t>
      </w:r>
      <w:r w:rsidR="00E804CC" w:rsidRPr="005360E7">
        <w:rPr>
          <w:szCs w:val="24"/>
          <w:lang w:val="fr-CH"/>
        </w:rPr>
        <w:t xml:space="preserve"> conteneurs pour vrac vides, non nettoyés, </w:t>
      </w:r>
      <w:r w:rsidR="00E804CC" w:rsidRPr="005360E7">
        <w:rPr>
          <w:szCs w:val="24"/>
          <w:u w:val="single"/>
          <w:lang w:val="fr-CH"/>
        </w:rPr>
        <w:t>portent</w:t>
      </w:r>
      <w:r w:rsidR="00E804CC" w:rsidRPr="005360E7">
        <w:rPr>
          <w:szCs w:val="24"/>
          <w:lang w:val="fr-CH"/>
        </w:rPr>
        <w:t xml:space="preserve"> </w:t>
      </w:r>
      <w:r w:rsidR="00E804CC" w:rsidRPr="005360E7">
        <w:rPr>
          <w:szCs w:val="24"/>
          <w:u w:val="single"/>
          <w:lang w:val="fr-CH"/>
        </w:rPr>
        <w:t>les plaques-étiquettes</w:t>
      </w:r>
      <w:r w:rsidR="00E804CC" w:rsidRPr="005360E7">
        <w:rPr>
          <w:szCs w:val="24"/>
          <w:lang w:val="fr-CH"/>
        </w:rPr>
        <w:t xml:space="preserve"> et les signalisations </w:t>
      </w:r>
      <w:r w:rsidR="00E804CC" w:rsidRPr="005360E7">
        <w:rPr>
          <w:strike/>
          <w:szCs w:val="24"/>
          <w:lang w:val="fr-CH"/>
        </w:rPr>
        <w:t>soient marqués et étiquetés de manière conforme</w:t>
      </w:r>
      <w:r w:rsidR="00E804CC" w:rsidRPr="005360E7">
        <w:rPr>
          <w:szCs w:val="24"/>
          <w:lang w:val="fr-CH"/>
        </w:rPr>
        <w:t xml:space="preserve"> </w:t>
      </w:r>
      <w:r w:rsidRPr="005360E7">
        <w:rPr>
          <w:szCs w:val="24"/>
          <w:u w:val="single"/>
          <w:lang w:val="fr-CH"/>
        </w:rPr>
        <w:t>prescrites au chapitre </w:t>
      </w:r>
      <w:r w:rsidR="00E804CC" w:rsidRPr="005360E7">
        <w:rPr>
          <w:szCs w:val="24"/>
          <w:u w:val="single"/>
          <w:lang w:val="fr-CH"/>
        </w:rPr>
        <w:t>5.3</w:t>
      </w:r>
      <w:r w:rsidR="00E804CC" w:rsidRPr="005360E7">
        <w:rPr>
          <w:szCs w:val="24"/>
          <w:lang w:val="fr-CH"/>
        </w:rPr>
        <w:t xml:space="preserve"> et que les citernes vides, non nettoyées, soient fermées et présentent les mêmes garanties d’étanchéité que si elles étaient pleines. </w:t>
      </w:r>
    </w:p>
    <w:p w:rsidR="00E804CC" w:rsidRPr="005360E7" w:rsidRDefault="00E804CC" w:rsidP="00DD2715">
      <w:pPr>
        <w:pStyle w:val="SingleTxt"/>
        <w:numPr>
          <w:ilvl w:val="0"/>
          <w:numId w:val="7"/>
        </w:numPr>
        <w:tabs>
          <w:tab w:val="clear" w:pos="475"/>
          <w:tab w:val="num" w:pos="1742"/>
        </w:tabs>
        <w:ind w:left="1267"/>
        <w:rPr>
          <w:lang w:val="fr-CH"/>
        </w:rPr>
      </w:pPr>
      <w:r w:rsidRPr="005360E7">
        <w:rPr>
          <w:lang w:val="fr-CH"/>
        </w:rPr>
        <w:lastRenderedPageBreak/>
        <w:t xml:space="preserve">Ajouter les parties </w:t>
      </w:r>
      <w:r w:rsidRPr="005360E7">
        <w:rPr>
          <w:u w:val="single"/>
          <w:lang w:val="fr-CH"/>
        </w:rPr>
        <w:t>soulignées</w:t>
      </w:r>
      <w:r w:rsidRPr="005360E7">
        <w:rPr>
          <w:lang w:val="fr-CH"/>
        </w:rPr>
        <w:t xml:space="preserve"> et supprimer les parties </w:t>
      </w:r>
      <w:r w:rsidRPr="005360E7">
        <w:rPr>
          <w:strike/>
          <w:lang w:val="fr-CH"/>
        </w:rPr>
        <w:t>biffées</w:t>
      </w:r>
      <w:r w:rsidRPr="005360E7">
        <w:rPr>
          <w:lang w:val="fr-CH"/>
        </w:rPr>
        <w:t xml:space="preserve"> dans le texte de la </w:t>
      </w:r>
      <w:r w:rsidR="00DD2715" w:rsidRPr="005360E7">
        <w:rPr>
          <w:lang w:val="fr-CH"/>
        </w:rPr>
        <w:t>sous-section 1.4.2.1.1 </w:t>
      </w:r>
      <w:r w:rsidRPr="005360E7">
        <w:rPr>
          <w:lang w:val="fr-CH"/>
        </w:rPr>
        <w:t xml:space="preserve">f). </w:t>
      </w:r>
    </w:p>
    <w:p w:rsidR="00E804CC" w:rsidRPr="005360E7" w:rsidRDefault="00E804CC" w:rsidP="000126EB">
      <w:pPr>
        <w:pStyle w:val="SingleTxt"/>
        <w:keepNext/>
        <w:rPr>
          <w:lang w:val="fr-CH"/>
        </w:rPr>
      </w:pPr>
      <w:r w:rsidRPr="005360E7">
        <w:rPr>
          <w:lang w:val="fr-CH"/>
        </w:rPr>
        <w:t>1.4.2.2.1 (RID)</w:t>
      </w:r>
    </w:p>
    <w:p w:rsidR="00E804CC" w:rsidRPr="005360E7" w:rsidRDefault="000126EB" w:rsidP="00DD2715">
      <w:pPr>
        <w:pStyle w:val="SingleTxt"/>
        <w:ind w:left="2693" w:hanging="1426"/>
        <w:rPr>
          <w:szCs w:val="24"/>
          <w:lang w:val="fr-CH"/>
        </w:rPr>
      </w:pPr>
      <w:r w:rsidRPr="005360E7">
        <w:rPr>
          <w:szCs w:val="24"/>
          <w:lang w:val="fr-CH"/>
        </w:rPr>
        <w:tab/>
      </w:r>
      <w:r w:rsidRPr="005360E7">
        <w:rPr>
          <w:szCs w:val="24"/>
          <w:lang w:val="fr-CH"/>
        </w:rPr>
        <w:tab/>
      </w:r>
      <w:r w:rsidR="00E804CC" w:rsidRPr="005360E7">
        <w:rPr>
          <w:szCs w:val="24"/>
          <w:lang w:val="fr-CH"/>
        </w:rPr>
        <w:t>f)</w:t>
      </w:r>
      <w:r w:rsidR="00E804CC" w:rsidRPr="005360E7">
        <w:rPr>
          <w:szCs w:val="24"/>
          <w:lang w:val="fr-CH"/>
        </w:rPr>
        <w:tab/>
        <w:t xml:space="preserve">S’assurer que les plaques-étiquettes et les </w:t>
      </w:r>
      <w:r w:rsidR="00E804CC" w:rsidRPr="005360E7">
        <w:rPr>
          <w:strike/>
          <w:szCs w:val="24"/>
          <w:lang w:val="fr-CH"/>
        </w:rPr>
        <w:t>signalisations</w:t>
      </w:r>
      <w:r w:rsidR="00E804CC" w:rsidRPr="005360E7">
        <w:rPr>
          <w:szCs w:val="24"/>
          <w:lang w:val="fr-CH"/>
        </w:rPr>
        <w:t xml:space="preserve"> </w:t>
      </w:r>
      <w:r w:rsidR="00E804CC" w:rsidRPr="005360E7">
        <w:rPr>
          <w:szCs w:val="24"/>
          <w:u w:val="single"/>
          <w:lang w:val="fr-CH"/>
        </w:rPr>
        <w:t>marques</w:t>
      </w:r>
      <w:r w:rsidR="00E804CC" w:rsidRPr="005360E7">
        <w:rPr>
          <w:szCs w:val="24"/>
          <w:lang w:val="fr-CH"/>
        </w:rPr>
        <w:t xml:space="preserve"> prescrites pour les wagons </w:t>
      </w:r>
      <w:r w:rsidR="00E804CC" w:rsidRPr="005360E7">
        <w:rPr>
          <w:szCs w:val="24"/>
          <w:u w:val="single"/>
          <w:lang w:val="fr-CH"/>
        </w:rPr>
        <w:t>au chapitre 5.3</w:t>
      </w:r>
      <w:r w:rsidR="00E804CC" w:rsidRPr="005360E7">
        <w:rPr>
          <w:szCs w:val="24"/>
          <w:lang w:val="fr-CH"/>
        </w:rPr>
        <w:t xml:space="preserve"> soient apposées.</w:t>
      </w:r>
    </w:p>
    <w:p w:rsidR="00E804CC" w:rsidRPr="005360E7" w:rsidRDefault="00E804CC" w:rsidP="000126EB">
      <w:pPr>
        <w:pStyle w:val="SingleTxt"/>
        <w:keepNext/>
        <w:rPr>
          <w:lang w:val="fr-CH"/>
        </w:rPr>
      </w:pPr>
      <w:r w:rsidRPr="005360E7">
        <w:rPr>
          <w:lang w:val="fr-CH"/>
        </w:rPr>
        <w:t>1.4.2.2.1 (ADR)</w:t>
      </w:r>
    </w:p>
    <w:p w:rsidR="00E804CC" w:rsidRPr="005360E7" w:rsidRDefault="000126EB" w:rsidP="00DD2715">
      <w:pPr>
        <w:pStyle w:val="SingleTxt"/>
        <w:ind w:left="2693" w:hanging="1426"/>
        <w:rPr>
          <w:szCs w:val="24"/>
          <w:lang w:val="fr-CH"/>
        </w:rPr>
      </w:pPr>
      <w:r w:rsidRPr="005360E7">
        <w:rPr>
          <w:szCs w:val="24"/>
          <w:lang w:val="fr-CH"/>
        </w:rPr>
        <w:tab/>
      </w:r>
      <w:r w:rsidRPr="005360E7">
        <w:rPr>
          <w:szCs w:val="24"/>
          <w:lang w:val="fr-CH"/>
        </w:rPr>
        <w:tab/>
      </w:r>
      <w:r w:rsidR="00E804CC" w:rsidRPr="005360E7">
        <w:rPr>
          <w:szCs w:val="24"/>
          <w:lang w:val="fr-CH"/>
        </w:rPr>
        <w:t>f)</w:t>
      </w:r>
      <w:r w:rsidR="00E804CC" w:rsidRPr="005360E7">
        <w:rPr>
          <w:szCs w:val="24"/>
          <w:lang w:val="fr-CH"/>
        </w:rPr>
        <w:tab/>
        <w:t>S’assurer que les plaques-étiquettes</w:t>
      </w:r>
      <w:r w:rsidR="00E804CC" w:rsidRPr="005360E7">
        <w:rPr>
          <w:szCs w:val="24"/>
          <w:u w:val="single"/>
          <w:lang w:val="fr-CH"/>
        </w:rPr>
        <w:t>,</w:t>
      </w:r>
      <w:r w:rsidR="00E804CC" w:rsidRPr="005360E7">
        <w:rPr>
          <w:szCs w:val="24"/>
          <w:lang w:val="fr-CH"/>
        </w:rPr>
        <w:t xml:space="preserve"> </w:t>
      </w:r>
      <w:r w:rsidR="00E804CC" w:rsidRPr="005360E7">
        <w:rPr>
          <w:strike/>
          <w:szCs w:val="24"/>
          <w:lang w:val="fr-CH"/>
        </w:rPr>
        <w:t>et</w:t>
      </w:r>
      <w:r w:rsidR="00E804CC" w:rsidRPr="005360E7">
        <w:rPr>
          <w:szCs w:val="24"/>
          <w:lang w:val="fr-CH"/>
        </w:rPr>
        <w:t xml:space="preserve"> les </w:t>
      </w:r>
      <w:r w:rsidR="00E804CC" w:rsidRPr="005360E7">
        <w:rPr>
          <w:strike/>
          <w:szCs w:val="24"/>
          <w:lang w:val="fr-CH"/>
        </w:rPr>
        <w:t>signalisations</w:t>
      </w:r>
      <w:r w:rsidR="00E804CC" w:rsidRPr="005360E7">
        <w:rPr>
          <w:szCs w:val="24"/>
          <w:lang w:val="fr-CH"/>
        </w:rPr>
        <w:t xml:space="preserve"> </w:t>
      </w:r>
      <w:r w:rsidR="00E804CC" w:rsidRPr="005360E7">
        <w:rPr>
          <w:szCs w:val="24"/>
          <w:u w:val="single"/>
          <w:lang w:val="fr-CH"/>
        </w:rPr>
        <w:t>marques et les panneaux orange</w:t>
      </w:r>
      <w:r w:rsidR="00E804CC" w:rsidRPr="005360E7">
        <w:rPr>
          <w:szCs w:val="24"/>
          <w:lang w:val="fr-CH"/>
        </w:rPr>
        <w:t xml:space="preserve"> prescrits pour les véhicules </w:t>
      </w:r>
      <w:r w:rsidR="00E804CC" w:rsidRPr="005360E7">
        <w:rPr>
          <w:szCs w:val="24"/>
          <w:u w:val="single"/>
          <w:lang w:val="fr-CH"/>
        </w:rPr>
        <w:t>au chapitre 5.3</w:t>
      </w:r>
      <w:r w:rsidR="00E804CC" w:rsidRPr="005360E7">
        <w:rPr>
          <w:szCs w:val="24"/>
          <w:lang w:val="fr-CH"/>
        </w:rPr>
        <w:t xml:space="preserve"> soient apposées.</w:t>
      </w:r>
    </w:p>
    <w:p w:rsidR="00E804CC" w:rsidRPr="005360E7" w:rsidRDefault="00E804CC" w:rsidP="000126EB">
      <w:pPr>
        <w:pStyle w:val="SingleTxt"/>
        <w:numPr>
          <w:ilvl w:val="0"/>
          <w:numId w:val="7"/>
        </w:numPr>
        <w:tabs>
          <w:tab w:val="clear" w:pos="475"/>
          <w:tab w:val="num" w:pos="1742"/>
        </w:tabs>
        <w:ind w:left="1267"/>
        <w:rPr>
          <w:lang w:val="fr-CH"/>
        </w:rPr>
      </w:pPr>
      <w:r w:rsidRPr="005360E7">
        <w:rPr>
          <w:lang w:val="fr-CH"/>
        </w:rPr>
        <w:t xml:space="preserve">Ajouter les parties </w:t>
      </w:r>
      <w:r w:rsidRPr="005360E7">
        <w:rPr>
          <w:u w:val="single"/>
          <w:lang w:val="fr-CH"/>
        </w:rPr>
        <w:t>soulignées</w:t>
      </w:r>
      <w:r w:rsidRPr="005360E7">
        <w:rPr>
          <w:lang w:val="fr-CH"/>
        </w:rPr>
        <w:t xml:space="preserve"> et supprimer les parties </w:t>
      </w:r>
      <w:r w:rsidRPr="005360E7">
        <w:rPr>
          <w:strike/>
          <w:lang w:val="fr-CH"/>
        </w:rPr>
        <w:t>biffées</w:t>
      </w:r>
      <w:r w:rsidRPr="005360E7">
        <w:rPr>
          <w:lang w:val="fr-CH"/>
        </w:rPr>
        <w:t xml:space="preserve"> dans le texte de la sous-section 1.4.3</w:t>
      </w:r>
      <w:r w:rsidR="005709B6">
        <w:rPr>
          <w:lang w:val="fr-CH"/>
        </w:rPr>
        <w:t>.1.1 </w:t>
      </w:r>
      <w:r w:rsidRPr="005360E7">
        <w:rPr>
          <w:lang w:val="fr-CH"/>
        </w:rPr>
        <w:t>d).</w:t>
      </w:r>
    </w:p>
    <w:p w:rsidR="00E804CC" w:rsidRPr="005360E7" w:rsidRDefault="00E804CC" w:rsidP="006318C0">
      <w:pPr>
        <w:pStyle w:val="SingleTxt"/>
        <w:keepNext/>
        <w:rPr>
          <w:lang w:val="fr-CH"/>
        </w:rPr>
      </w:pPr>
      <w:r w:rsidRPr="005360E7">
        <w:rPr>
          <w:lang w:val="fr-CH"/>
        </w:rPr>
        <w:t>1.4.3.1.1 (RID)</w:t>
      </w:r>
    </w:p>
    <w:p w:rsidR="00E804CC" w:rsidRPr="005360E7" w:rsidRDefault="000126EB" w:rsidP="00DD2715">
      <w:pPr>
        <w:pStyle w:val="SingleTxt"/>
        <w:ind w:left="2693" w:hanging="1426"/>
        <w:rPr>
          <w:szCs w:val="24"/>
          <w:lang w:val="fr-CH"/>
        </w:rPr>
      </w:pPr>
      <w:r w:rsidRPr="005360E7">
        <w:rPr>
          <w:szCs w:val="24"/>
          <w:lang w:val="fr-CH"/>
        </w:rPr>
        <w:tab/>
      </w:r>
      <w:r w:rsidRPr="005360E7">
        <w:rPr>
          <w:szCs w:val="24"/>
          <w:lang w:val="fr-CH"/>
        </w:rPr>
        <w:tab/>
      </w:r>
      <w:r w:rsidR="00E804CC" w:rsidRPr="005360E7">
        <w:rPr>
          <w:szCs w:val="24"/>
          <w:lang w:val="fr-CH"/>
        </w:rPr>
        <w:t>d)</w:t>
      </w:r>
      <w:r w:rsidR="00E804CC" w:rsidRPr="005360E7">
        <w:rPr>
          <w:szCs w:val="24"/>
          <w:lang w:val="fr-CH"/>
        </w:rPr>
        <w:tab/>
        <w:t xml:space="preserve">Doit, lorsqu’il remet directement les marchandises dangereuses au transporteur, observer les prescriptions relatives au placardage </w:t>
      </w:r>
      <w:r w:rsidR="00E804CC" w:rsidRPr="005360E7">
        <w:rPr>
          <w:szCs w:val="24"/>
          <w:u w:val="single"/>
          <w:lang w:val="fr-CH"/>
        </w:rPr>
        <w:t>et au marquage</w:t>
      </w:r>
      <w:r w:rsidR="00E804CC" w:rsidRPr="005360E7">
        <w:rPr>
          <w:szCs w:val="24"/>
          <w:lang w:val="fr-CH"/>
        </w:rPr>
        <w:t xml:space="preserve"> </w:t>
      </w:r>
      <w:r w:rsidR="00E804CC" w:rsidRPr="005360E7">
        <w:rPr>
          <w:strike/>
          <w:szCs w:val="24"/>
          <w:lang w:val="fr-CH"/>
        </w:rPr>
        <w:t>à la signalisation orange</w:t>
      </w:r>
      <w:r w:rsidR="00E804CC" w:rsidRPr="005360E7">
        <w:rPr>
          <w:szCs w:val="24"/>
          <w:lang w:val="fr-CH"/>
        </w:rPr>
        <w:t xml:space="preserve"> du wagon ou du grand conteneur </w:t>
      </w:r>
      <w:r w:rsidRPr="005360E7">
        <w:rPr>
          <w:szCs w:val="24"/>
          <w:u w:val="single"/>
          <w:lang w:val="fr-CH"/>
        </w:rPr>
        <w:t>conformément au chapitre </w:t>
      </w:r>
      <w:r w:rsidR="00E804CC" w:rsidRPr="005360E7">
        <w:rPr>
          <w:szCs w:val="24"/>
          <w:u w:val="single"/>
          <w:lang w:val="fr-CH"/>
        </w:rPr>
        <w:t>5.3</w:t>
      </w:r>
      <w:r w:rsidR="00E804CC" w:rsidRPr="005360E7">
        <w:rPr>
          <w:szCs w:val="24"/>
          <w:lang w:val="fr-CH"/>
        </w:rPr>
        <w:t>.</w:t>
      </w:r>
    </w:p>
    <w:p w:rsidR="00E804CC" w:rsidRPr="005360E7" w:rsidRDefault="00E804CC" w:rsidP="00AF2560">
      <w:pPr>
        <w:pStyle w:val="SingleTxt"/>
        <w:keepNext/>
        <w:spacing w:after="100"/>
        <w:rPr>
          <w:lang w:val="fr-CH"/>
        </w:rPr>
      </w:pPr>
      <w:r w:rsidRPr="005360E7">
        <w:rPr>
          <w:lang w:val="fr-CH"/>
        </w:rPr>
        <w:t>1.4.3.1.1 (ADR)</w:t>
      </w:r>
    </w:p>
    <w:p w:rsidR="00E804CC" w:rsidRPr="005360E7" w:rsidRDefault="000126EB" w:rsidP="00AF2560">
      <w:pPr>
        <w:pStyle w:val="SingleTxt"/>
        <w:spacing w:after="100"/>
        <w:ind w:left="2693" w:hanging="1426"/>
        <w:rPr>
          <w:szCs w:val="24"/>
          <w:lang w:val="fr-CH"/>
        </w:rPr>
      </w:pPr>
      <w:r w:rsidRPr="005360E7">
        <w:rPr>
          <w:szCs w:val="24"/>
          <w:lang w:val="fr-CH"/>
        </w:rPr>
        <w:tab/>
      </w:r>
      <w:r w:rsidRPr="005360E7">
        <w:rPr>
          <w:szCs w:val="24"/>
          <w:lang w:val="fr-CH"/>
        </w:rPr>
        <w:tab/>
      </w:r>
      <w:r w:rsidR="00E804CC" w:rsidRPr="005360E7">
        <w:rPr>
          <w:szCs w:val="24"/>
          <w:lang w:val="fr-CH"/>
        </w:rPr>
        <w:t>d)</w:t>
      </w:r>
      <w:r w:rsidR="00E804CC" w:rsidRPr="005360E7">
        <w:rPr>
          <w:szCs w:val="24"/>
          <w:lang w:val="fr-CH"/>
        </w:rPr>
        <w:tab/>
        <w:t xml:space="preserve">Il doit, après avoir chargé des marchandises dangereuses dans un conteneur, respecter les prescriptions relatives </w:t>
      </w:r>
      <w:r w:rsidR="00E804CC" w:rsidRPr="005360E7">
        <w:rPr>
          <w:szCs w:val="24"/>
          <w:u w:val="single"/>
          <w:lang w:val="fr-CH"/>
        </w:rPr>
        <w:t>au placardage et au marquage</w:t>
      </w:r>
      <w:r w:rsidR="00E804CC" w:rsidRPr="005360E7">
        <w:rPr>
          <w:szCs w:val="24"/>
          <w:lang w:val="fr-CH"/>
        </w:rPr>
        <w:t xml:space="preserve"> </w:t>
      </w:r>
      <w:r w:rsidR="00E804CC" w:rsidRPr="005360E7">
        <w:rPr>
          <w:strike/>
          <w:szCs w:val="24"/>
          <w:lang w:val="fr-CH"/>
        </w:rPr>
        <w:t>aux signalisations de danger</w:t>
      </w:r>
      <w:r w:rsidRPr="005360E7">
        <w:rPr>
          <w:szCs w:val="24"/>
          <w:lang w:val="fr-CH"/>
        </w:rPr>
        <w:t xml:space="preserve"> conformément au chapitre </w:t>
      </w:r>
      <w:r w:rsidR="00E804CC" w:rsidRPr="005360E7">
        <w:rPr>
          <w:szCs w:val="24"/>
          <w:lang w:val="fr-CH"/>
        </w:rPr>
        <w:t>5.3.</w:t>
      </w:r>
    </w:p>
    <w:p w:rsidR="00E804CC" w:rsidRPr="005360E7" w:rsidRDefault="00E804CC" w:rsidP="00AF2560">
      <w:pPr>
        <w:pStyle w:val="SingleTxt"/>
        <w:numPr>
          <w:ilvl w:val="0"/>
          <w:numId w:val="7"/>
        </w:numPr>
        <w:tabs>
          <w:tab w:val="clear" w:pos="475"/>
          <w:tab w:val="num" w:pos="1742"/>
        </w:tabs>
        <w:spacing w:after="100"/>
        <w:ind w:left="1267"/>
        <w:rPr>
          <w:lang w:val="fr-CH"/>
        </w:rPr>
      </w:pPr>
      <w:r w:rsidRPr="005360E7">
        <w:rPr>
          <w:lang w:val="fr-CH"/>
        </w:rPr>
        <w:t xml:space="preserve">Ajouter les parties </w:t>
      </w:r>
      <w:r w:rsidRPr="005360E7">
        <w:rPr>
          <w:u w:val="single"/>
          <w:lang w:val="fr-CH"/>
        </w:rPr>
        <w:t>soulignées</w:t>
      </w:r>
      <w:r w:rsidRPr="005360E7">
        <w:rPr>
          <w:lang w:val="fr-CH"/>
        </w:rPr>
        <w:t xml:space="preserve"> et supprimer les parties </w:t>
      </w:r>
      <w:r w:rsidRPr="005360E7">
        <w:rPr>
          <w:strike/>
          <w:lang w:val="fr-CH"/>
        </w:rPr>
        <w:t>biffées</w:t>
      </w:r>
      <w:r w:rsidRPr="005360E7">
        <w:rPr>
          <w:lang w:val="fr-CH"/>
        </w:rPr>
        <w:t xml:space="preserve"> dans le texte de la sous-section 1.4.3.</w:t>
      </w:r>
      <w:r w:rsidR="00DD02A3">
        <w:rPr>
          <w:lang w:val="fr-CH"/>
        </w:rPr>
        <w:t>3 </w:t>
      </w:r>
      <w:r w:rsidRPr="005360E7">
        <w:rPr>
          <w:lang w:val="fr-CH"/>
        </w:rPr>
        <w:t>h).</w:t>
      </w:r>
    </w:p>
    <w:p w:rsidR="00E804CC" w:rsidRPr="005360E7" w:rsidRDefault="00E804CC" w:rsidP="00AF2560">
      <w:pPr>
        <w:pStyle w:val="SingleTxt"/>
        <w:keepNext/>
        <w:spacing w:after="100"/>
        <w:rPr>
          <w:lang w:val="fr-CH"/>
        </w:rPr>
      </w:pPr>
      <w:r w:rsidRPr="005360E7">
        <w:rPr>
          <w:lang w:val="fr-CH"/>
        </w:rPr>
        <w:t>1.4.3.3 (RID)</w:t>
      </w:r>
    </w:p>
    <w:p w:rsidR="00E804CC" w:rsidRPr="005360E7" w:rsidRDefault="000126EB" w:rsidP="00AF2560">
      <w:pPr>
        <w:pStyle w:val="SingleTxt"/>
        <w:spacing w:after="100"/>
        <w:ind w:left="2693" w:hanging="1426"/>
        <w:rPr>
          <w:szCs w:val="24"/>
          <w:lang w:val="fr-CH"/>
        </w:rPr>
      </w:pPr>
      <w:r w:rsidRPr="005360E7">
        <w:rPr>
          <w:szCs w:val="24"/>
          <w:lang w:val="fr-CH"/>
        </w:rPr>
        <w:tab/>
      </w:r>
      <w:r w:rsidRPr="005360E7">
        <w:rPr>
          <w:szCs w:val="24"/>
          <w:lang w:val="fr-CH"/>
        </w:rPr>
        <w:tab/>
      </w:r>
      <w:r w:rsidR="00E804CC" w:rsidRPr="005360E7">
        <w:rPr>
          <w:szCs w:val="24"/>
          <w:lang w:val="fr-CH"/>
        </w:rPr>
        <w:t>h)</w:t>
      </w:r>
      <w:r w:rsidR="00E804CC" w:rsidRPr="005360E7">
        <w:rPr>
          <w:szCs w:val="24"/>
          <w:lang w:val="fr-CH"/>
        </w:rPr>
        <w:tab/>
        <w:t xml:space="preserve">doit, lorsqu’il prépare les marchandises dangereuses aux fins de transport, veiller à ce que </w:t>
      </w:r>
      <w:r w:rsidR="00E804CC" w:rsidRPr="005360E7">
        <w:rPr>
          <w:szCs w:val="24"/>
          <w:u w:val="single"/>
          <w:lang w:val="fr-CH"/>
        </w:rPr>
        <w:t>les plaques-étiquettes et les marques</w:t>
      </w:r>
      <w:r w:rsidR="00E804CC" w:rsidRPr="005360E7">
        <w:rPr>
          <w:szCs w:val="24"/>
          <w:lang w:val="fr-CH"/>
        </w:rPr>
        <w:t xml:space="preserve"> </w:t>
      </w:r>
      <w:r w:rsidR="00E804CC" w:rsidRPr="005360E7">
        <w:rPr>
          <w:strike/>
          <w:szCs w:val="24"/>
          <w:lang w:val="fr-CH"/>
        </w:rPr>
        <w:t>la signalisation</w:t>
      </w:r>
      <w:r w:rsidR="00E804CC" w:rsidRPr="005360E7">
        <w:rPr>
          <w:szCs w:val="24"/>
          <w:lang w:val="fr-CH"/>
        </w:rPr>
        <w:t xml:space="preserve"> </w:t>
      </w:r>
      <w:r w:rsidR="00E804CC" w:rsidRPr="005360E7">
        <w:rPr>
          <w:strike/>
          <w:szCs w:val="24"/>
          <w:lang w:val="fr-CH"/>
        </w:rPr>
        <w:t>orange, les étiquettes ou plaques-étiquettes, les marques pour les matières transportées à chaud et les matières dangereuses pour l’environnement</w:t>
      </w:r>
      <w:r w:rsidR="00E804CC" w:rsidRPr="005360E7">
        <w:rPr>
          <w:szCs w:val="24"/>
          <w:lang w:val="fr-CH"/>
        </w:rPr>
        <w:t xml:space="preserve"> ainsi que les étiquettes de manœuvre prescrites soient apposées </w:t>
      </w:r>
      <w:r w:rsidR="00E804CC" w:rsidRPr="005360E7">
        <w:rPr>
          <w:strike/>
          <w:szCs w:val="24"/>
          <w:lang w:val="fr-CH"/>
        </w:rPr>
        <w:t>conformément aux prescriptions</w:t>
      </w:r>
      <w:r w:rsidR="00E804CC" w:rsidRPr="005360E7">
        <w:rPr>
          <w:szCs w:val="24"/>
          <w:lang w:val="fr-CH"/>
        </w:rPr>
        <w:t xml:space="preserve"> sur les citernes, sur les wagons et sur les </w:t>
      </w:r>
      <w:r w:rsidR="00E804CC" w:rsidRPr="005360E7">
        <w:rPr>
          <w:strike/>
          <w:szCs w:val="24"/>
          <w:lang w:val="fr-CH"/>
        </w:rPr>
        <w:t>grands et petit</w:t>
      </w:r>
      <w:r w:rsidR="00E804CC" w:rsidRPr="005360E7">
        <w:rPr>
          <w:szCs w:val="24"/>
          <w:lang w:val="fr-CH"/>
        </w:rPr>
        <w:t xml:space="preserve"> conteneurs </w:t>
      </w:r>
      <w:r w:rsidR="00E804CC" w:rsidRPr="005360E7">
        <w:rPr>
          <w:szCs w:val="24"/>
          <w:u w:val="single"/>
          <w:lang w:val="fr-CH"/>
        </w:rPr>
        <w:t xml:space="preserve">conformément </w:t>
      </w:r>
      <w:r w:rsidR="006318C0" w:rsidRPr="005360E7">
        <w:rPr>
          <w:szCs w:val="24"/>
          <w:u w:val="single"/>
          <w:lang w:val="fr-CH"/>
        </w:rPr>
        <w:t>au chapitre </w:t>
      </w:r>
      <w:r w:rsidR="00E804CC" w:rsidRPr="005360E7">
        <w:rPr>
          <w:szCs w:val="24"/>
          <w:u w:val="single"/>
          <w:lang w:val="fr-CH"/>
        </w:rPr>
        <w:t>5.3</w:t>
      </w:r>
      <w:r w:rsidR="00E804CC" w:rsidRPr="005360E7">
        <w:rPr>
          <w:szCs w:val="24"/>
          <w:lang w:val="fr-CH"/>
        </w:rPr>
        <w:t>.</w:t>
      </w:r>
    </w:p>
    <w:p w:rsidR="00E804CC" w:rsidRPr="005360E7" w:rsidRDefault="00E804CC" w:rsidP="00AF2560">
      <w:pPr>
        <w:pStyle w:val="SingleTxt"/>
        <w:keepNext/>
        <w:spacing w:after="100"/>
        <w:rPr>
          <w:lang w:val="fr-CH"/>
        </w:rPr>
      </w:pPr>
      <w:r w:rsidRPr="005360E7">
        <w:rPr>
          <w:lang w:val="fr-CH"/>
        </w:rPr>
        <w:t>1.4.3.3 (ADR)</w:t>
      </w:r>
    </w:p>
    <w:p w:rsidR="00E804CC" w:rsidRPr="005360E7" w:rsidRDefault="006318C0" w:rsidP="00AF2560">
      <w:pPr>
        <w:pStyle w:val="SingleTxt"/>
        <w:spacing w:after="100"/>
        <w:ind w:left="2693" w:hanging="1426"/>
        <w:rPr>
          <w:szCs w:val="24"/>
          <w:lang w:val="fr-CH"/>
        </w:rPr>
      </w:pPr>
      <w:r w:rsidRPr="005360E7">
        <w:rPr>
          <w:szCs w:val="24"/>
          <w:lang w:val="fr-CH"/>
        </w:rPr>
        <w:tab/>
      </w:r>
      <w:r w:rsidRPr="005360E7">
        <w:rPr>
          <w:szCs w:val="24"/>
          <w:lang w:val="fr-CH"/>
        </w:rPr>
        <w:tab/>
      </w:r>
      <w:r w:rsidR="00E804CC" w:rsidRPr="005360E7">
        <w:rPr>
          <w:szCs w:val="24"/>
          <w:lang w:val="fr-CH"/>
        </w:rPr>
        <w:t>h)</w:t>
      </w:r>
      <w:r w:rsidR="00E804CC" w:rsidRPr="005360E7">
        <w:rPr>
          <w:szCs w:val="24"/>
          <w:lang w:val="fr-CH"/>
        </w:rPr>
        <w:tab/>
        <w:t xml:space="preserve">Il doit, lorsqu’il prépare les marchandises dangereuses aux fins de transport, veiller à ce que </w:t>
      </w:r>
      <w:r w:rsidR="00E804CC" w:rsidRPr="005360E7">
        <w:rPr>
          <w:szCs w:val="24"/>
          <w:u w:val="single"/>
          <w:lang w:val="fr-CH"/>
        </w:rPr>
        <w:t>les plaques-étiquettes et les marques</w:t>
      </w:r>
      <w:r w:rsidR="00E804CC" w:rsidRPr="005360E7">
        <w:rPr>
          <w:szCs w:val="24"/>
          <w:lang w:val="fr-CH"/>
        </w:rPr>
        <w:t xml:space="preserve"> </w:t>
      </w:r>
      <w:r w:rsidR="00E804CC" w:rsidRPr="005360E7">
        <w:rPr>
          <w:strike/>
          <w:szCs w:val="24"/>
          <w:lang w:val="fr-CH"/>
        </w:rPr>
        <w:t>le placardage et la signalisation</w:t>
      </w:r>
      <w:r w:rsidR="00E804CC" w:rsidRPr="005360E7">
        <w:rPr>
          <w:szCs w:val="24"/>
          <w:lang w:val="fr-CH"/>
        </w:rPr>
        <w:t xml:space="preserve"> </w:t>
      </w:r>
      <w:r w:rsidR="00E804CC" w:rsidRPr="005360E7">
        <w:rPr>
          <w:strike/>
          <w:szCs w:val="24"/>
          <w:lang w:val="fr-CH"/>
        </w:rPr>
        <w:t>orange, les étiquettes ou plaques-étiquettes, les marques pour les matières transportées à chaud et les matières dangereuses pour l’environnement prescrites</w:t>
      </w:r>
      <w:r w:rsidR="00E804CC" w:rsidRPr="005360E7">
        <w:rPr>
          <w:szCs w:val="24"/>
          <w:lang w:val="fr-CH"/>
        </w:rPr>
        <w:t xml:space="preserve"> soient apposés</w:t>
      </w:r>
      <w:r w:rsidR="00E804CC" w:rsidRPr="005360E7">
        <w:rPr>
          <w:strike/>
          <w:szCs w:val="24"/>
          <w:lang w:val="fr-CH"/>
        </w:rPr>
        <w:t xml:space="preserve"> conformément aux prescriptions</w:t>
      </w:r>
      <w:r w:rsidR="00E804CC" w:rsidRPr="005360E7">
        <w:rPr>
          <w:szCs w:val="24"/>
          <w:lang w:val="fr-CH"/>
        </w:rPr>
        <w:t xml:space="preserve"> sur les citernes, sur les véhicules et sur les </w:t>
      </w:r>
      <w:r w:rsidR="00E804CC" w:rsidRPr="005360E7">
        <w:rPr>
          <w:strike/>
          <w:szCs w:val="24"/>
          <w:lang w:val="fr-CH"/>
        </w:rPr>
        <w:t>grands et petit</w:t>
      </w:r>
      <w:r w:rsidR="00E804CC" w:rsidRPr="005360E7">
        <w:rPr>
          <w:szCs w:val="24"/>
          <w:lang w:val="fr-CH"/>
        </w:rPr>
        <w:t xml:space="preserve"> conteneurs pour vrac </w:t>
      </w:r>
      <w:r w:rsidR="00E804CC" w:rsidRPr="005360E7">
        <w:rPr>
          <w:szCs w:val="24"/>
          <w:u w:val="single"/>
          <w:lang w:val="fr-CH"/>
        </w:rPr>
        <w:t>conformément au chapitre</w:t>
      </w:r>
      <w:r w:rsidR="00DD02A3">
        <w:rPr>
          <w:szCs w:val="24"/>
          <w:u w:val="single"/>
          <w:lang w:val="fr-CH"/>
        </w:rPr>
        <w:t> </w:t>
      </w:r>
      <w:r w:rsidR="00E804CC" w:rsidRPr="005360E7">
        <w:rPr>
          <w:szCs w:val="24"/>
          <w:u w:val="single"/>
          <w:lang w:val="fr-CH"/>
        </w:rPr>
        <w:t>5.3</w:t>
      </w:r>
      <w:r w:rsidR="00E804CC" w:rsidRPr="005360E7">
        <w:rPr>
          <w:szCs w:val="24"/>
          <w:lang w:val="fr-CH"/>
        </w:rPr>
        <w:t>.</w:t>
      </w:r>
    </w:p>
    <w:p w:rsidR="00E804CC" w:rsidRPr="005360E7" w:rsidRDefault="00E804CC" w:rsidP="00AF2560">
      <w:pPr>
        <w:pStyle w:val="SingleTxt"/>
        <w:numPr>
          <w:ilvl w:val="0"/>
          <w:numId w:val="7"/>
        </w:numPr>
        <w:tabs>
          <w:tab w:val="clear" w:pos="475"/>
          <w:tab w:val="num" w:pos="1742"/>
        </w:tabs>
        <w:spacing w:after="100"/>
        <w:ind w:left="1267"/>
        <w:rPr>
          <w:lang w:val="fr-CH"/>
        </w:rPr>
      </w:pPr>
      <w:r w:rsidRPr="005360E7">
        <w:rPr>
          <w:lang w:val="fr-CH"/>
        </w:rPr>
        <w:t xml:space="preserve">Ajouter les parties </w:t>
      </w:r>
      <w:r w:rsidRPr="005360E7">
        <w:rPr>
          <w:u w:val="single"/>
          <w:lang w:val="fr-CH"/>
        </w:rPr>
        <w:t>soulignées</w:t>
      </w:r>
      <w:r w:rsidRPr="005360E7">
        <w:rPr>
          <w:lang w:val="fr-CH"/>
        </w:rPr>
        <w:t xml:space="preserve"> et supprimer les parties </w:t>
      </w:r>
      <w:r w:rsidRPr="005360E7">
        <w:rPr>
          <w:strike/>
          <w:lang w:val="fr-CH"/>
        </w:rPr>
        <w:t>biffées</w:t>
      </w:r>
      <w:r w:rsidRPr="005360E7">
        <w:rPr>
          <w:lang w:val="fr-CH"/>
        </w:rPr>
        <w:t xml:space="preserve"> </w:t>
      </w:r>
      <w:r w:rsidR="005709B6">
        <w:rPr>
          <w:lang w:val="fr-CH"/>
        </w:rPr>
        <w:t>dans le</w:t>
      </w:r>
      <w:r w:rsidRPr="005360E7">
        <w:rPr>
          <w:lang w:val="fr-CH"/>
        </w:rPr>
        <w:t xml:space="preserve"> texte de la sous-section 1.4.3.7.1 f).</w:t>
      </w:r>
    </w:p>
    <w:p w:rsidR="00E804CC" w:rsidRPr="005360E7" w:rsidRDefault="00E804CC" w:rsidP="00AF2560">
      <w:pPr>
        <w:pStyle w:val="SingleTxt"/>
        <w:keepNext/>
        <w:rPr>
          <w:lang w:val="fr-CH"/>
        </w:rPr>
      </w:pPr>
      <w:r w:rsidRPr="005360E7">
        <w:rPr>
          <w:lang w:val="fr-CH"/>
        </w:rPr>
        <w:t>1.4.3.7.1 (RID)</w:t>
      </w:r>
    </w:p>
    <w:p w:rsidR="00E804CC" w:rsidRPr="005360E7" w:rsidRDefault="00AF2560" w:rsidP="00DD2715">
      <w:pPr>
        <w:pStyle w:val="SingleTxt"/>
        <w:ind w:left="2693" w:hanging="1426"/>
        <w:rPr>
          <w:szCs w:val="24"/>
          <w:lang w:val="fr-CH"/>
        </w:rPr>
      </w:pPr>
      <w:r w:rsidRPr="005360E7">
        <w:rPr>
          <w:szCs w:val="24"/>
          <w:lang w:val="fr-CH"/>
        </w:rPr>
        <w:tab/>
      </w:r>
      <w:r w:rsidRPr="005360E7">
        <w:rPr>
          <w:szCs w:val="24"/>
          <w:lang w:val="fr-CH"/>
        </w:rPr>
        <w:tab/>
      </w:r>
      <w:r w:rsidR="00E804CC" w:rsidRPr="005360E7">
        <w:rPr>
          <w:szCs w:val="24"/>
          <w:lang w:val="fr-CH"/>
        </w:rPr>
        <w:t>f)</w:t>
      </w:r>
      <w:r w:rsidR="00E804CC" w:rsidRPr="005360E7">
        <w:rPr>
          <w:szCs w:val="24"/>
          <w:lang w:val="fr-CH"/>
        </w:rPr>
        <w:tab/>
        <w:t xml:space="preserve">Veiller à ce que les wagons et les conteneurs, une fois entièrement déchargés, nettoyés, dégazés et décontaminés, ne portent plus les plaques-étiquettes et </w:t>
      </w:r>
      <w:r w:rsidR="00E804CC" w:rsidRPr="005360E7">
        <w:rPr>
          <w:szCs w:val="24"/>
          <w:u w:val="single"/>
          <w:lang w:val="fr-CH"/>
        </w:rPr>
        <w:t>les marques</w:t>
      </w:r>
      <w:r w:rsidR="00E804CC" w:rsidRPr="005360E7">
        <w:rPr>
          <w:szCs w:val="24"/>
          <w:lang w:val="fr-CH"/>
        </w:rPr>
        <w:t xml:space="preserve"> </w:t>
      </w:r>
      <w:r w:rsidR="00E804CC" w:rsidRPr="005360E7">
        <w:rPr>
          <w:strike/>
          <w:szCs w:val="24"/>
          <w:lang w:val="fr-CH"/>
        </w:rPr>
        <w:t>la signalisation orange</w:t>
      </w:r>
      <w:r w:rsidR="00E804CC" w:rsidRPr="005360E7">
        <w:rPr>
          <w:szCs w:val="24"/>
          <w:lang w:val="fr-CH"/>
        </w:rPr>
        <w:t xml:space="preserve"> </w:t>
      </w:r>
      <w:r w:rsidR="00E804CC" w:rsidRPr="005360E7">
        <w:rPr>
          <w:szCs w:val="24"/>
          <w:u w:val="single"/>
          <w:lang w:val="fr-CH"/>
        </w:rPr>
        <w:t>qui avaient été apposée</w:t>
      </w:r>
      <w:r w:rsidRPr="005360E7">
        <w:rPr>
          <w:szCs w:val="24"/>
          <w:u w:val="single"/>
          <w:lang w:val="fr-CH"/>
        </w:rPr>
        <w:t>s conformément au chapitre </w:t>
      </w:r>
      <w:r w:rsidR="00E804CC" w:rsidRPr="005360E7">
        <w:rPr>
          <w:szCs w:val="24"/>
          <w:u w:val="single"/>
          <w:lang w:val="fr-CH"/>
        </w:rPr>
        <w:t>5.3</w:t>
      </w:r>
      <w:r w:rsidR="00E804CC" w:rsidRPr="005360E7">
        <w:rPr>
          <w:szCs w:val="24"/>
          <w:lang w:val="fr-CH"/>
        </w:rPr>
        <w:t xml:space="preserve">. </w:t>
      </w:r>
    </w:p>
    <w:p w:rsidR="00E804CC" w:rsidRPr="005360E7" w:rsidRDefault="00E804CC" w:rsidP="00AF2560">
      <w:pPr>
        <w:pStyle w:val="SingleTxt"/>
        <w:keepNext/>
        <w:rPr>
          <w:lang w:val="fr-CH"/>
        </w:rPr>
      </w:pPr>
      <w:r w:rsidRPr="005360E7">
        <w:rPr>
          <w:lang w:val="fr-CH"/>
        </w:rPr>
        <w:t>1.4.3.7.1 (ADR)</w:t>
      </w:r>
    </w:p>
    <w:p w:rsidR="00E804CC" w:rsidRPr="005360E7" w:rsidRDefault="00AF2560" w:rsidP="00DD2715">
      <w:pPr>
        <w:pStyle w:val="SingleTxt"/>
        <w:ind w:left="2693" w:hanging="1426"/>
        <w:rPr>
          <w:szCs w:val="24"/>
          <w:lang w:val="fr-CH"/>
        </w:rPr>
      </w:pPr>
      <w:r w:rsidRPr="005360E7">
        <w:rPr>
          <w:szCs w:val="24"/>
          <w:lang w:val="fr-CH"/>
        </w:rPr>
        <w:tab/>
      </w:r>
      <w:r w:rsidRPr="005360E7">
        <w:rPr>
          <w:szCs w:val="24"/>
          <w:lang w:val="fr-CH"/>
        </w:rPr>
        <w:tab/>
      </w:r>
      <w:r w:rsidR="00E804CC" w:rsidRPr="005360E7">
        <w:rPr>
          <w:szCs w:val="24"/>
          <w:lang w:val="fr-CH"/>
        </w:rPr>
        <w:t>f)</w:t>
      </w:r>
      <w:r w:rsidR="00E804CC" w:rsidRPr="005360E7">
        <w:rPr>
          <w:szCs w:val="24"/>
          <w:lang w:val="fr-CH"/>
        </w:rPr>
        <w:tab/>
        <w:t xml:space="preserve">Veiller à ce que les conteneurs, une fois entièrement déchargés, nettoyés et décontaminés, ne portent plus les </w:t>
      </w:r>
      <w:r w:rsidR="00E804CC" w:rsidRPr="005360E7">
        <w:rPr>
          <w:szCs w:val="24"/>
          <w:u w:val="single"/>
          <w:lang w:val="fr-CH"/>
        </w:rPr>
        <w:t>marques</w:t>
      </w:r>
      <w:r w:rsidR="00E804CC" w:rsidRPr="005360E7">
        <w:rPr>
          <w:szCs w:val="24"/>
          <w:lang w:val="fr-CH"/>
        </w:rPr>
        <w:t xml:space="preserve"> s</w:t>
      </w:r>
      <w:r w:rsidR="00E804CC" w:rsidRPr="005360E7">
        <w:rPr>
          <w:strike/>
          <w:szCs w:val="24"/>
          <w:lang w:val="fr-CH"/>
        </w:rPr>
        <w:t>ignalisations de danger</w:t>
      </w:r>
      <w:r w:rsidR="00E804CC" w:rsidRPr="005360E7">
        <w:rPr>
          <w:szCs w:val="24"/>
          <w:lang w:val="fr-CH"/>
        </w:rPr>
        <w:t xml:space="preserve">, </w:t>
      </w:r>
      <w:r w:rsidR="00E804CC" w:rsidRPr="005360E7">
        <w:rPr>
          <w:szCs w:val="24"/>
          <w:u w:val="single"/>
          <w:lang w:val="fr-CH"/>
        </w:rPr>
        <w:t xml:space="preserve">les </w:t>
      </w:r>
      <w:r w:rsidR="005709B6">
        <w:rPr>
          <w:szCs w:val="24"/>
          <w:u w:val="single"/>
          <w:lang w:val="fr-CH"/>
        </w:rPr>
        <w:t xml:space="preserve">plaques-étiquettes et </w:t>
      </w:r>
      <w:r w:rsidR="00E804CC" w:rsidRPr="005360E7">
        <w:rPr>
          <w:szCs w:val="24"/>
          <w:u w:val="single"/>
          <w:lang w:val="fr-CH"/>
        </w:rPr>
        <w:t>les panneaux orange qui avaient été a</w:t>
      </w:r>
      <w:r w:rsidRPr="005360E7">
        <w:rPr>
          <w:szCs w:val="24"/>
          <w:u w:val="single"/>
          <w:lang w:val="fr-CH"/>
        </w:rPr>
        <w:t>pposés conformément au chapitre </w:t>
      </w:r>
      <w:r w:rsidR="00E804CC" w:rsidRPr="005360E7">
        <w:rPr>
          <w:szCs w:val="24"/>
          <w:u w:val="single"/>
          <w:lang w:val="fr-CH"/>
        </w:rPr>
        <w:t>5.3</w:t>
      </w:r>
      <w:r w:rsidR="00E804CC" w:rsidRPr="005360E7">
        <w:rPr>
          <w:szCs w:val="24"/>
          <w:lang w:val="fr-CH"/>
        </w:rPr>
        <w:t>.</w:t>
      </w:r>
    </w:p>
    <w:p w:rsidR="001562FA" w:rsidRPr="005360E7" w:rsidRDefault="001562FA" w:rsidP="001562FA">
      <w:pPr>
        <w:pStyle w:val="SingleTxt"/>
        <w:spacing w:after="0" w:line="120" w:lineRule="exact"/>
        <w:ind w:left="2693" w:hanging="1426"/>
        <w:rPr>
          <w:sz w:val="10"/>
          <w:szCs w:val="24"/>
          <w:lang w:val="fr-CH"/>
        </w:rPr>
      </w:pPr>
    </w:p>
    <w:p w:rsidR="001562FA" w:rsidRPr="005360E7" w:rsidRDefault="001562FA" w:rsidP="001562FA">
      <w:pPr>
        <w:pStyle w:val="SingleTxt"/>
        <w:spacing w:after="0" w:line="120" w:lineRule="exact"/>
        <w:ind w:left="2693" w:hanging="1426"/>
        <w:rPr>
          <w:sz w:val="10"/>
          <w:szCs w:val="24"/>
          <w:lang w:val="fr-CH"/>
        </w:rPr>
      </w:pPr>
    </w:p>
    <w:p w:rsidR="00E804CC" w:rsidRPr="005360E7" w:rsidRDefault="00E804CC" w:rsidP="001562F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360E7">
        <w:rPr>
          <w:lang w:val="fr-CH"/>
        </w:rPr>
        <w:tab/>
      </w:r>
      <w:r w:rsidRPr="005360E7">
        <w:rPr>
          <w:lang w:val="fr-CH"/>
        </w:rPr>
        <w:tab/>
        <w:t>Justification</w:t>
      </w:r>
    </w:p>
    <w:p w:rsidR="001562FA" w:rsidRPr="005360E7" w:rsidRDefault="001562FA" w:rsidP="001562FA">
      <w:pPr>
        <w:spacing w:line="120" w:lineRule="exact"/>
        <w:ind w:left="1134" w:right="1134"/>
        <w:jc w:val="both"/>
        <w:rPr>
          <w:sz w:val="10"/>
          <w:szCs w:val="24"/>
          <w:lang w:val="fr-CH"/>
        </w:rPr>
      </w:pPr>
    </w:p>
    <w:p w:rsidR="001562FA" w:rsidRPr="005360E7" w:rsidRDefault="001562FA" w:rsidP="001562FA">
      <w:pPr>
        <w:spacing w:line="120" w:lineRule="exact"/>
        <w:ind w:left="1134" w:right="1134"/>
        <w:jc w:val="both"/>
        <w:rPr>
          <w:sz w:val="10"/>
          <w:szCs w:val="24"/>
          <w:lang w:val="fr-CH"/>
        </w:rPr>
      </w:pPr>
    </w:p>
    <w:p w:rsidR="00E804CC" w:rsidRPr="005360E7" w:rsidRDefault="00E804CC" w:rsidP="001562FA">
      <w:pPr>
        <w:pStyle w:val="SingleTxt"/>
        <w:numPr>
          <w:ilvl w:val="0"/>
          <w:numId w:val="7"/>
        </w:numPr>
        <w:tabs>
          <w:tab w:val="clear" w:pos="475"/>
          <w:tab w:val="num" w:pos="1742"/>
        </w:tabs>
        <w:ind w:left="1267"/>
        <w:rPr>
          <w:lang w:val="fr-CH"/>
        </w:rPr>
      </w:pPr>
      <w:r w:rsidRPr="005360E7">
        <w:rPr>
          <w:lang w:val="fr-CH"/>
        </w:rPr>
        <w:t xml:space="preserve">L’utilisation actuelle du terme </w:t>
      </w:r>
      <w:r w:rsidR="001562FA" w:rsidRPr="005360E7">
        <w:rPr>
          <w:lang w:val="fr-CH"/>
        </w:rPr>
        <w:t>« </w:t>
      </w:r>
      <w:r w:rsidRPr="005360E7">
        <w:rPr>
          <w:i/>
          <w:lang w:val="fr-CH"/>
        </w:rPr>
        <w:t>Signalisation de danger</w:t>
      </w:r>
      <w:r w:rsidR="001562FA" w:rsidRPr="005360E7">
        <w:rPr>
          <w:lang w:val="fr-CH"/>
        </w:rPr>
        <w:t> »</w:t>
      </w:r>
      <w:r w:rsidRPr="005360E7">
        <w:rPr>
          <w:lang w:val="fr-CH"/>
        </w:rPr>
        <w:t xml:space="preserve"> prête à confusion car il n’est pas défini dans l’ADR. Le chapitre 5.3, qui porte sur les prescriptions relatives au placardage et au marquage des citernes, des conteneurs et des véhicules, donne des détails précis sur la </w:t>
      </w:r>
      <w:r w:rsidR="001562FA" w:rsidRPr="005360E7">
        <w:rPr>
          <w:lang w:val="fr-CH"/>
        </w:rPr>
        <w:t>« </w:t>
      </w:r>
      <w:r w:rsidRPr="005360E7">
        <w:rPr>
          <w:i/>
          <w:lang w:val="fr-CH"/>
        </w:rPr>
        <w:t>signalisation orange</w:t>
      </w:r>
      <w:r w:rsidR="001562FA" w:rsidRPr="005360E7">
        <w:rPr>
          <w:lang w:val="fr-CH"/>
        </w:rPr>
        <w:t> »</w:t>
      </w:r>
      <w:r w:rsidRPr="005360E7">
        <w:rPr>
          <w:lang w:val="fr-CH"/>
        </w:rPr>
        <w:t xml:space="preserve">, sur la </w:t>
      </w:r>
      <w:r w:rsidR="001562FA" w:rsidRPr="005360E7">
        <w:rPr>
          <w:lang w:val="fr-CH"/>
        </w:rPr>
        <w:t>« </w:t>
      </w:r>
      <w:r w:rsidR="001562FA" w:rsidRPr="005360E7">
        <w:rPr>
          <w:i/>
          <w:lang w:val="fr-CH"/>
        </w:rPr>
        <w:t xml:space="preserve">marque </w:t>
      </w:r>
      <w:r w:rsidRPr="005360E7">
        <w:rPr>
          <w:i/>
          <w:lang w:val="fr-CH"/>
        </w:rPr>
        <w:t>pour les matières transportées à chaud</w:t>
      </w:r>
      <w:r w:rsidR="001562FA" w:rsidRPr="005360E7">
        <w:rPr>
          <w:lang w:val="fr-CH"/>
        </w:rPr>
        <w:t> »</w:t>
      </w:r>
      <w:r w:rsidRPr="005360E7">
        <w:rPr>
          <w:lang w:val="fr-CH"/>
        </w:rPr>
        <w:t xml:space="preserve"> et sur la marque </w:t>
      </w:r>
      <w:r w:rsidR="001562FA" w:rsidRPr="005360E7">
        <w:rPr>
          <w:lang w:val="fr-CH"/>
        </w:rPr>
        <w:t>« </w:t>
      </w:r>
      <w:r w:rsidRPr="005360E7">
        <w:rPr>
          <w:i/>
          <w:lang w:val="fr-CH"/>
        </w:rPr>
        <w:t>matière dangereuse pour l’environnement</w:t>
      </w:r>
      <w:r w:rsidR="001562FA" w:rsidRPr="005360E7">
        <w:rPr>
          <w:lang w:val="fr-CH"/>
        </w:rPr>
        <w:t> »</w:t>
      </w:r>
      <w:r w:rsidRPr="005360E7">
        <w:rPr>
          <w:lang w:val="fr-CH"/>
        </w:rPr>
        <w:t xml:space="preserve">. </w:t>
      </w:r>
    </w:p>
    <w:p w:rsidR="00E804CC" w:rsidRPr="005360E7" w:rsidRDefault="00E804CC" w:rsidP="001562FA">
      <w:pPr>
        <w:pStyle w:val="SingleTxt"/>
        <w:numPr>
          <w:ilvl w:val="0"/>
          <w:numId w:val="7"/>
        </w:numPr>
        <w:tabs>
          <w:tab w:val="clear" w:pos="475"/>
          <w:tab w:val="num" w:pos="1742"/>
        </w:tabs>
        <w:ind w:left="1267"/>
        <w:rPr>
          <w:lang w:val="fr-CH"/>
        </w:rPr>
      </w:pPr>
      <w:r w:rsidRPr="005360E7">
        <w:rPr>
          <w:lang w:val="fr-CH"/>
        </w:rPr>
        <w:t xml:space="preserve">La référence aux prescriptions du </w:t>
      </w:r>
      <w:r w:rsidR="001562FA" w:rsidRPr="005360E7">
        <w:rPr>
          <w:lang w:val="fr-CH"/>
        </w:rPr>
        <w:t>chapitre </w:t>
      </w:r>
      <w:r w:rsidRPr="005360E7">
        <w:rPr>
          <w:lang w:val="fr-CH"/>
        </w:rPr>
        <w:t xml:space="preserve">5.3 à la fin de la sous-section </w:t>
      </w:r>
      <w:r w:rsidR="001562FA" w:rsidRPr="005360E7">
        <w:rPr>
          <w:lang w:val="fr-CH"/>
        </w:rPr>
        <w:t>1.4.2.2.1 </w:t>
      </w:r>
      <w:r w:rsidRPr="005360E7">
        <w:rPr>
          <w:lang w:val="fr-CH"/>
        </w:rPr>
        <w:t>f) de l’ADR permettra de préciser clairement où sont énoncées les responsabilités du transporteur en l’espèce. Cela permettra aussi d’assurer la cohérence avec les sous-sections 1.4.3.1.1</w:t>
      </w:r>
      <w:r w:rsidR="001562FA" w:rsidRPr="005360E7">
        <w:rPr>
          <w:lang w:val="fr-CH"/>
        </w:rPr>
        <w:t> </w:t>
      </w:r>
      <w:r w:rsidRPr="005360E7">
        <w:rPr>
          <w:lang w:val="fr-CH"/>
        </w:rPr>
        <w:t xml:space="preserve">d) et </w:t>
      </w:r>
      <w:r w:rsidR="001562FA" w:rsidRPr="005360E7">
        <w:rPr>
          <w:lang w:val="fr-CH"/>
        </w:rPr>
        <w:t>1.4.3.7.1 </w:t>
      </w:r>
      <w:r w:rsidRPr="005360E7">
        <w:rPr>
          <w:lang w:val="fr-CH"/>
        </w:rPr>
        <w:t xml:space="preserve">f) de l’ADR. Les modifications proposées aux sous-sections </w:t>
      </w:r>
      <w:r w:rsidR="001562FA" w:rsidRPr="005360E7">
        <w:rPr>
          <w:lang w:val="fr-CH"/>
        </w:rPr>
        <w:t>1.4.2.1.1 </w:t>
      </w:r>
      <w:r w:rsidRPr="005360E7">
        <w:rPr>
          <w:lang w:val="fr-CH"/>
        </w:rPr>
        <w:t xml:space="preserve">e) et </w:t>
      </w:r>
      <w:r w:rsidR="001562FA" w:rsidRPr="005360E7">
        <w:rPr>
          <w:lang w:val="fr-CH"/>
        </w:rPr>
        <w:t>1.4.3.3 </w:t>
      </w:r>
      <w:r w:rsidRPr="005360E7">
        <w:rPr>
          <w:lang w:val="fr-CH"/>
        </w:rPr>
        <w:t>h) de l’ADR vo</w:t>
      </w:r>
      <w:r w:rsidR="001562FA" w:rsidRPr="005360E7">
        <w:rPr>
          <w:lang w:val="fr-CH"/>
        </w:rPr>
        <w:t>nt également rendre le chapitre </w:t>
      </w:r>
      <w:r w:rsidRPr="005360E7">
        <w:rPr>
          <w:lang w:val="fr-CH"/>
        </w:rPr>
        <w:t>1.4 plus clair en ce qui concerne les prescriptions relatives au placardage et au marquage.</w:t>
      </w:r>
    </w:p>
    <w:p w:rsidR="00E804CC" w:rsidRPr="005360E7" w:rsidRDefault="00E804CC" w:rsidP="001562FA">
      <w:pPr>
        <w:pStyle w:val="SingleTxt"/>
        <w:numPr>
          <w:ilvl w:val="0"/>
          <w:numId w:val="7"/>
        </w:numPr>
        <w:tabs>
          <w:tab w:val="clear" w:pos="475"/>
          <w:tab w:val="num" w:pos="1742"/>
        </w:tabs>
        <w:ind w:left="1267"/>
        <w:rPr>
          <w:lang w:val="fr-CH"/>
        </w:rPr>
      </w:pPr>
      <w:r w:rsidRPr="005360E7">
        <w:rPr>
          <w:lang w:val="fr-CH"/>
        </w:rPr>
        <w:t>La reproduction dans le RID des modifications introduites dans l’ADR va permettre une lecture croisée des deux textes et donc clarifie</w:t>
      </w:r>
      <w:r w:rsidR="001562FA" w:rsidRPr="005360E7">
        <w:rPr>
          <w:lang w:val="fr-CH"/>
        </w:rPr>
        <w:t>r les prescriptions du chapitre </w:t>
      </w:r>
      <w:r w:rsidRPr="005360E7">
        <w:rPr>
          <w:lang w:val="fr-CH"/>
        </w:rPr>
        <w:t xml:space="preserve">1.4. Les modifications proposées maintiendront aussi les différences modales nécessaires. </w:t>
      </w:r>
    </w:p>
    <w:p w:rsidR="00A9750A" w:rsidRPr="005360E7" w:rsidRDefault="00E804CC" w:rsidP="001562FA">
      <w:pPr>
        <w:pStyle w:val="SingleTxt"/>
        <w:numPr>
          <w:ilvl w:val="0"/>
          <w:numId w:val="7"/>
        </w:numPr>
        <w:tabs>
          <w:tab w:val="clear" w:pos="475"/>
          <w:tab w:val="num" w:pos="1742"/>
        </w:tabs>
        <w:ind w:left="1267"/>
        <w:rPr>
          <w:lang w:val="fr-CH"/>
        </w:rPr>
      </w:pPr>
      <w:r w:rsidRPr="005360E7">
        <w:rPr>
          <w:lang w:val="fr-CH"/>
        </w:rPr>
        <w:t>Les modifications proposées faciliteront l’applicabilité du RID et de l’ADR en clarifiant les obligations en matière de placardage et de marquage des conteneurs, wagons, véhicules et citernes là où les prescriptions se trouvent.</w:t>
      </w:r>
    </w:p>
    <w:p w:rsidR="001562FA" w:rsidRPr="005360E7" w:rsidRDefault="00556F91" w:rsidP="001562FA">
      <w:pPr>
        <w:pStyle w:val="SingleTxt"/>
        <w:spacing w:after="0" w:line="240" w:lineRule="auto"/>
        <w:rPr>
          <w:lang w:val="fr-CH"/>
        </w:rPr>
      </w:pPr>
      <w:r w:rsidRPr="00556F91">
        <w:rPr>
          <w:noProof/>
          <w:w w:val="100"/>
          <w:lang w:val="en-GB" w:eastAsia="en-GB"/>
        </w:rPr>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1562FA" w:rsidRPr="005360E7" w:rsidSect="00A9750A">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49" w:rsidRDefault="00576749" w:rsidP="00F3330B">
      <w:pPr>
        <w:spacing w:line="240" w:lineRule="auto"/>
      </w:pPr>
      <w:r>
        <w:separator/>
      </w:r>
    </w:p>
  </w:endnote>
  <w:endnote w:type="continuationSeparator" w:id="0">
    <w:p w:rsidR="00576749" w:rsidRDefault="00576749"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A9750A" w:rsidTr="00A9750A">
      <w:trPr>
        <w:jc w:val="center"/>
      </w:trPr>
      <w:tc>
        <w:tcPr>
          <w:tcW w:w="5126" w:type="dxa"/>
          <w:shd w:val="clear" w:color="auto" w:fill="auto"/>
        </w:tcPr>
        <w:p w:rsidR="00A9750A" w:rsidRPr="00A9750A" w:rsidRDefault="00556F91" w:rsidP="00A9750A">
          <w:pPr>
            <w:pStyle w:val="Pieddepage"/>
            <w:jc w:val="right"/>
            <w:rPr>
              <w:b w:val="0"/>
              <w:w w:val="103"/>
              <w:sz w:val="14"/>
            </w:rPr>
          </w:pPr>
          <w:fldSimple w:instr=" DOCVARIABLE &quot;FooterJN&quot; \* MERGEFORMAT ">
            <w:r w:rsidR="00FE2A0F">
              <w:rPr>
                <w:b w:val="0"/>
                <w:w w:val="103"/>
                <w:sz w:val="14"/>
              </w:rPr>
              <w:t>GE.15-10381</w:t>
            </w:r>
          </w:fldSimple>
        </w:p>
      </w:tc>
      <w:tc>
        <w:tcPr>
          <w:tcW w:w="5127" w:type="dxa"/>
          <w:shd w:val="clear" w:color="auto" w:fill="auto"/>
        </w:tcPr>
        <w:p w:rsidR="00A9750A" w:rsidRPr="00A9750A" w:rsidRDefault="00556F91" w:rsidP="00A9750A">
          <w:pPr>
            <w:pStyle w:val="Pieddepage"/>
            <w:rPr>
              <w:w w:val="103"/>
            </w:rPr>
          </w:pPr>
          <w:r>
            <w:rPr>
              <w:w w:val="103"/>
            </w:rPr>
            <w:fldChar w:fldCharType="begin"/>
          </w:r>
          <w:r w:rsidR="00A9750A">
            <w:rPr>
              <w:w w:val="103"/>
            </w:rPr>
            <w:instrText xml:space="preserve"> PAGE  \* Arabic  \* MERGEFORMAT </w:instrText>
          </w:r>
          <w:r>
            <w:rPr>
              <w:w w:val="103"/>
            </w:rPr>
            <w:fldChar w:fldCharType="separate"/>
          </w:r>
          <w:r w:rsidR="001340E6">
            <w:rPr>
              <w:noProof/>
              <w:w w:val="103"/>
            </w:rPr>
            <w:t>4</w:t>
          </w:r>
          <w:r>
            <w:rPr>
              <w:w w:val="103"/>
            </w:rPr>
            <w:fldChar w:fldCharType="end"/>
          </w:r>
          <w:r w:rsidR="00A9750A">
            <w:rPr>
              <w:w w:val="103"/>
            </w:rPr>
            <w:t>/</w:t>
          </w:r>
          <w:fldSimple w:instr=" NUMPAGES  \* Arabic  \* MERGEFORMAT ">
            <w:r w:rsidR="001340E6">
              <w:rPr>
                <w:noProof/>
                <w:w w:val="103"/>
              </w:rPr>
              <w:t>4</w:t>
            </w:r>
          </w:fldSimple>
        </w:p>
      </w:tc>
    </w:tr>
  </w:tbl>
  <w:p w:rsidR="00A9750A" w:rsidRPr="00A9750A" w:rsidRDefault="00A9750A" w:rsidP="00A975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A9750A" w:rsidTr="00A9750A">
      <w:trPr>
        <w:jc w:val="center"/>
      </w:trPr>
      <w:tc>
        <w:tcPr>
          <w:tcW w:w="5126" w:type="dxa"/>
          <w:shd w:val="clear" w:color="auto" w:fill="auto"/>
        </w:tcPr>
        <w:p w:rsidR="00A9750A" w:rsidRPr="00A9750A" w:rsidRDefault="00556F91" w:rsidP="00A9750A">
          <w:pPr>
            <w:pStyle w:val="Pieddepage"/>
            <w:jc w:val="right"/>
            <w:rPr>
              <w:w w:val="103"/>
            </w:rPr>
          </w:pPr>
          <w:r>
            <w:rPr>
              <w:w w:val="103"/>
            </w:rPr>
            <w:fldChar w:fldCharType="begin"/>
          </w:r>
          <w:r w:rsidR="00A9750A">
            <w:rPr>
              <w:w w:val="103"/>
            </w:rPr>
            <w:instrText xml:space="preserve"> PAGE  \* Arabic  \* MERGEFORMAT </w:instrText>
          </w:r>
          <w:r>
            <w:rPr>
              <w:w w:val="103"/>
            </w:rPr>
            <w:fldChar w:fldCharType="separate"/>
          </w:r>
          <w:r w:rsidR="001340E6">
            <w:rPr>
              <w:noProof/>
              <w:w w:val="103"/>
            </w:rPr>
            <w:t>3</w:t>
          </w:r>
          <w:r>
            <w:rPr>
              <w:w w:val="103"/>
            </w:rPr>
            <w:fldChar w:fldCharType="end"/>
          </w:r>
          <w:r w:rsidR="00A9750A">
            <w:rPr>
              <w:w w:val="103"/>
            </w:rPr>
            <w:t>/</w:t>
          </w:r>
          <w:fldSimple w:instr=" NUMPAGES  \* Arabic  \* MERGEFORMAT ">
            <w:r w:rsidR="001340E6">
              <w:rPr>
                <w:noProof/>
                <w:w w:val="103"/>
              </w:rPr>
              <w:t>3</w:t>
            </w:r>
          </w:fldSimple>
        </w:p>
      </w:tc>
      <w:tc>
        <w:tcPr>
          <w:tcW w:w="5127" w:type="dxa"/>
          <w:shd w:val="clear" w:color="auto" w:fill="auto"/>
        </w:tcPr>
        <w:p w:rsidR="00A9750A" w:rsidRPr="00A9750A" w:rsidRDefault="00556F91" w:rsidP="00A9750A">
          <w:pPr>
            <w:pStyle w:val="Pieddepage"/>
            <w:rPr>
              <w:b w:val="0"/>
              <w:w w:val="103"/>
              <w:sz w:val="14"/>
            </w:rPr>
          </w:pPr>
          <w:fldSimple w:instr=" DOCVARIABLE &quot;FooterJN&quot; \* MERGEFORMAT ">
            <w:r w:rsidR="00FE2A0F">
              <w:rPr>
                <w:b w:val="0"/>
                <w:w w:val="103"/>
                <w:sz w:val="14"/>
              </w:rPr>
              <w:t>GE.15-10381</w:t>
            </w:r>
          </w:fldSimple>
        </w:p>
      </w:tc>
    </w:tr>
  </w:tbl>
  <w:p w:rsidR="00A9750A" w:rsidRPr="00A9750A" w:rsidRDefault="00A9750A" w:rsidP="00A9750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0A" w:rsidRDefault="00A9750A">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2&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A9750A" w:rsidTr="00A9750A">
      <w:tc>
        <w:tcPr>
          <w:tcW w:w="3859" w:type="dxa"/>
        </w:tcPr>
        <w:p w:rsidR="00A9750A" w:rsidRDefault="00556F91" w:rsidP="00A9750A">
          <w:pPr>
            <w:pStyle w:val="Pieddepage"/>
            <w:rPr>
              <w:b w:val="0"/>
              <w:sz w:val="20"/>
            </w:rPr>
          </w:pPr>
          <w:fldSimple w:instr=" DOCVARIABLE &quot;jobn&quot; \* MERGEFORMAT ">
            <w:r w:rsidR="00FE2A0F">
              <w:rPr>
                <w:b w:val="0"/>
                <w:sz w:val="20"/>
              </w:rPr>
              <w:t>GE.15-10381 (F)</w:t>
            </w:r>
          </w:fldSimple>
          <w:r w:rsidR="00A9750A">
            <w:rPr>
              <w:b w:val="0"/>
              <w:sz w:val="20"/>
            </w:rPr>
            <w:t xml:space="preserve">    300715    </w:t>
          </w:r>
          <w:r w:rsidR="00E804CC">
            <w:rPr>
              <w:b w:val="0"/>
              <w:sz w:val="20"/>
            </w:rPr>
            <w:t>0308</w:t>
          </w:r>
          <w:r w:rsidR="00A9750A">
            <w:rPr>
              <w:b w:val="0"/>
              <w:sz w:val="20"/>
            </w:rPr>
            <w:t>15</w:t>
          </w:r>
        </w:p>
        <w:p w:rsidR="00A9750A" w:rsidRPr="00A9750A" w:rsidRDefault="00556F91" w:rsidP="00A9750A">
          <w:pPr>
            <w:pStyle w:val="Pieddepage"/>
            <w:spacing w:before="120" w:line="200" w:lineRule="exact"/>
            <w:rPr>
              <w:rFonts w:ascii="Barcode 3 of 9 by request" w:hAnsi="Barcode 3 of 9 by request"/>
              <w:b w:val="0"/>
              <w:spacing w:val="0"/>
              <w:w w:val="100"/>
              <w:sz w:val="24"/>
            </w:rPr>
          </w:pPr>
          <w:fldSimple w:instr=" DOCVARIABLE &quot;Barcode&quot; \* MERGEFORMAT ">
            <w:r w:rsidR="00FE2A0F">
              <w:rPr>
                <w:rFonts w:ascii="Barcode 3 of 9 by request" w:hAnsi="Barcode 3 of 9 by request"/>
                <w:b w:val="0"/>
                <w:spacing w:val="0"/>
                <w:w w:val="100"/>
                <w:sz w:val="24"/>
              </w:rPr>
              <w:t>*1510381*</w:t>
            </w:r>
          </w:fldSimple>
        </w:p>
      </w:tc>
      <w:tc>
        <w:tcPr>
          <w:tcW w:w="5127" w:type="dxa"/>
        </w:tcPr>
        <w:p w:rsidR="00A9750A" w:rsidRDefault="00A9750A" w:rsidP="00A9750A">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9750A" w:rsidRPr="00A9750A" w:rsidRDefault="00A9750A" w:rsidP="00A9750A">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49" w:rsidRPr="00E804CC" w:rsidRDefault="00E804CC" w:rsidP="00E804CC">
      <w:pPr>
        <w:pStyle w:val="Pieddepage"/>
        <w:spacing w:after="80"/>
        <w:ind w:left="792"/>
        <w:rPr>
          <w:sz w:val="16"/>
        </w:rPr>
      </w:pPr>
      <w:r w:rsidRPr="00E804CC">
        <w:rPr>
          <w:sz w:val="16"/>
        </w:rPr>
        <w:t>__________________</w:t>
      </w:r>
    </w:p>
  </w:footnote>
  <w:footnote w:type="continuationSeparator" w:id="0">
    <w:p w:rsidR="00576749" w:rsidRPr="00E804CC" w:rsidRDefault="00E804CC" w:rsidP="00E804CC">
      <w:pPr>
        <w:pStyle w:val="Pieddepage"/>
        <w:spacing w:after="80"/>
        <w:ind w:left="792"/>
        <w:rPr>
          <w:sz w:val="16"/>
        </w:rPr>
      </w:pPr>
      <w:r w:rsidRPr="00E804CC">
        <w:rPr>
          <w:sz w:val="16"/>
        </w:rPr>
        <w:t>__________________</w:t>
      </w:r>
    </w:p>
  </w:footnote>
  <w:footnote w:id="1">
    <w:p w:rsidR="00E804CC" w:rsidRPr="00E804CC" w:rsidRDefault="00E804CC" w:rsidP="00E804CC">
      <w:pPr>
        <w:pStyle w:val="Notedebasdepage"/>
        <w:widowControl w:val="0"/>
        <w:tabs>
          <w:tab w:val="right" w:pos="1195"/>
          <w:tab w:val="left" w:pos="1267"/>
          <w:tab w:val="left" w:pos="1742"/>
          <w:tab w:val="left" w:pos="2218"/>
          <w:tab w:val="left" w:pos="2693"/>
        </w:tabs>
        <w:ind w:left="1267" w:right="1260" w:hanging="432"/>
        <w:rPr>
          <w:lang w:val="fr-CH"/>
        </w:rPr>
      </w:pPr>
      <w:r w:rsidRPr="00E804CC">
        <w:rPr>
          <w:lang w:val="fr-CH"/>
        </w:rPr>
        <w:tab/>
      </w:r>
      <w:r w:rsidRPr="00E804CC">
        <w:rPr>
          <w:rStyle w:val="Appelnotedebasdep"/>
          <w:color w:val="auto"/>
          <w:lang w:val="fr-CH"/>
        </w:rPr>
        <w:footnoteRef/>
      </w:r>
      <w:r w:rsidRPr="00E804CC">
        <w:rPr>
          <w:lang w:val="fr-CH"/>
        </w:rPr>
        <w:tab/>
        <w:t>Conformément au programme de travail du Comité des t</w:t>
      </w:r>
      <w:r w:rsidR="005709B6">
        <w:rPr>
          <w:lang w:val="fr-CH"/>
        </w:rPr>
        <w:t xml:space="preserve">ransports intérieurs pour </w:t>
      </w:r>
      <w:r w:rsidRPr="00E804CC">
        <w:rPr>
          <w:lang w:val="fr-CH"/>
        </w:rPr>
        <w:t xml:space="preserve">2014-2015 (ECE/TRANS/240, par. 100, </w:t>
      </w:r>
      <w:r w:rsidR="00DD02A3">
        <w:rPr>
          <w:lang w:val="fr-CH"/>
        </w:rPr>
        <w:t xml:space="preserve">et </w:t>
      </w:r>
      <w:r w:rsidRPr="00E804CC">
        <w:rPr>
          <w:lang w:val="fr-CH"/>
        </w:rPr>
        <w:t>ECE/TRANS/2014/23, module 9, par. 9.2).</w:t>
      </w:r>
    </w:p>
  </w:footnote>
  <w:footnote w:id="2">
    <w:p w:rsidR="00E804CC" w:rsidRPr="00E804CC" w:rsidRDefault="00E804CC" w:rsidP="00E804CC">
      <w:pPr>
        <w:pStyle w:val="Notedebasdepage"/>
        <w:widowControl w:val="0"/>
        <w:tabs>
          <w:tab w:val="right" w:pos="1195"/>
          <w:tab w:val="left" w:pos="1267"/>
          <w:tab w:val="left" w:pos="1742"/>
          <w:tab w:val="left" w:pos="2218"/>
          <w:tab w:val="left" w:pos="2693"/>
        </w:tabs>
        <w:ind w:left="1267" w:right="1260" w:hanging="432"/>
        <w:rPr>
          <w:lang w:val="fr-CH"/>
        </w:rPr>
      </w:pPr>
      <w:r w:rsidRPr="00E804CC">
        <w:rPr>
          <w:lang w:val="fr-CH"/>
        </w:rPr>
        <w:tab/>
      </w:r>
      <w:r w:rsidRPr="00E804CC">
        <w:rPr>
          <w:rStyle w:val="Appelnotedebasdep"/>
          <w:color w:val="auto"/>
          <w:lang w:val="fr-CH"/>
        </w:rPr>
        <w:footnoteRef/>
      </w:r>
      <w:r w:rsidRPr="00E804CC">
        <w:rPr>
          <w:lang w:val="fr-CH"/>
        </w:rPr>
        <w:tab/>
        <w:t>Diffusée par l’Organisation intergouvernementale pour les transports internationaux ferroviaires (OTIF) sous la cote OTIF/RID/RC/2015/32.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A9750A" w:rsidTr="00A9750A">
      <w:trPr>
        <w:trHeight w:hRule="exact" w:val="864"/>
        <w:jc w:val="center"/>
      </w:trPr>
      <w:tc>
        <w:tcPr>
          <w:tcW w:w="4882" w:type="dxa"/>
          <w:shd w:val="clear" w:color="auto" w:fill="auto"/>
          <w:vAlign w:val="bottom"/>
        </w:tcPr>
        <w:p w:rsidR="00A9750A" w:rsidRPr="00A9750A" w:rsidRDefault="00556F91" w:rsidP="00A9750A">
          <w:pPr>
            <w:pStyle w:val="En-tte"/>
            <w:spacing w:after="80"/>
            <w:rPr>
              <w:b/>
              <w:color w:val="000000"/>
            </w:rPr>
          </w:pPr>
          <w:fldSimple w:instr=" DOCVARIABLE &quot;sss1&quot; \* MERGEFORMAT ">
            <w:r w:rsidR="00FE2A0F">
              <w:rPr>
                <w:b/>
                <w:color w:val="000000"/>
              </w:rPr>
              <w:t>ECE/TRANS/WP.15/AC.1/2015/32</w:t>
            </w:r>
          </w:fldSimple>
        </w:p>
      </w:tc>
      <w:tc>
        <w:tcPr>
          <w:tcW w:w="5127" w:type="dxa"/>
          <w:shd w:val="clear" w:color="auto" w:fill="auto"/>
          <w:vAlign w:val="bottom"/>
        </w:tcPr>
        <w:p w:rsidR="00A9750A" w:rsidRDefault="00A9750A" w:rsidP="00A9750A">
          <w:pPr>
            <w:pStyle w:val="En-tte"/>
          </w:pPr>
        </w:p>
      </w:tc>
    </w:tr>
  </w:tbl>
  <w:p w:rsidR="00A9750A" w:rsidRPr="00A9750A" w:rsidRDefault="00A9750A" w:rsidP="00A9750A">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A9750A" w:rsidTr="00A9750A">
      <w:trPr>
        <w:trHeight w:hRule="exact" w:val="864"/>
        <w:jc w:val="center"/>
      </w:trPr>
      <w:tc>
        <w:tcPr>
          <w:tcW w:w="4882" w:type="dxa"/>
          <w:shd w:val="clear" w:color="auto" w:fill="auto"/>
          <w:vAlign w:val="bottom"/>
        </w:tcPr>
        <w:p w:rsidR="00A9750A" w:rsidRDefault="00A9750A" w:rsidP="00A9750A">
          <w:pPr>
            <w:pStyle w:val="En-tte"/>
          </w:pPr>
        </w:p>
      </w:tc>
      <w:tc>
        <w:tcPr>
          <w:tcW w:w="5127" w:type="dxa"/>
          <w:shd w:val="clear" w:color="auto" w:fill="auto"/>
          <w:vAlign w:val="bottom"/>
        </w:tcPr>
        <w:p w:rsidR="00A9750A" w:rsidRPr="00A9750A" w:rsidRDefault="00556F91" w:rsidP="00A9750A">
          <w:pPr>
            <w:pStyle w:val="En-tte"/>
            <w:spacing w:after="80"/>
            <w:jc w:val="right"/>
            <w:rPr>
              <w:b/>
              <w:color w:val="000000"/>
            </w:rPr>
          </w:pPr>
          <w:fldSimple w:instr=" DOCVARIABLE &quot;sss1&quot; \* MERGEFORMAT ">
            <w:r w:rsidR="00FE2A0F">
              <w:rPr>
                <w:b/>
                <w:color w:val="000000"/>
              </w:rPr>
              <w:t>ECE/TRANS/WP.15/AC.1/2015/32</w:t>
            </w:r>
          </w:fldSimple>
        </w:p>
      </w:tc>
    </w:tr>
  </w:tbl>
  <w:p w:rsidR="00A9750A" w:rsidRPr="00A9750A" w:rsidRDefault="00A9750A" w:rsidP="00A9750A">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A9750A" w:rsidTr="00A9750A">
      <w:trPr>
        <w:trHeight w:hRule="exact" w:val="864"/>
      </w:trPr>
      <w:tc>
        <w:tcPr>
          <w:tcW w:w="1267" w:type="dxa"/>
          <w:tcBorders>
            <w:bottom w:val="single" w:sz="4" w:space="0" w:color="auto"/>
          </w:tcBorders>
          <w:shd w:val="clear" w:color="auto" w:fill="auto"/>
          <w:vAlign w:val="bottom"/>
        </w:tcPr>
        <w:p w:rsidR="00A9750A" w:rsidRDefault="00A9750A" w:rsidP="00A9750A">
          <w:pPr>
            <w:pStyle w:val="En-tte"/>
            <w:spacing w:after="120"/>
          </w:pPr>
        </w:p>
      </w:tc>
      <w:tc>
        <w:tcPr>
          <w:tcW w:w="2059" w:type="dxa"/>
          <w:tcBorders>
            <w:bottom w:val="single" w:sz="4" w:space="0" w:color="auto"/>
          </w:tcBorders>
          <w:shd w:val="clear" w:color="auto" w:fill="auto"/>
          <w:vAlign w:val="bottom"/>
        </w:tcPr>
        <w:p w:rsidR="00A9750A" w:rsidRPr="00A9750A" w:rsidRDefault="00A9750A" w:rsidP="00A9750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9750A" w:rsidRDefault="00A9750A" w:rsidP="00A9750A">
          <w:pPr>
            <w:pStyle w:val="En-tte"/>
            <w:spacing w:after="120"/>
          </w:pPr>
        </w:p>
      </w:tc>
      <w:tc>
        <w:tcPr>
          <w:tcW w:w="6653" w:type="dxa"/>
          <w:gridSpan w:val="4"/>
          <w:tcBorders>
            <w:bottom w:val="single" w:sz="4" w:space="0" w:color="auto"/>
          </w:tcBorders>
          <w:shd w:val="clear" w:color="auto" w:fill="auto"/>
          <w:vAlign w:val="bottom"/>
        </w:tcPr>
        <w:p w:rsidR="00A9750A" w:rsidRPr="00A9750A" w:rsidRDefault="00A9750A" w:rsidP="00A9750A">
          <w:pPr>
            <w:spacing w:after="80" w:line="240" w:lineRule="auto"/>
            <w:jc w:val="right"/>
            <w:rPr>
              <w:position w:val="-4"/>
            </w:rPr>
          </w:pPr>
          <w:r>
            <w:rPr>
              <w:position w:val="-4"/>
              <w:sz w:val="40"/>
            </w:rPr>
            <w:t>ECE</w:t>
          </w:r>
          <w:r>
            <w:rPr>
              <w:position w:val="-4"/>
            </w:rPr>
            <w:t>/TRANS/WP.15/AC.1/2015/32</w:t>
          </w:r>
        </w:p>
      </w:tc>
    </w:tr>
    <w:tr w:rsidR="00A9750A" w:rsidRPr="00A9750A" w:rsidTr="00A9750A">
      <w:trPr>
        <w:gridAfter w:val="1"/>
        <w:wAfter w:w="18" w:type="dxa"/>
        <w:trHeight w:hRule="exact" w:val="2880"/>
      </w:trPr>
      <w:tc>
        <w:tcPr>
          <w:tcW w:w="1267" w:type="dxa"/>
          <w:tcBorders>
            <w:top w:val="single" w:sz="4" w:space="0" w:color="auto"/>
            <w:bottom w:val="single" w:sz="12" w:space="0" w:color="auto"/>
          </w:tcBorders>
          <w:shd w:val="clear" w:color="auto" w:fill="auto"/>
        </w:tcPr>
        <w:p w:rsidR="00A9750A" w:rsidRPr="00A9750A" w:rsidRDefault="00A9750A" w:rsidP="00A9750A">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9750A" w:rsidRPr="00A9750A" w:rsidRDefault="00A9750A" w:rsidP="00A9750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9750A" w:rsidRPr="00A9750A" w:rsidRDefault="00A9750A" w:rsidP="00A9750A">
          <w:pPr>
            <w:pStyle w:val="En-tte"/>
            <w:spacing w:before="109"/>
          </w:pPr>
        </w:p>
      </w:tc>
      <w:tc>
        <w:tcPr>
          <w:tcW w:w="3280" w:type="dxa"/>
          <w:tcBorders>
            <w:top w:val="single" w:sz="4" w:space="0" w:color="auto"/>
            <w:bottom w:val="single" w:sz="12" w:space="0" w:color="auto"/>
          </w:tcBorders>
          <w:shd w:val="clear" w:color="auto" w:fill="auto"/>
        </w:tcPr>
        <w:p w:rsidR="00A9750A" w:rsidRPr="00FE2A0F" w:rsidRDefault="00A9750A" w:rsidP="00A9750A">
          <w:pPr>
            <w:pStyle w:val="Distribution"/>
            <w:rPr>
              <w:color w:val="000000"/>
              <w:lang w:val="fr-CH"/>
            </w:rPr>
          </w:pPr>
          <w:proofErr w:type="spellStart"/>
          <w:r w:rsidRPr="00FE2A0F">
            <w:rPr>
              <w:color w:val="000000"/>
              <w:lang w:val="fr-CH"/>
            </w:rPr>
            <w:t>Distr</w:t>
          </w:r>
          <w:proofErr w:type="spellEnd"/>
          <w:r w:rsidRPr="00FE2A0F">
            <w:rPr>
              <w:color w:val="000000"/>
              <w:lang w:val="fr-CH"/>
            </w:rPr>
            <w:t>. générale</w:t>
          </w:r>
        </w:p>
        <w:p w:rsidR="00A9750A" w:rsidRPr="005360E7" w:rsidRDefault="00A9750A" w:rsidP="00A9750A">
          <w:pPr>
            <w:pStyle w:val="Publication"/>
            <w:rPr>
              <w:color w:val="000000"/>
              <w:lang w:val="fr-CH"/>
            </w:rPr>
          </w:pPr>
          <w:r w:rsidRPr="00FE2A0F">
            <w:rPr>
              <w:color w:val="000000"/>
              <w:lang w:val="fr-CH"/>
            </w:rPr>
            <w:t>24</w:t>
          </w:r>
          <w:r w:rsidRPr="005360E7">
            <w:rPr>
              <w:color w:val="000000"/>
              <w:lang w:val="fr-BE"/>
            </w:rPr>
            <w:t xml:space="preserve"> juin</w:t>
          </w:r>
          <w:r w:rsidRPr="00FE2A0F">
            <w:rPr>
              <w:color w:val="000000"/>
              <w:lang w:val="fr-CH"/>
            </w:rPr>
            <w:t xml:space="preserve"> 2015</w:t>
          </w:r>
        </w:p>
        <w:p w:rsidR="00A9750A" w:rsidRPr="00FE2A0F" w:rsidRDefault="00A9750A" w:rsidP="00A9750A">
          <w:pPr>
            <w:rPr>
              <w:lang w:val="fr-CH"/>
            </w:rPr>
          </w:pPr>
          <w:r w:rsidRPr="005360E7">
            <w:rPr>
              <w:lang w:val="fr-CH"/>
            </w:rPr>
            <w:t>Français</w:t>
          </w:r>
        </w:p>
        <w:p w:rsidR="00A9750A" w:rsidRPr="00FE2A0F" w:rsidRDefault="00A9750A" w:rsidP="00A9750A">
          <w:pPr>
            <w:pStyle w:val="Original"/>
            <w:rPr>
              <w:color w:val="000000"/>
              <w:lang w:val="fr-CH"/>
            </w:rPr>
          </w:pPr>
          <w:r w:rsidRPr="00FE2A0F">
            <w:rPr>
              <w:color w:val="000000"/>
              <w:lang w:val="fr-CH"/>
            </w:rPr>
            <w:t>Original : anglais</w:t>
          </w:r>
        </w:p>
      </w:tc>
    </w:tr>
  </w:tbl>
  <w:p w:rsidR="00A9750A" w:rsidRPr="00FE2A0F" w:rsidRDefault="00A9750A" w:rsidP="00A9750A">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271"/>
    <w:multiLevelType w:val="hybridMultilevel"/>
    <w:tmpl w:val="92A2B984"/>
    <w:lvl w:ilvl="0" w:tplc="40EC2AAC">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31E15"/>
    <w:multiLevelType w:val="singleLevel"/>
    <w:tmpl w:val="4F945C22"/>
    <w:lvl w:ilvl="0">
      <w:start w:val="1"/>
      <w:numFmt w:val="decimal"/>
      <w:lvlRestart w:val="0"/>
      <w:lvlText w:val="%1."/>
      <w:lvlJc w:val="left"/>
      <w:pPr>
        <w:tabs>
          <w:tab w:val="num" w:pos="475"/>
        </w:tabs>
        <w:ind w:left="0" w:firstLine="0"/>
      </w:pPr>
      <w:rPr>
        <w:w w:val="100"/>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381*"/>
    <w:docVar w:name="CreationDt" w:val="7/30/2015 4:09: PM"/>
    <w:docVar w:name="DocCategory" w:val="Doc"/>
    <w:docVar w:name="DocType" w:val="Final"/>
    <w:docVar w:name="DutyStation" w:val="Geneva"/>
    <w:docVar w:name="FooterJN" w:val="GE.15-10381"/>
    <w:docVar w:name="jobn" w:val="GE.15-10381 (F)"/>
    <w:docVar w:name="jobnDT" w:val="GE.15-10381 (F)   300715"/>
    <w:docVar w:name="jobnDTDT" w:val="GE.15-10381 (F)   300715   300715"/>
    <w:docVar w:name="JobNo" w:val="GE.1510381F"/>
    <w:docVar w:name="JobNo2" w:val="GE.1513268F"/>
    <w:docVar w:name="LocalDrive" w:val="0"/>
    <w:docVar w:name="OandT" w:val="Nath V."/>
    <w:docVar w:name="PaperSize" w:val="A4"/>
    <w:docVar w:name="sss1" w:val="ECE/TRANS/WP.15/AC.1/2015/32"/>
    <w:docVar w:name="sss2" w:val="-"/>
    <w:docVar w:name="Symbol1" w:val="ECE/TRANS/WP.15/AC.1/2015/32"/>
    <w:docVar w:name="Symbol2" w:val="-"/>
  </w:docVars>
  <w:rsids>
    <w:rsidRoot w:val="00576749"/>
    <w:rsid w:val="000015B8"/>
    <w:rsid w:val="000046A5"/>
    <w:rsid w:val="000055FB"/>
    <w:rsid w:val="000126EB"/>
    <w:rsid w:val="00016483"/>
    <w:rsid w:val="00022173"/>
    <w:rsid w:val="0002226F"/>
    <w:rsid w:val="00022B4A"/>
    <w:rsid w:val="000249FF"/>
    <w:rsid w:val="00025DE5"/>
    <w:rsid w:val="000274C2"/>
    <w:rsid w:val="00033DC9"/>
    <w:rsid w:val="00035E06"/>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4BE"/>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40E6"/>
    <w:rsid w:val="001359FA"/>
    <w:rsid w:val="00140666"/>
    <w:rsid w:val="0014233F"/>
    <w:rsid w:val="00143703"/>
    <w:rsid w:val="00144DE1"/>
    <w:rsid w:val="00145A1F"/>
    <w:rsid w:val="001466A3"/>
    <w:rsid w:val="00147051"/>
    <w:rsid w:val="001471CF"/>
    <w:rsid w:val="00151710"/>
    <w:rsid w:val="00151AC8"/>
    <w:rsid w:val="00155B70"/>
    <w:rsid w:val="001562FA"/>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6B57"/>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3027"/>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60E7"/>
    <w:rsid w:val="005372C0"/>
    <w:rsid w:val="00541630"/>
    <w:rsid w:val="0054168D"/>
    <w:rsid w:val="00542357"/>
    <w:rsid w:val="00551176"/>
    <w:rsid w:val="00551EAE"/>
    <w:rsid w:val="00552150"/>
    <w:rsid w:val="005522D6"/>
    <w:rsid w:val="00556F91"/>
    <w:rsid w:val="005669CA"/>
    <w:rsid w:val="005709B6"/>
    <w:rsid w:val="00575199"/>
    <w:rsid w:val="0057674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18C0"/>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398"/>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323A"/>
    <w:rsid w:val="007E74E9"/>
    <w:rsid w:val="007F0ED6"/>
    <w:rsid w:val="007F37B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4C77"/>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50A"/>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2560"/>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02A3"/>
    <w:rsid w:val="00DD2715"/>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04CC"/>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16A5"/>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2A0F"/>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Marquedecommentaire">
    <w:name w:val="annotation reference"/>
    <w:basedOn w:val="Policepardfaut"/>
    <w:uiPriority w:val="99"/>
    <w:semiHidden/>
    <w:unhideWhenUsed/>
    <w:rsid w:val="00A9750A"/>
    <w:rPr>
      <w:sz w:val="16"/>
      <w:szCs w:val="16"/>
    </w:rPr>
  </w:style>
  <w:style w:type="paragraph" w:styleId="Commentaire">
    <w:name w:val="annotation text"/>
    <w:basedOn w:val="Normal"/>
    <w:link w:val="CommentaireCar"/>
    <w:uiPriority w:val="99"/>
    <w:semiHidden/>
    <w:unhideWhenUsed/>
    <w:rsid w:val="00A9750A"/>
    <w:pPr>
      <w:spacing w:line="240" w:lineRule="auto"/>
    </w:pPr>
    <w:rPr>
      <w:szCs w:val="20"/>
    </w:rPr>
  </w:style>
  <w:style w:type="character" w:customStyle="1" w:styleId="CommentaireCar">
    <w:name w:val="Commentaire Car"/>
    <w:basedOn w:val="Policepardfaut"/>
    <w:link w:val="Commentaire"/>
    <w:uiPriority w:val="99"/>
    <w:semiHidden/>
    <w:rsid w:val="00A9750A"/>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A9750A"/>
    <w:rPr>
      <w:b/>
      <w:bCs/>
    </w:rPr>
  </w:style>
  <w:style w:type="character" w:customStyle="1" w:styleId="ObjetducommentaireCar">
    <w:name w:val="Objet du commentaire Car"/>
    <w:basedOn w:val="CommentaireCar"/>
    <w:link w:val="Objetducommentaire"/>
    <w:uiPriority w:val="99"/>
    <w:semiHidden/>
    <w:rsid w:val="00A9750A"/>
    <w:rPr>
      <w:rFonts w:ascii="Times New Roman" w:hAnsi="Times New Roman"/>
      <w:b/>
      <w:bCs/>
      <w:spacing w:val="4"/>
      <w:w w:val="103"/>
      <w:kern w:val="14"/>
      <w:lang w:val="fr-CA"/>
    </w:rPr>
  </w:style>
  <w:style w:type="paragraph" w:customStyle="1" w:styleId="Bullet1G">
    <w:name w:val="_Bullet 1_G"/>
    <w:basedOn w:val="Normal"/>
    <w:qFormat/>
    <w:rsid w:val="00E804CC"/>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9750A"/>
    <w:rPr>
      <w:sz w:val="16"/>
      <w:szCs w:val="16"/>
    </w:rPr>
  </w:style>
  <w:style w:type="paragraph" w:styleId="CommentText">
    <w:name w:val="annotation text"/>
    <w:basedOn w:val="Normal"/>
    <w:link w:val="CommentTextChar"/>
    <w:uiPriority w:val="99"/>
    <w:semiHidden/>
    <w:unhideWhenUsed/>
    <w:rsid w:val="00A9750A"/>
    <w:pPr>
      <w:spacing w:line="240" w:lineRule="auto"/>
    </w:pPr>
    <w:rPr>
      <w:szCs w:val="20"/>
    </w:rPr>
  </w:style>
  <w:style w:type="character" w:customStyle="1" w:styleId="CommentTextChar">
    <w:name w:val="Comment Text Char"/>
    <w:basedOn w:val="DefaultParagraphFont"/>
    <w:link w:val="CommentText"/>
    <w:uiPriority w:val="99"/>
    <w:semiHidden/>
    <w:rsid w:val="00A9750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9750A"/>
    <w:rPr>
      <w:b/>
      <w:bCs/>
    </w:rPr>
  </w:style>
  <w:style w:type="character" w:customStyle="1" w:styleId="CommentSubjectChar">
    <w:name w:val="Comment Subject Char"/>
    <w:basedOn w:val="CommentTextChar"/>
    <w:link w:val="CommentSubject"/>
    <w:uiPriority w:val="99"/>
    <w:semiHidden/>
    <w:rsid w:val="00A9750A"/>
    <w:rPr>
      <w:rFonts w:ascii="Times New Roman" w:hAnsi="Times New Roman"/>
      <w:b/>
      <w:bCs/>
      <w:spacing w:val="4"/>
      <w:w w:val="103"/>
      <w:kern w:val="14"/>
      <w:lang w:val="fr-CA"/>
    </w:rPr>
  </w:style>
  <w:style w:type="paragraph" w:customStyle="1" w:styleId="Bullet1G">
    <w:name w:val="_Bullet 1_G"/>
    <w:basedOn w:val="Normal"/>
    <w:qFormat/>
    <w:rsid w:val="00E804CC"/>
    <w:pPr>
      <w:numPr>
        <w:numId w:val="5"/>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9130-B02B-4683-9816-A5CB4C1D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Maison</cp:lastModifiedBy>
  <cp:revision>2</cp:revision>
  <cp:lastPrinted>2015-08-03T07:54:00Z</cp:lastPrinted>
  <dcterms:created xsi:type="dcterms:W3CDTF">2015-08-11T08:52:00Z</dcterms:created>
  <dcterms:modified xsi:type="dcterms:W3CDTF">2015-08-11T08:52:00Z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1510381F</vt:lpwstr>
  </property>
  <property fmtid="{D5CDD505-2E9C-101B-9397-08002B2CF9AE}" pid="3" name="ODSRefJobNo">
    <vt:lpwstr>1513268F</vt:lpwstr>
  </property>
  <property fmtid="{D5CDD505-2E9C-101B-9397-08002B2CF9AE}" pid="4" name="Symbol1">
    <vt:lpwstr>ECE/TRANS/WP.15/AC.1/2015/32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juin 2015</vt:lpwstr>
  </property>
  <property fmtid="{D5CDD505-2E9C-101B-9397-08002B2CF9AE}" pid="12" name="Original">
    <vt:lpwstr>anglais</vt:lpwstr>
  </property>
  <property fmtid="{D5CDD505-2E9C-101B-9397-08002B2CF9AE}" pid="13" name="Release Date">
    <vt:lpwstr>300715</vt:lpwstr>
  </property>
</Properties>
</file>