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5" w:rsidRPr="00B66F03" w:rsidRDefault="00D05155" w:rsidP="00D05155">
      <w:pPr>
        <w:spacing w:line="60" w:lineRule="exact"/>
        <w:rPr>
          <w:color w:val="010000"/>
          <w:sz w:val="6"/>
        </w:rPr>
        <w:sectPr w:rsidR="00D05155" w:rsidRPr="00B66F03" w:rsidSect="00D051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66F03" w:rsidRPr="00B66F03" w:rsidRDefault="00B66F03" w:rsidP="00B66F03">
      <w:pPr>
        <w:pStyle w:val="SingleTxt"/>
        <w:ind w:left="0"/>
        <w:rPr>
          <w:b/>
          <w:bCs/>
          <w:sz w:val="28"/>
          <w:szCs w:val="28"/>
        </w:rPr>
      </w:pPr>
      <w:r w:rsidRPr="00B66F03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B66F03" w:rsidRPr="00B66F03" w:rsidRDefault="00B66F03" w:rsidP="00B66F03">
      <w:pPr>
        <w:pStyle w:val="SingleTxt"/>
        <w:ind w:left="0"/>
        <w:rPr>
          <w:sz w:val="28"/>
          <w:szCs w:val="28"/>
        </w:rPr>
      </w:pPr>
      <w:r w:rsidRPr="00B66F03">
        <w:rPr>
          <w:sz w:val="28"/>
          <w:szCs w:val="28"/>
        </w:rPr>
        <w:t>Комитет по внутреннему транспорту</w:t>
      </w:r>
    </w:p>
    <w:p w:rsidR="00B66F03" w:rsidRPr="00B66F03" w:rsidRDefault="00B66F03" w:rsidP="00B66F03">
      <w:pPr>
        <w:pStyle w:val="SingleTxt"/>
        <w:ind w:left="0"/>
        <w:rPr>
          <w:b/>
          <w:bCs/>
          <w:sz w:val="24"/>
          <w:szCs w:val="24"/>
        </w:rPr>
      </w:pPr>
      <w:r w:rsidRPr="00B66F03">
        <w:rPr>
          <w:b/>
          <w:bCs/>
          <w:sz w:val="24"/>
          <w:szCs w:val="24"/>
        </w:rPr>
        <w:t>Рабочая группа по перевозкам опасных грузов</w:t>
      </w:r>
    </w:p>
    <w:p w:rsidR="00B66F03" w:rsidRPr="00B66F03" w:rsidRDefault="00B66F03" w:rsidP="00B66F03">
      <w:pPr>
        <w:pStyle w:val="SingleTxt"/>
        <w:ind w:left="0"/>
        <w:jc w:val="left"/>
        <w:rPr>
          <w:b/>
          <w:bCs/>
        </w:rPr>
      </w:pPr>
      <w:r w:rsidRPr="00B66F03"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 w:rsidRPr="00B66F03">
        <w:rPr>
          <w:b/>
          <w:bCs/>
        </w:rPr>
        <w:t>и Рабочей группы по перевозкам опасных грузов</w:t>
      </w:r>
    </w:p>
    <w:p w:rsidR="00B66F03" w:rsidRPr="00B66F03" w:rsidRDefault="00B66F03" w:rsidP="00B66F03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6F03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6F03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331A1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tab/>
        <w:t xml:space="preserve">Доклад Совместного совещания Комиссии экспертов МПОГ и Рабочей группы по перевозкам опасных грузов </w:t>
      </w:r>
      <w:r>
        <w:br/>
      </w:r>
      <w:r w:rsidRPr="00B66F03">
        <w:t>о работе его осенней сессии 2015 года</w:t>
      </w:r>
      <w:r w:rsidR="00FE71C6" w:rsidRPr="00FE71C6">
        <w:rPr>
          <w:rStyle w:val="FootnoteReference"/>
          <w:b w:val="0"/>
          <w:bCs/>
          <w:sz w:val="20"/>
          <w:szCs w:val="20"/>
        </w:rPr>
        <w:footnoteReference w:id="2"/>
      </w:r>
      <w:r w:rsidRPr="00B66F03">
        <w:t>,</w:t>
      </w:r>
    </w:p>
    <w:p w:rsidR="00B66F03" w:rsidRPr="00B66F03" w:rsidRDefault="00B66F03" w:rsidP="00B66F03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6F03">
      <w:pPr>
        <w:pStyle w:val="SingleTxt"/>
        <w:spacing w:after="0" w:line="120" w:lineRule="exact"/>
        <w:rPr>
          <w:sz w:val="10"/>
        </w:rPr>
      </w:pPr>
    </w:p>
    <w:p w:rsidR="00B66F03" w:rsidRPr="00FE71C6" w:rsidRDefault="00B66F03" w:rsidP="00B66F03">
      <w:pPr>
        <w:pStyle w:val="SingleTxt"/>
      </w:pPr>
      <w:proofErr w:type="gramStart"/>
      <w:r w:rsidRPr="00B66F03">
        <w:t>состоявшейся в Женеве 15–25 сентября 2015 года</w:t>
      </w:r>
      <w:proofErr w:type="gramEnd"/>
    </w:p>
    <w:p w:rsidR="00392545" w:rsidRPr="00FE71C6" w:rsidRDefault="00392545" w:rsidP="00FE71C6">
      <w:pPr>
        <w:pStyle w:val="SingleTxt"/>
        <w:spacing w:after="0" w:line="120" w:lineRule="exact"/>
        <w:rPr>
          <w:sz w:val="10"/>
        </w:rPr>
      </w:pPr>
    </w:p>
    <w:p w:rsidR="00FE71C6" w:rsidRPr="00FE71C6" w:rsidRDefault="00FE71C6" w:rsidP="00FE71C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6F03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B66F03" w:rsidRPr="00B66F03" w:rsidTr="00B66F03">
        <w:tc>
          <w:tcPr>
            <w:tcW w:w="1060" w:type="dxa"/>
            <w:shd w:val="clear" w:color="auto" w:fill="auto"/>
          </w:tcPr>
          <w:p w:rsidR="00B66F03" w:rsidRPr="00B66F03" w:rsidRDefault="00B66F03" w:rsidP="00B66F03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B66F03" w:rsidRPr="00B66F03" w:rsidRDefault="00B66F03" w:rsidP="00B66F03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B66F03" w:rsidRPr="00B66F03" w:rsidRDefault="00B66F03" w:rsidP="00B66F0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B66F03" w:rsidRPr="00B66F03" w:rsidRDefault="00B66F03" w:rsidP="00B66F03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A7EBB">
              <w:t>Участники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1–4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A7EBB">
              <w:t>Утверждение повестки дня (пункт 1 повестки дня)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A7EBB">
              <w:t xml:space="preserve">Согласование с Рекомендациями Организации Объединенных Наций </w:t>
            </w:r>
            <w:r>
              <w:br/>
              <w:t>п</w:t>
            </w:r>
            <w:r w:rsidRPr="00EA7EBB">
              <w:t>о перевозке опасных грузов (</w:t>
            </w:r>
            <w:r>
              <w:t>пункт </w:t>
            </w:r>
            <w:r w:rsidRPr="00EA7EBB">
              <w:t>2 повестки дня)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6–36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EA7EBB">
              <w:t>Доклад Специальной рабочей группы по согласованию МПОГ/ДОПОГ/ВОПОГ с Рекомендациями Организации Объединенных Наций по перевозк</w:t>
            </w:r>
            <w:r>
              <w:t>е</w:t>
            </w:r>
            <w:r w:rsidRPr="00EA7EBB">
              <w:t xml:space="preserve"> опасных грузов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>
            <w:pPr>
              <w:spacing w:after="120"/>
              <w:ind w:right="40"/>
              <w:jc w:val="right"/>
            </w:pPr>
            <w:r>
              <w:t>6–22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>Использование термина «грузовая транспортная единица»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23–25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137078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>Использование терминов «маркировочный знак» и «маркировка»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6F10CA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1C099A">
              <w:t>Перевозка транспортных средств, двигателей и машин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27–36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6F10CA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  <w:t xml:space="preserve">Предложения о внесении поправок в МПОГ/ДОПОГ/ВОПОГ </w:t>
            </w:r>
            <w:r>
              <w:br/>
              <w:t>(пункт 3 повестки дня)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37–71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pageBreakBefore/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lastRenderedPageBreak/>
              <w:t>Нерассмотренные вопросы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37–41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>Транспортный документ, предназначенный для перевозки порожней неочищенной тары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88215A">
              <w:rPr>
                <w:lang w:bidi="ru-RU"/>
              </w:rPr>
              <w:t>Перевозка навалом/насыпью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>Возможность испо</w:t>
            </w:r>
            <w:r>
              <w:rPr>
                <w:lang w:bidi="ru-RU"/>
              </w:rPr>
              <w:t>льзования электронных сре</w:t>
            </w:r>
            <w:proofErr w:type="gramStart"/>
            <w:r>
              <w:rPr>
                <w:lang w:bidi="ru-RU"/>
              </w:rPr>
              <w:t xml:space="preserve">дств в </w:t>
            </w:r>
            <w:r w:rsidRPr="00CB5EA1">
              <w:rPr>
                <w:lang w:bidi="ru-RU"/>
              </w:rPr>
              <w:t>пр</w:t>
            </w:r>
            <w:proofErr w:type="gramEnd"/>
            <w:r w:rsidRPr="00CB5EA1">
              <w:rPr>
                <w:lang w:bidi="ru-RU"/>
              </w:rPr>
              <w:t xml:space="preserve">оцессе </w:t>
            </w:r>
            <w:proofErr w:type="spellStart"/>
            <w:r w:rsidRPr="00CB5EA1">
              <w:rPr>
                <w:lang w:bidi="ru-RU"/>
              </w:rPr>
              <w:t>экзаменования</w:t>
            </w:r>
            <w:proofErr w:type="spellEnd"/>
            <w:r w:rsidRPr="00CB5EA1">
              <w:rPr>
                <w:lang w:bidi="ru-RU"/>
              </w:rPr>
              <w:t xml:space="preserve"> консультантов по вопросам безопасности, водителей транспортных средств ДОПОГ и экспертов </w:t>
            </w:r>
            <w:r>
              <w:rPr>
                <w:lang w:bidi="ru-RU"/>
              </w:rPr>
              <w:br/>
            </w:r>
            <w:r w:rsidRPr="00CB5EA1">
              <w:rPr>
                <w:lang w:bidi="ru-RU"/>
              </w:rPr>
              <w:t>по ВОПОГ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E80EFD">
              <w:rPr>
                <w:lang w:bidi="ru-RU"/>
              </w:rPr>
              <w:t>Погрузчик и разгрузчик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40–41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>Новые предложения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42–71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>Компетентный орган в соответствии со специальным положением 376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 xml:space="preserve">Уточнение информации в перечне опасных грузов </w:t>
            </w:r>
            <w:r w:rsidR="00883B5F" w:rsidRPr="00B63846">
              <w:rPr>
                <w:lang w:bidi="ru-RU"/>
              </w:rPr>
              <w:br/>
            </w:r>
            <w:r w:rsidRPr="00CB5EA1">
              <w:rPr>
                <w:lang w:bidi="ru-RU"/>
              </w:rPr>
              <w:t>(таблица A)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>Переходные положения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 xml:space="preserve">Единообразное использование термина </w:t>
            </w:r>
            <w:r w:rsidR="00B10AEF">
              <w:rPr>
                <w:lang w:bidi="ru-RU"/>
              </w:rPr>
              <w:t>«</w:t>
            </w:r>
            <w:r w:rsidRPr="00CB5EA1">
              <w:rPr>
                <w:lang w:bidi="ru-RU"/>
              </w:rPr>
              <w:t>код</w:t>
            </w:r>
            <w:r w:rsidR="00B10AEF">
              <w:rPr>
                <w:lang w:bidi="ru-RU"/>
              </w:rPr>
              <w:t>»</w:t>
            </w:r>
            <w:r w:rsidRPr="00CB5EA1">
              <w:rPr>
                <w:lang w:bidi="ru-RU"/>
              </w:rPr>
              <w:t xml:space="preserve"> в главе 7.3 МПОГ/ДОПОГ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>Внесение поправки в специальное положение 655 вследствие изменения европейского законодательства (директивы 97/23/EC и 2014/68/EU)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DF34EB">
              <w:t>Обязан</w:t>
            </w:r>
            <w:r>
              <w:t xml:space="preserve">ности перевозчика – подраздел </w:t>
            </w:r>
            <w:r w:rsidRPr="00DF34EB">
              <w:t>1.4.2</w:t>
            </w:r>
            <w:r>
              <w:t>.2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DF34EB">
              <w:t xml:space="preserve">Распространение действия положения </w:t>
            </w:r>
            <w:r w:rsidRPr="00DF34EB">
              <w:rPr>
                <w:lang w:val="fr-FR"/>
              </w:rPr>
              <w:t>CV</w:t>
            </w:r>
            <w:r w:rsidRPr="00DF34EB">
              <w:t>/</w:t>
            </w:r>
            <w:r w:rsidRPr="00DF34EB">
              <w:rPr>
                <w:lang w:val="fr-FR"/>
              </w:rPr>
              <w:t>CW</w:t>
            </w:r>
            <w:r w:rsidRPr="00DF34EB">
              <w:t xml:space="preserve"> 36 </w:t>
            </w:r>
            <w:r>
              <w:br/>
            </w:r>
            <w:r w:rsidRPr="00DF34EB">
              <w:t xml:space="preserve">на № ООН 2211 </w:t>
            </w:r>
            <w:proofErr w:type="gramStart"/>
            <w:r w:rsidRPr="00DF34EB">
              <w:t>ПОЛИМЕР</w:t>
            </w:r>
            <w:proofErr w:type="gramEnd"/>
            <w:r w:rsidRPr="00DF34EB">
              <w:t xml:space="preserve"> ВСПЕНИВАЮЩ</w:t>
            </w:r>
            <w:r>
              <w:t>И</w:t>
            </w:r>
            <w:r w:rsidRPr="00DF34EB">
              <w:t>ЙСЯ ГРАНУЛИРОВАНН</w:t>
            </w:r>
            <w:r>
              <w:t>Ы</w:t>
            </w:r>
            <w:r w:rsidRPr="00DF34EB">
              <w:t xml:space="preserve">Й, выделяющий воспламеняющиеся </w:t>
            </w:r>
            <w:r>
              <w:br/>
            </w:r>
            <w:r w:rsidRPr="00DF34EB">
              <w:t>газы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48–49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>
              <w:t>О</w:t>
            </w:r>
            <w:r w:rsidRPr="00DF34EB">
              <w:t>тмена групп упаковки для некоторых изделий: сопутствующие поправки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50–51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A36AE9">
              <w:t>Письменные инструкции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52–57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A36AE9">
              <w:t>Изъятия в соответствии с подразделом 1.1.3.3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A36AE9">
              <w:t>Ограниченные количества – маркировка грузовых транспортных единиц</w:t>
            </w:r>
            <w:r w:rsidR="00883B5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343CB1">
              <w:rPr>
                <w:lang w:bidi="ru-RU"/>
              </w:rPr>
              <w:t>Расширение сферы действия специального положения 643</w:t>
            </w:r>
            <w:r w:rsidR="00883B5F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343CB1">
              <w:rPr>
                <w:lang w:bidi="ru-RU"/>
              </w:rPr>
              <w:t xml:space="preserve">Замена термина </w:t>
            </w:r>
            <w:r>
              <w:rPr>
                <w:lang w:bidi="ru-RU"/>
              </w:rPr>
              <w:t>«</w:t>
            </w:r>
            <w:r w:rsidRPr="00343CB1">
              <w:rPr>
                <w:lang w:bidi="ru-RU"/>
              </w:rPr>
              <w:t>точка кипения</w:t>
            </w:r>
            <w:r>
              <w:rPr>
                <w:lang w:bidi="ru-RU"/>
              </w:rPr>
              <w:t>»</w:t>
            </w:r>
            <w:r w:rsidRPr="00343CB1">
              <w:rPr>
                <w:lang w:bidi="ru-RU"/>
              </w:rPr>
              <w:t xml:space="preserve"> термином </w:t>
            </w:r>
            <w:r>
              <w:rPr>
                <w:lang w:bidi="ru-RU"/>
              </w:rPr>
              <w:t>«</w:t>
            </w:r>
            <w:r w:rsidRPr="00343CB1">
              <w:rPr>
                <w:lang w:bidi="ru-RU"/>
              </w:rPr>
              <w:t>начальная точка кипения</w:t>
            </w:r>
            <w:r>
              <w:rPr>
                <w:lang w:bidi="ru-RU"/>
              </w:rPr>
              <w:t>»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343CB1">
              <w:rPr>
                <w:lang w:bidi="ru-RU"/>
              </w:rPr>
              <w:t>Специальное положение 188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770E34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343CB1">
              <w:rPr>
                <w:lang w:bidi="ru-RU"/>
              </w:rPr>
              <w:t xml:space="preserve">Маркировочные знаки, требуемые в соответствии </w:t>
            </w:r>
            <w:r w:rsidR="002F4D23">
              <w:rPr>
                <w:lang w:bidi="ru-RU"/>
              </w:rPr>
              <w:br/>
            </w:r>
            <w:r w:rsidRPr="00343CB1">
              <w:rPr>
                <w:lang w:bidi="ru-RU"/>
              </w:rPr>
              <w:t xml:space="preserve">с </w:t>
            </w:r>
            <w:r>
              <w:rPr>
                <w:lang w:bidi="ru-RU"/>
              </w:rPr>
              <w:t>пунктом</w:t>
            </w:r>
            <w:r w:rsidRPr="00343CB1">
              <w:rPr>
                <w:lang w:bidi="ru-RU"/>
              </w:rPr>
              <w:t xml:space="preserve"> 3.4.13 МПОГ/ДОПОГ/ВОПОГ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343CB1">
              <w:rPr>
                <w:lang w:bidi="ru-RU"/>
              </w:rPr>
              <w:t xml:space="preserve">Подтверждение одностороннего утверждения конструкции упаковок </w:t>
            </w:r>
            <w:r>
              <w:rPr>
                <w:lang w:bidi="ru-RU"/>
              </w:rPr>
              <w:t xml:space="preserve">для </w:t>
            </w:r>
            <w:r w:rsidRPr="00343CB1">
              <w:rPr>
                <w:lang w:bidi="ru-RU"/>
              </w:rPr>
              <w:t xml:space="preserve">радиоактивных материалов, </w:t>
            </w:r>
            <w:r>
              <w:rPr>
                <w:lang w:bidi="ru-RU"/>
              </w:rPr>
              <w:t>выданного</w:t>
            </w:r>
            <w:r w:rsidRPr="00343CB1">
              <w:rPr>
                <w:lang w:bidi="ru-RU"/>
              </w:rPr>
              <w:t xml:space="preserve"> странами, которые не являются Договаривающимися сторонами МПОГ, ДОПОГ или ВОПОГ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64–66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343CB1">
              <w:rPr>
                <w:lang w:bidi="ru-RU"/>
              </w:rPr>
              <w:t>Свидетельство о подготовке консультанта по вопросам безопасности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67–68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lastRenderedPageBreak/>
              <w:t>Требования в отношении информационных табло и маркировки в главе 1.4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>Газовые баллончики (подраздел 6.2.6.4)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2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>Поправка к пункту 6.2.6.1.5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B5EA1">
              <w:rPr>
                <w:lang w:bidi="ru-RU"/>
              </w:rPr>
              <w:t>Доклады неофициальных рабочих групп (пункт 4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72–77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CB5EA1">
              <w:rPr>
                <w:lang w:bidi="ru-RU"/>
              </w:rPr>
              <w:t>Неофициальная рабочая группа по перевозке отходов электрического и электронного оборудования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>Неофициальная рабочая группа по положениям, касающимся оборудования цистерн и сосудов под давлением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73–74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>Неофициальная рабочая группа по п</w:t>
            </w:r>
            <w:r w:rsidRPr="00447D97">
              <w:rPr>
                <w:lang w:bidi="ru-RU"/>
              </w:rPr>
              <w:t>ериодически</w:t>
            </w:r>
            <w:r>
              <w:rPr>
                <w:lang w:bidi="ru-RU"/>
              </w:rPr>
              <w:t>м</w:t>
            </w:r>
            <w:r w:rsidRPr="00447D97">
              <w:rPr>
                <w:lang w:bidi="ru-RU"/>
              </w:rPr>
              <w:t xml:space="preserve"> проверк</w:t>
            </w:r>
            <w:r>
              <w:rPr>
                <w:lang w:bidi="ru-RU"/>
              </w:rPr>
              <w:t>ам</w:t>
            </w:r>
            <w:r w:rsidRPr="00447D97">
              <w:rPr>
                <w:lang w:bidi="ru-RU"/>
              </w:rPr>
              <w:t xml:space="preserve"> </w:t>
            </w:r>
            <w:r>
              <w:rPr>
                <w:lang w:bidi="ru-RU"/>
              </w:rPr>
              <w:br/>
            </w:r>
            <w:r w:rsidRPr="00447D97">
              <w:rPr>
                <w:lang w:bidi="ru-RU"/>
              </w:rPr>
              <w:t>и испытания</w:t>
            </w:r>
            <w:r>
              <w:rPr>
                <w:lang w:bidi="ru-RU"/>
              </w:rPr>
              <w:t>м</w:t>
            </w:r>
            <w:r w:rsidRPr="00447D97">
              <w:rPr>
                <w:lang w:bidi="ru-RU"/>
              </w:rPr>
              <w:t xml:space="preserve"> некоторых переносных стальных баллонов многоразового использования для СНГ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75–77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80EFD">
              <w:rPr>
                <w:lang w:bidi="ru-RU"/>
              </w:rPr>
              <w:t>Стандарты (пункт 5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80EFD">
              <w:rPr>
                <w:lang w:bidi="ru-RU"/>
              </w:rPr>
              <w:t>Цистерны (пункт 6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79–83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137078" w:rsidRPr="00B66F03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883B5F">
              <w:rPr>
                <w:lang w:bidi="ru-RU"/>
              </w:rPr>
              <w:t xml:space="preserve">Толкование </w:t>
            </w:r>
            <w:r w:rsidR="00883B5F" w:rsidRPr="00D8731A">
              <w:rPr>
                <w:lang w:bidi="ru-RU"/>
              </w:rPr>
              <w:t>МПОГ/ДОПОГ/ВОПОГ</w:t>
            </w:r>
            <w:r w:rsidR="00883B5F" w:rsidRPr="00E80EFD">
              <w:rPr>
                <w:lang w:bidi="ru-RU"/>
              </w:rPr>
              <w:t xml:space="preserve"> (пункт </w:t>
            </w:r>
            <w:r w:rsidR="00883B5F">
              <w:rPr>
                <w:lang w:bidi="ru-RU"/>
              </w:rPr>
              <w:t>7</w:t>
            </w:r>
            <w:r w:rsidR="00883B5F" w:rsidRPr="00E80EFD">
              <w:rPr>
                <w:lang w:bidi="ru-RU"/>
              </w:rPr>
              <w:t xml:space="preserve">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137078" w:rsidRPr="00A50D9D" w:rsidTr="00137078">
        <w:tc>
          <w:tcPr>
            <w:tcW w:w="8116" w:type="dxa"/>
            <w:gridSpan w:val="2"/>
            <w:shd w:val="clear" w:color="auto" w:fill="auto"/>
          </w:tcPr>
          <w:p w:rsidR="00137078" w:rsidRPr="00B66F03" w:rsidRDefault="002F4D23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883B5F">
              <w:rPr>
                <w:lang w:bidi="ru-RU"/>
              </w:rPr>
              <w:t>Аварии и управление рисками (пункт 8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37078" w:rsidRPr="00B66F03" w:rsidRDefault="00B10AEF" w:rsidP="00137078">
            <w:pPr>
              <w:spacing w:after="120"/>
              <w:ind w:right="40"/>
              <w:jc w:val="right"/>
            </w:pPr>
            <w:r>
              <w:t>85–90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7078" w:rsidRPr="00B66F03" w:rsidRDefault="006F10CA" w:rsidP="00137078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 xml:space="preserve">Четвертое рабочее совещание по «дорожной карте» в отношении управления рисками в контексте перевозки опасных грузов </w:t>
            </w:r>
            <w:r w:rsidRPr="00372820">
              <w:rPr>
                <w:lang w:bidi="ru-RU"/>
              </w:rPr>
              <w:t>автомобильным, железнодорожным и внутренним водным транспортом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>
            <w:pPr>
              <w:spacing w:after="120"/>
              <w:ind w:right="40"/>
              <w:jc w:val="right"/>
            </w:pPr>
            <w:r>
              <w:t>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rPr>
                <w:lang w:bidi="ru-RU"/>
              </w:rPr>
              <w:t xml:space="preserve">Предварительные результаты опроса, касающегося отчетов </w:t>
            </w:r>
            <w:r w:rsidR="00005D42" w:rsidRPr="00B63846">
              <w:rPr>
                <w:lang w:bidi="ru-RU"/>
              </w:rPr>
              <w:br/>
            </w:r>
            <w:r>
              <w:rPr>
                <w:lang w:bidi="ru-RU"/>
              </w:rPr>
              <w:t>об авариях, представляемых в соответствии с разделом 1.8.5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>
            <w:pPr>
              <w:spacing w:after="120"/>
              <w:ind w:right="40"/>
              <w:jc w:val="right"/>
            </w:pPr>
            <w:r>
              <w:t>86–90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74FB1">
              <w:rPr>
                <w:lang w:bidi="ru-RU"/>
              </w:rPr>
              <w:t>Выборы должностных лиц на 201</w:t>
            </w:r>
            <w:r>
              <w:rPr>
                <w:lang w:bidi="ru-RU"/>
              </w:rPr>
              <w:t>6</w:t>
            </w:r>
            <w:r w:rsidRPr="00E74FB1">
              <w:rPr>
                <w:lang w:bidi="ru-RU"/>
              </w:rPr>
              <w:t xml:space="preserve"> год</w:t>
            </w:r>
            <w:r>
              <w:rPr>
                <w:lang w:bidi="ru-RU"/>
              </w:rPr>
              <w:t xml:space="preserve"> </w:t>
            </w:r>
            <w:r w:rsidRPr="002E4333">
              <w:rPr>
                <w:lang w:bidi="ru-RU"/>
              </w:rPr>
              <w:t>(пункт 9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>
            <w:pPr>
              <w:spacing w:after="120"/>
              <w:ind w:right="40"/>
              <w:jc w:val="right"/>
            </w:pPr>
            <w:r>
              <w:t>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6A226C">
              <w:rPr>
                <w:lang w:bidi="ru-RU"/>
              </w:rPr>
              <w:t>Будущая работа (пункт 10 повестки дня)</w:t>
            </w:r>
            <w:r w:rsidR="00005D42"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 w:rsidP="00137078">
            <w:pPr>
              <w:spacing w:after="120"/>
              <w:ind w:right="40"/>
              <w:jc w:val="right"/>
            </w:pPr>
            <w:r>
              <w:t>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EA7EBB">
              <w:t>Прочие вопросы (пункт 11 повестки дня)</w:t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 w:rsidP="00137078">
            <w:pPr>
              <w:spacing w:after="120"/>
              <w:ind w:right="40"/>
              <w:jc w:val="right"/>
            </w:pPr>
            <w:r>
              <w:t>93–99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EA7EBB">
              <w:t>Оценка глобального и р</w:t>
            </w:r>
            <w:r>
              <w:t xml:space="preserve">егионального влияния правил ЕЭК ООН </w:t>
            </w:r>
            <w:r>
              <w:br/>
              <w:t>и Р</w:t>
            </w:r>
            <w:r w:rsidRPr="00EA7EBB">
              <w:t>екомендаций Организации Объединенных Наций по перевозке опасных грузов</w:t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 w:rsidP="00137078">
            <w:pPr>
              <w:spacing w:after="120"/>
              <w:ind w:right="40"/>
              <w:jc w:val="right"/>
            </w:pPr>
            <w:r>
              <w:t>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B63846">
              <w:t>Перевозка сосудов под давлением, утвержденных Министерством транспорта Соединенных Штатов Америки (D</w:t>
            </w:r>
            <w:r>
              <w:rPr>
                <w:lang w:val="en-US"/>
              </w:rPr>
              <w:t>O</w:t>
            </w:r>
            <w:r w:rsidRPr="00B63846">
              <w:t>T)</w:t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B10AEF" w:rsidP="00137078">
            <w:pPr>
              <w:spacing w:after="120"/>
              <w:ind w:right="40"/>
              <w:jc w:val="right"/>
            </w:pPr>
            <w:r>
              <w:t>94–98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883B5F">
              <w:t>Размещение информационных табло на грузовых транспортных единицах, содержащих литиевые батареи</w:t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417457" w:rsidP="00137078">
            <w:pPr>
              <w:spacing w:after="120"/>
              <w:ind w:right="40"/>
              <w:jc w:val="right"/>
            </w:pPr>
            <w:r>
              <w:t>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A50D9D" w:rsidP="00137078">
            <w:pPr>
              <w:spacing w:after="120"/>
              <w:ind w:right="40"/>
              <w:jc w:val="right"/>
            </w:pP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883B5F" w:rsidP="00B63846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0F325E">
              <w:t xml:space="preserve">Утверждение доклада (пункт </w:t>
            </w:r>
            <w:r>
              <w:t>12</w:t>
            </w:r>
            <w:r w:rsidRPr="000F325E">
              <w:t xml:space="preserve"> повестки дня)</w:t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417457" w:rsidP="00137078">
            <w:pPr>
              <w:spacing w:after="120"/>
              <w:ind w:right="40"/>
              <w:jc w:val="right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6F10CA" w:rsidP="00137078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A50D9D" w:rsidRPr="00A50D9D" w:rsidTr="00137078">
        <w:tc>
          <w:tcPr>
            <w:tcW w:w="8116" w:type="dxa"/>
            <w:gridSpan w:val="2"/>
            <w:shd w:val="clear" w:color="auto" w:fill="auto"/>
          </w:tcPr>
          <w:p w:rsidR="00A50D9D" w:rsidRPr="00B66F03" w:rsidRDefault="00A50D9D" w:rsidP="00B63846">
            <w:pPr>
              <w:tabs>
                <w:tab w:val="right" w:pos="108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B66F03" w:rsidRDefault="00A50D9D" w:rsidP="00137078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B66F03" w:rsidRDefault="00A50D9D" w:rsidP="00137078">
            <w:pPr>
              <w:spacing w:after="120"/>
              <w:ind w:right="40"/>
              <w:jc w:val="right"/>
            </w:pPr>
          </w:p>
        </w:tc>
      </w:tr>
      <w:tr w:rsidR="00A50D9D" w:rsidRPr="00005D42" w:rsidTr="00137078">
        <w:tc>
          <w:tcPr>
            <w:tcW w:w="8116" w:type="dxa"/>
            <w:gridSpan w:val="2"/>
            <w:shd w:val="clear" w:color="auto" w:fill="auto"/>
          </w:tcPr>
          <w:p w:rsidR="00A50D9D" w:rsidRPr="00B63846" w:rsidRDefault="00883B5F" w:rsidP="00B6384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  <w:ind w:left="1260"/>
              <w:rPr>
                <w:spacing w:val="60"/>
                <w:sz w:val="17"/>
              </w:rPr>
            </w:pPr>
            <w:r>
              <w:t>Тексты, принятые Совместным совещанием (Проекты поправок к МПОГ, ДОПОГ и ВОПОГ для вступления в силу 1 января 2017 года)</w:t>
            </w:r>
            <w:r w:rsidR="00FE71C6">
              <w:rPr>
                <w:rStyle w:val="FootnoteReference"/>
              </w:rPr>
              <w:footnoteReference w:id="3"/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005D42" w:rsidRDefault="00A50D9D" w:rsidP="00B63846">
            <w:pPr>
              <w:numPr>
                <w:ilvl w:val="1"/>
                <w:numId w:val="14"/>
              </w:numPr>
              <w:tabs>
                <w:tab w:val="right" w:pos="108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005D42" w:rsidRDefault="006F10CA" w:rsidP="006F10CA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A50D9D" w:rsidRPr="00883B5F" w:rsidTr="00137078">
        <w:tc>
          <w:tcPr>
            <w:tcW w:w="8116" w:type="dxa"/>
            <w:gridSpan w:val="2"/>
            <w:shd w:val="clear" w:color="auto" w:fill="auto"/>
          </w:tcPr>
          <w:p w:rsidR="00A50D9D" w:rsidRPr="00B63846" w:rsidRDefault="00883B5F" w:rsidP="00B6384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  <w:ind w:left="1260"/>
              <w:rPr>
                <w:spacing w:val="60"/>
                <w:sz w:val="17"/>
              </w:rPr>
            </w:pPr>
            <w:r w:rsidRPr="00883B5F">
              <w:t>Доклад Рабочей группы по цистернам</w:t>
            </w:r>
            <w:r w:rsidR="00FE71C6">
              <w:rPr>
                <w:rStyle w:val="FootnoteReference"/>
              </w:rPr>
              <w:footnoteReference w:id="4"/>
            </w:r>
            <w:r w:rsidR="00005D4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A50D9D" w:rsidRPr="00883B5F" w:rsidRDefault="00A50D9D" w:rsidP="00A50D9D">
            <w:pPr>
              <w:numPr>
                <w:ilvl w:val="1"/>
                <w:numId w:val="14"/>
              </w:numPr>
              <w:tabs>
                <w:tab w:val="right" w:pos="108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50D9D" w:rsidRPr="00883B5F" w:rsidRDefault="006F10CA" w:rsidP="006F10CA">
            <w:pPr>
              <w:spacing w:after="120"/>
              <w:ind w:right="40"/>
              <w:jc w:val="right"/>
            </w:pPr>
            <w:r>
              <w:t>22</w:t>
            </w:r>
          </w:p>
        </w:tc>
      </w:tr>
    </w:tbl>
    <w:p w:rsidR="00B66F03" w:rsidRPr="00B66F03" w:rsidRDefault="00A50D9D" w:rsidP="00B6384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83B5F">
        <w:br w:type="page"/>
      </w:r>
      <w:r w:rsidR="00B66F03" w:rsidRPr="00B66F03">
        <w:lastRenderedPageBreak/>
        <w:tab/>
      </w:r>
      <w:r w:rsidR="00B66F03" w:rsidRPr="00B66F03">
        <w:tab/>
        <w:t>Доклад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rPr>
          <w:lang w:val="fr-CH"/>
        </w:rPr>
        <w:t>I</w:t>
      </w:r>
      <w:r w:rsidRPr="00B66F03">
        <w:t>.</w:t>
      </w:r>
      <w:r w:rsidRPr="00B66F03">
        <w:tab/>
        <w:t>Участники</w:t>
      </w:r>
    </w:p>
    <w:p w:rsidR="00A047E8" w:rsidRPr="00B63846" w:rsidRDefault="00A047E8" w:rsidP="00B63846">
      <w:pPr>
        <w:pStyle w:val="SingleTxt"/>
        <w:spacing w:after="0" w:line="120" w:lineRule="exact"/>
        <w:rPr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t>1.</w:t>
      </w:r>
      <w:r w:rsidRPr="00B66F03">
        <w:tab/>
        <w:t>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(ЕЭК ООН) провело свою сессию в Женеве 15–25 сентя</w:t>
      </w:r>
      <w:r w:rsidRPr="00B66F03">
        <w:t>б</w:t>
      </w:r>
      <w:r w:rsidRPr="00B66F03">
        <w:t xml:space="preserve">ря 2015 года под руководством Председателя г-на К. </w:t>
      </w:r>
      <w:proofErr w:type="spellStart"/>
      <w:r w:rsidRPr="00B66F03">
        <w:t>Пфоваделя</w:t>
      </w:r>
      <w:proofErr w:type="spellEnd"/>
      <w:r w:rsidRPr="00B66F03">
        <w:t xml:space="preserve"> (Франция) и з</w:t>
      </w:r>
      <w:r w:rsidRPr="00B66F03">
        <w:t>а</w:t>
      </w:r>
      <w:r w:rsidRPr="00B66F03">
        <w:t xml:space="preserve">местителя Председателя г-на Х. </w:t>
      </w:r>
      <w:proofErr w:type="spellStart"/>
      <w:r w:rsidRPr="00B66F03">
        <w:t>Райна</w:t>
      </w:r>
      <w:proofErr w:type="spellEnd"/>
      <w:r w:rsidRPr="00B66F03">
        <w:t xml:space="preserve"> (Германия).</w:t>
      </w:r>
    </w:p>
    <w:p w:rsidR="00B66F03" w:rsidRPr="00B66F03" w:rsidRDefault="00B66F03" w:rsidP="00B66F03">
      <w:pPr>
        <w:pStyle w:val="SingleTxt"/>
      </w:pPr>
      <w:r w:rsidRPr="00B66F03">
        <w:t>2.</w:t>
      </w:r>
      <w:r w:rsidRPr="00B66F03">
        <w:tab/>
        <w:t xml:space="preserve">В соответствии с пунктом </w:t>
      </w:r>
      <w:r w:rsidRPr="00B66F03">
        <w:rPr>
          <w:lang w:val="fr-FR"/>
        </w:rPr>
        <w:t>a</w:t>
      </w:r>
      <w:r w:rsidRPr="00B66F03">
        <w:t>) правила 1 правил процедуры Совместного с</w:t>
      </w:r>
      <w:r w:rsidRPr="00B66F03">
        <w:t>о</w:t>
      </w:r>
      <w:r w:rsidRPr="00B66F03">
        <w:t>вещания (</w:t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>.1/112/</w:t>
      </w:r>
      <w:proofErr w:type="spellStart"/>
      <w:r w:rsidRPr="00B66F03">
        <w:rPr>
          <w:lang w:val="fr-FR"/>
        </w:rPr>
        <w:t>Add</w:t>
      </w:r>
      <w:proofErr w:type="spellEnd"/>
      <w:r w:rsidRPr="00B66F03">
        <w:t xml:space="preserve">.2) в работе сессии на полноправных началах участвовали представители следующих стран: </w:t>
      </w:r>
      <w:proofErr w:type="gramStart"/>
      <w:r w:rsidRPr="00B66F03">
        <w:t>Австрии, Бельгии, Герм</w:t>
      </w:r>
      <w:r w:rsidRPr="00B66F03">
        <w:t>а</w:t>
      </w:r>
      <w:r w:rsidRPr="00B66F03">
        <w:t>нии, Дании, Испании, Италии, Латвии, Литвы, Люксембурга, Нидерландов, Но</w:t>
      </w:r>
      <w:r w:rsidRPr="00B66F03">
        <w:t>р</w:t>
      </w:r>
      <w:r w:rsidRPr="00B66F03">
        <w:t>вегии, Польши, Португалии, Российской Федерации, Румынии, Словакии, С</w:t>
      </w:r>
      <w:r w:rsidRPr="00B66F03">
        <w:t>о</w:t>
      </w:r>
      <w:r w:rsidRPr="00B66F03">
        <w:t>единенного Королевства, Соединенных Штатов Америки, Финляндии, Франции, Хорватии, Чешской Республики, Швейцарии и Швеции.</w:t>
      </w:r>
      <w:proofErr w:type="gramEnd"/>
    </w:p>
    <w:p w:rsidR="00B66F03" w:rsidRPr="00B66F03" w:rsidRDefault="00B66F03" w:rsidP="00B66F03">
      <w:pPr>
        <w:pStyle w:val="SingleTxt"/>
      </w:pPr>
      <w:r w:rsidRPr="00B66F03">
        <w:t>3.</w:t>
      </w:r>
      <w:r w:rsidRPr="00B66F03">
        <w:tab/>
        <w:t>В соответствии с пунктом b) правила 1 правил процедуры в работе сессии на консультативных началах участвовали представители Демократической Ре</w:t>
      </w:r>
      <w:r w:rsidRPr="00B66F03">
        <w:t>с</w:t>
      </w:r>
      <w:r w:rsidRPr="00B66F03">
        <w:t>публики Конго.</w:t>
      </w:r>
    </w:p>
    <w:p w:rsidR="00B66F03" w:rsidRPr="00B66F03" w:rsidRDefault="00B66F03" w:rsidP="00B66F03">
      <w:pPr>
        <w:pStyle w:val="SingleTxt"/>
      </w:pPr>
      <w:r w:rsidRPr="00B66F03">
        <w:t>4.</w:t>
      </w:r>
      <w:r w:rsidRPr="00B66F03">
        <w:tab/>
        <w:t xml:space="preserve">В соответствии с пунктами с) и </w:t>
      </w:r>
      <w:r w:rsidRPr="00B66F03">
        <w:rPr>
          <w:lang w:val="fr-FR"/>
        </w:rPr>
        <w:t>d</w:t>
      </w:r>
      <w:r w:rsidRPr="00B66F03">
        <w:t>) правила 1 правил процедуры в работе сессии на консультативных началах участвовали представители:</w:t>
      </w:r>
    </w:p>
    <w:p w:rsidR="00B66F03" w:rsidRPr="00B66F03" w:rsidRDefault="00B66F03">
      <w:pPr>
        <w:pStyle w:val="SingleTxt"/>
      </w:pPr>
      <w:r w:rsidRPr="00B66F03">
        <w:tab/>
      </w:r>
      <w:r w:rsidRPr="00B66F03">
        <w:rPr>
          <w:lang w:val="fr-FR"/>
        </w:rPr>
        <w:t>a</w:t>
      </w:r>
      <w:r w:rsidRPr="00B66F03">
        <w:t>)</w:t>
      </w:r>
      <w:r w:rsidRPr="00B66F03">
        <w:tab/>
        <w:t xml:space="preserve">Европейского союза, Центральной комиссии судоходства по Рейну и Организации сотрудничества железных дорог (ОСЖД); </w:t>
      </w:r>
    </w:p>
    <w:p w:rsidR="00B66F03" w:rsidRPr="00B66F03" w:rsidRDefault="00B66F03">
      <w:pPr>
        <w:pStyle w:val="SingleTxt"/>
      </w:pPr>
      <w:r w:rsidRPr="00B66F03">
        <w:tab/>
      </w:r>
      <w:r w:rsidRPr="00B66F03">
        <w:rPr>
          <w:lang w:val="fr-FR"/>
        </w:rPr>
        <w:t>b</w:t>
      </w:r>
      <w:r w:rsidRPr="00B66F03">
        <w:t>)</w:t>
      </w:r>
      <w:r w:rsidRPr="00B66F03">
        <w:tab/>
        <w:t>следующих международных неправительственных организаций: Евр</w:t>
      </w:r>
      <w:r w:rsidRPr="00B66F03">
        <w:t>о</w:t>
      </w:r>
      <w:r w:rsidRPr="00B66F03">
        <w:t>пейской ассоциации по промышленным газам (ЕАПГ), Европейской ассоциации производителей баллонов (ЕАПБ), Европейской ассоциации по сжиженным нефтяным газам (ЕАСНГ), Европейской ассоциации по усовершенствованным перезаряжаемым батареям (</w:t>
      </w:r>
      <w:r w:rsidRPr="00B66F03">
        <w:rPr>
          <w:lang w:val="fr-FR"/>
        </w:rPr>
        <w:t>RECHARGE</w:t>
      </w:r>
      <w:r w:rsidRPr="00B66F03">
        <w:t>), Европейской конференции поставщ</w:t>
      </w:r>
      <w:r w:rsidRPr="00B66F03">
        <w:t>и</w:t>
      </w:r>
      <w:r w:rsidRPr="00B66F03">
        <w:t>ков топлива (ЕКПТ), Европейского совета химической промышленн</w:t>
      </w:r>
      <w:r w:rsidRPr="00B66F03">
        <w:t>о</w:t>
      </w:r>
      <w:r w:rsidRPr="00B66F03">
        <w:t>сти</w:t>
      </w:r>
      <w:r w:rsidR="0072295C">
        <w:t> </w:t>
      </w:r>
      <w:r w:rsidRPr="00B66F03">
        <w:t>(ЕСФХП), «</w:t>
      </w:r>
      <w:proofErr w:type="spellStart"/>
      <w:r w:rsidRPr="00B66F03">
        <w:t>Косметикс</w:t>
      </w:r>
      <w:proofErr w:type="spellEnd"/>
      <w:r w:rsidRPr="00B66F03">
        <w:t xml:space="preserve"> </w:t>
      </w:r>
      <w:proofErr w:type="spellStart"/>
      <w:r w:rsidRPr="00B66F03">
        <w:t>Еуроп</w:t>
      </w:r>
      <w:proofErr w:type="spellEnd"/>
      <w:r w:rsidRPr="00B66F03">
        <w:t>», Международного союза автомобильного транспорта (МСАТ), Международного союза ассоциаций частных владельцев грузовых вагонов (МСАГВ), Международного союза железных дорог (МСЖД), Международной ассоциации по опасным грузам и контейнерам (АСПОГ), Ме</w:t>
      </w:r>
      <w:r w:rsidRPr="00B66F03">
        <w:t>ж</w:t>
      </w:r>
      <w:r w:rsidRPr="00B66F03">
        <w:t>дународной организации производителей контейнеров-цистерн (МОКЦ), Межд</w:t>
      </w:r>
      <w:r w:rsidRPr="00B66F03">
        <w:t>у</w:t>
      </w:r>
      <w:r w:rsidRPr="00B66F03">
        <w:t>народной ассоциации изготовителей автомобильных кузовов и прицепов (МАИАКП), Международной ассоциации производителей мыла, детергентов и средств бытовой химии (МАПМ), Международной конфедерации восстановит</w:t>
      </w:r>
      <w:r w:rsidRPr="00B66F03">
        <w:t>е</w:t>
      </w:r>
      <w:r w:rsidRPr="00B66F03">
        <w:t>лей контейнеров (МКВК), Международной организации предприятий автом</w:t>
      </w:r>
      <w:r w:rsidRPr="00B66F03">
        <w:t>о</w:t>
      </w:r>
      <w:r w:rsidRPr="00B66F03">
        <w:t>бильной промышленности (МОПАП) и Федерации европейских ассоциаций пр</w:t>
      </w:r>
      <w:r w:rsidRPr="00B66F03">
        <w:t>о</w:t>
      </w:r>
      <w:r w:rsidRPr="00B66F03">
        <w:t>изводителей аэрозолей (ФЕА).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rPr>
          <w:lang w:val="fr-FR"/>
        </w:rPr>
        <w:t>II</w:t>
      </w:r>
      <w:r w:rsidRPr="00B66F03">
        <w:t>.</w:t>
      </w:r>
      <w:r w:rsidRPr="00B66F03">
        <w:tab/>
        <w:t>Утверждение повестки дня (пункт 1 повестки дня)</w:t>
      </w:r>
    </w:p>
    <w:p w:rsidR="00A047E8" w:rsidRPr="00B63846" w:rsidRDefault="00A047E8" w:rsidP="00B63846">
      <w:pPr>
        <w:pStyle w:val="SingleTxt"/>
        <w:spacing w:after="0" w:line="120" w:lineRule="exact"/>
        <w:rPr>
          <w:i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i/>
          <w:sz w:val="10"/>
        </w:rPr>
      </w:pPr>
    </w:p>
    <w:p w:rsidR="00B66F03" w:rsidRPr="00B66F03" w:rsidRDefault="00B66F03" w:rsidP="00B66F03">
      <w:pPr>
        <w:pStyle w:val="SingleTxt"/>
        <w:rPr>
          <w:i/>
        </w:rPr>
      </w:pPr>
      <w:r w:rsidRPr="00B66F03">
        <w:rPr>
          <w:i/>
        </w:rPr>
        <w:t>Документы:</w:t>
      </w:r>
      <w:r w:rsidRPr="00B66F03">
        <w:tab/>
      </w:r>
      <w:r w:rsidRPr="00B66F03">
        <w:tab/>
      </w:r>
      <w:r w:rsidRPr="00B66F03">
        <w:tab/>
      </w:r>
      <w:r w:rsidRPr="00B66F03">
        <w:tab/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 xml:space="preserve">.1/139 и </w:t>
      </w:r>
      <w:proofErr w:type="spellStart"/>
      <w:r w:rsidRPr="00B66F03">
        <w:rPr>
          <w:lang w:val="fr-FR"/>
        </w:rPr>
        <w:t>Add</w:t>
      </w:r>
      <w:proofErr w:type="spellEnd"/>
      <w:r w:rsidRPr="00B66F03">
        <w:t>.1</w:t>
      </w:r>
    </w:p>
    <w:p w:rsidR="00B66F03" w:rsidRPr="00B66F03" w:rsidRDefault="00B66F03" w:rsidP="00B66F03">
      <w:pPr>
        <w:pStyle w:val="SingleTxt"/>
      </w:pPr>
      <w:r w:rsidRPr="00B66F03">
        <w:rPr>
          <w:i/>
        </w:rPr>
        <w:t>Неофициальные документы:</w:t>
      </w:r>
      <w:r w:rsidRPr="00B66F03">
        <w:tab/>
      </w:r>
      <w:r w:rsidRPr="00B66F03">
        <w:rPr>
          <w:lang w:val="fr-FR"/>
        </w:rPr>
        <w:t>INF</w:t>
      </w:r>
      <w:r w:rsidRPr="00B66F03">
        <w:t xml:space="preserve">.1, </w:t>
      </w:r>
      <w:r w:rsidRPr="00B66F03">
        <w:rPr>
          <w:lang w:val="fr-FR"/>
        </w:rPr>
        <w:t>INF</w:t>
      </w:r>
      <w:r w:rsidRPr="00B66F03">
        <w:t xml:space="preserve">.2 и </w:t>
      </w:r>
      <w:r w:rsidRPr="00B66F03">
        <w:rPr>
          <w:lang w:val="fr-FR"/>
        </w:rPr>
        <w:t>INF</w:t>
      </w:r>
      <w:r w:rsidRPr="00B66F03">
        <w:t>.6 (секретариат)</w:t>
      </w:r>
    </w:p>
    <w:p w:rsidR="00B66F03" w:rsidRPr="00B66F03" w:rsidRDefault="00B66F03" w:rsidP="00B66F03">
      <w:pPr>
        <w:pStyle w:val="SingleTxt"/>
      </w:pPr>
      <w:r w:rsidRPr="00B66F03">
        <w:t>5.</w:t>
      </w:r>
      <w:r w:rsidRPr="00B66F03">
        <w:tab/>
        <w:t>Совместное совещание утвердило повестку дня, предложенную в докуме</w:t>
      </w:r>
      <w:r w:rsidRPr="00B66F03">
        <w:t>н</w:t>
      </w:r>
      <w:r w:rsidRPr="00B66F03">
        <w:t xml:space="preserve">тах </w:t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 xml:space="preserve">.1/139 и </w:t>
      </w:r>
      <w:proofErr w:type="spellStart"/>
      <w:r w:rsidRPr="00B66F03">
        <w:rPr>
          <w:lang w:val="fr-FR"/>
        </w:rPr>
        <w:t>Add</w:t>
      </w:r>
      <w:proofErr w:type="spellEnd"/>
      <w:r w:rsidRPr="00B66F03">
        <w:t xml:space="preserve">.1 (письмо </w:t>
      </w:r>
      <w:r w:rsidRPr="00B66F03">
        <w:rPr>
          <w:iCs/>
          <w:lang w:val="fr-FR"/>
        </w:rPr>
        <w:t>A</w:t>
      </w:r>
      <w:r w:rsidRPr="00B66F03">
        <w:rPr>
          <w:iCs/>
        </w:rPr>
        <w:t xml:space="preserve"> </w:t>
      </w:r>
      <w:r w:rsidRPr="00B66F03">
        <w:t>81-02/503.2015</w:t>
      </w:r>
      <w:r w:rsidRPr="00B66F03">
        <w:rPr>
          <w:i/>
        </w:rPr>
        <w:t xml:space="preserve"> </w:t>
      </w:r>
      <w:r w:rsidRPr="00B66F03">
        <w:t>ОТИФ), о</w:t>
      </w:r>
      <w:r w:rsidRPr="00B66F03">
        <w:t>б</w:t>
      </w:r>
      <w:r w:rsidRPr="00B66F03">
        <w:t xml:space="preserve">новленных в неофициальных документах </w:t>
      </w:r>
      <w:r w:rsidRPr="00B66F03">
        <w:rPr>
          <w:lang w:val="fr-FR"/>
        </w:rPr>
        <w:t>INF</w:t>
      </w:r>
      <w:r w:rsidRPr="00B66F03">
        <w:t xml:space="preserve">.1 и </w:t>
      </w:r>
      <w:r w:rsidRPr="00B66F03">
        <w:rPr>
          <w:lang w:val="fr-FR"/>
        </w:rPr>
        <w:t>INF</w:t>
      </w:r>
      <w:r w:rsidRPr="00B66F03">
        <w:t>.2, а также предварител</w:t>
      </w:r>
      <w:r w:rsidRPr="00B66F03">
        <w:t>ь</w:t>
      </w:r>
      <w:r w:rsidRPr="00B66F03">
        <w:t>ный график работы (</w:t>
      </w:r>
      <w:r w:rsidRPr="00B66F03">
        <w:rPr>
          <w:lang w:val="fr-FR"/>
        </w:rPr>
        <w:t>INF</w:t>
      </w:r>
      <w:r w:rsidRPr="00B66F03">
        <w:t>.6).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lastRenderedPageBreak/>
        <w:tab/>
      </w:r>
      <w:r w:rsidRPr="00B66F03">
        <w:rPr>
          <w:lang w:val="fr-FR"/>
        </w:rPr>
        <w:t>III</w:t>
      </w:r>
      <w:r w:rsidRPr="00B66F03">
        <w:t>.</w:t>
      </w:r>
      <w:r w:rsidRPr="00B66F03">
        <w:tab/>
        <w:t>Согласование с Рекомендациями Организации Объединенных Наций по перевозке опасных грузов (пункт 2 повестки дня)</w:t>
      </w:r>
    </w:p>
    <w:p w:rsidR="00B66F03" w:rsidRPr="00B63846" w:rsidRDefault="00B66F03" w:rsidP="00B63846">
      <w:pPr>
        <w:pStyle w:val="SingleTxt"/>
        <w:spacing w:after="0" w:line="120" w:lineRule="exact"/>
        <w:rPr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rPr>
          <w:lang w:val="fr-CH"/>
        </w:rPr>
        <w:t>A</w:t>
      </w:r>
      <w:r w:rsidRPr="00B66F03">
        <w:t>.</w:t>
      </w:r>
      <w:r w:rsidRPr="00B66F03">
        <w:tab/>
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</w:r>
    </w:p>
    <w:p w:rsidR="00A047E8" w:rsidRPr="00B63846" w:rsidRDefault="00A047E8" w:rsidP="00B63846">
      <w:pPr>
        <w:pStyle w:val="SingleTxt"/>
        <w:spacing w:after="0" w:line="120" w:lineRule="exact"/>
        <w:rPr>
          <w:i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i/>
          <w:sz w:val="10"/>
        </w:rPr>
      </w:pPr>
    </w:p>
    <w:p w:rsidR="00B66F03" w:rsidRPr="00B66F03" w:rsidRDefault="00B66F03" w:rsidP="00B63846">
      <w:pPr>
        <w:pStyle w:val="SingleTxt"/>
        <w:jc w:val="left"/>
        <w:rPr>
          <w:i/>
        </w:rPr>
      </w:pPr>
      <w:r w:rsidRPr="00B66F03">
        <w:rPr>
          <w:i/>
        </w:rPr>
        <w:t>Документы:</w:t>
      </w:r>
      <w:r w:rsidRPr="00B66F03">
        <w:tab/>
      </w:r>
      <w:r w:rsidRPr="00B66F03">
        <w:tab/>
      </w:r>
      <w:r w:rsidRPr="00B66F03">
        <w:tab/>
      </w:r>
      <w:r w:rsidRPr="00B66F03">
        <w:tab/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 xml:space="preserve">.1/2015/23 и </w:t>
      </w:r>
      <w:proofErr w:type="spellStart"/>
      <w:r w:rsidRPr="00B66F03">
        <w:rPr>
          <w:lang w:val="fr-FR"/>
        </w:rPr>
        <w:t>Add</w:t>
      </w:r>
      <w:proofErr w:type="spellEnd"/>
      <w:r w:rsidRPr="00B66F03">
        <w:t xml:space="preserve">.1 </w:t>
      </w:r>
      <w:r w:rsidRPr="00B66F03">
        <w:br/>
      </w:r>
      <w:r w:rsidR="00A047E8" w:rsidRPr="00B63846">
        <w:tab/>
      </w:r>
      <w:r w:rsidR="00A047E8" w:rsidRPr="00B63846">
        <w:tab/>
      </w:r>
      <w:r w:rsidR="00A047E8" w:rsidRPr="00B63846">
        <w:tab/>
      </w:r>
      <w:r w:rsidR="00A047E8" w:rsidRPr="00B63846">
        <w:tab/>
      </w:r>
      <w:r w:rsidR="00A047E8" w:rsidRPr="00B63846">
        <w:tab/>
      </w:r>
      <w:r w:rsidR="00A047E8" w:rsidRPr="00B63846">
        <w:tab/>
      </w:r>
      <w:r w:rsidRPr="00B66F03">
        <w:t>(секретариат)</w:t>
      </w:r>
    </w:p>
    <w:p w:rsidR="00B66F03" w:rsidRPr="00B66F03" w:rsidRDefault="00B66F03" w:rsidP="00B66F03">
      <w:pPr>
        <w:pStyle w:val="SingleTxt"/>
      </w:pPr>
      <w:r w:rsidRPr="00B66F03">
        <w:rPr>
          <w:i/>
        </w:rPr>
        <w:t>Неофициальный документ:</w:t>
      </w:r>
      <w:r w:rsidRPr="00B66F03">
        <w:rPr>
          <w:i/>
        </w:rPr>
        <w:tab/>
      </w:r>
      <w:r w:rsidRPr="00B66F03">
        <w:rPr>
          <w:lang w:val="fr-CH"/>
        </w:rPr>
        <w:t>INF</w:t>
      </w:r>
      <w:r w:rsidRPr="00B66F03">
        <w:t>.27 (</w:t>
      </w:r>
      <w:r w:rsidRPr="00B66F03">
        <w:rPr>
          <w:lang w:val="fr-CH"/>
        </w:rPr>
        <w:t>RECHARGE</w:t>
      </w:r>
      <w:r w:rsidRPr="00B66F03">
        <w:t>)</w:t>
      </w:r>
    </w:p>
    <w:p w:rsidR="00B66F03" w:rsidRPr="00B66F03" w:rsidRDefault="00B66F03" w:rsidP="00B66F03">
      <w:pPr>
        <w:pStyle w:val="SingleTxt"/>
      </w:pPr>
      <w:r w:rsidRPr="00B66F03">
        <w:t>6.</w:t>
      </w:r>
      <w:r w:rsidRPr="00B66F03">
        <w:tab/>
        <w:t>Совместное совещание приняло к сведению доклад Рабочей группы и ра</w:t>
      </w:r>
      <w:r w:rsidRPr="00B66F03">
        <w:t>с</w:t>
      </w:r>
      <w:r w:rsidRPr="00B66F03">
        <w:t>смотрело по пунктам предложения о поправках, направленных на согласование с Типовыми правилами, прилагаемыми к девятнадцатому пересмотренному изд</w:t>
      </w:r>
      <w:r w:rsidRPr="00B66F03">
        <w:t>а</w:t>
      </w:r>
      <w:r w:rsidRPr="00B66F03">
        <w:t>нию Рекомендаций Организации Объединенных Наций по перевозке опасных грузов. Оно приняло эти поправки при условии внесения в них некоторых изм</w:t>
      </w:r>
      <w:r w:rsidRPr="00B66F03">
        <w:t>е</w:t>
      </w:r>
      <w:r w:rsidRPr="00B66F03">
        <w:t xml:space="preserve">нений редакционного характера (см. приложение </w:t>
      </w:r>
      <w:r w:rsidRPr="00B66F03">
        <w:rPr>
          <w:lang w:val="fr-FR"/>
        </w:rPr>
        <w:t>I</w:t>
      </w:r>
      <w:r w:rsidRPr="00B66F03">
        <w:t>) и с учетом нижеследующих замечаний. В случае необходимости эти замечания необходимо будет довести до сведения Подкомитета экспертов Организации Объединенных Наций по перево</w:t>
      </w:r>
      <w:r w:rsidRPr="00B66F03">
        <w:t>з</w:t>
      </w:r>
      <w:r w:rsidRPr="00B66F03">
        <w:t>ке опасных грузов.</w:t>
      </w:r>
    </w:p>
    <w:p w:rsidR="00B66F03" w:rsidRPr="00B66F03" w:rsidRDefault="00B66F03" w:rsidP="00B66F03">
      <w:pPr>
        <w:pStyle w:val="SingleTxt"/>
      </w:pPr>
      <w:r w:rsidRPr="00B66F03">
        <w:t>7.</w:t>
      </w:r>
      <w:r w:rsidRPr="00B66F03">
        <w:tab/>
        <w:t>Касаясь пункта 10 доклада, Совместное совещание решило привести те</w:t>
      </w:r>
      <w:r w:rsidRPr="00B66F03">
        <w:t>р</w:t>
      </w:r>
      <w:r w:rsidRPr="00B66F03">
        <w:t>минологию в соответствие с терминологией, используемой в Типовых правилах ООН, а именно заменить слово «прибор» на «изделие» («</w:t>
      </w:r>
      <w:proofErr w:type="spellStart"/>
      <w:r w:rsidRPr="00B66F03">
        <w:t>apparatus</w:t>
      </w:r>
      <w:proofErr w:type="spellEnd"/>
      <w:r w:rsidRPr="00B66F03">
        <w:t>» на «</w:t>
      </w:r>
      <w:proofErr w:type="spellStart"/>
      <w:r w:rsidRPr="00B66F03">
        <w:t>article</w:t>
      </w:r>
      <w:proofErr w:type="spellEnd"/>
      <w:r w:rsidRPr="00B66F03">
        <w:t>» в тексте на английском языке) в пунктах 2.2.9.3, 1.1.3.6.3, 2.2.9.1.2 и 2.2.1.9.5. Было бы, по-видимому, логичным поступить таким же образом и в отношении и</w:t>
      </w:r>
      <w:r w:rsidRPr="00B66F03">
        <w:t>н</w:t>
      </w:r>
      <w:r w:rsidRPr="00B66F03">
        <w:t>струкции по упаковке Р906, однако с учетом того, что в Типовых правилах и</w:t>
      </w:r>
      <w:r w:rsidRPr="00B66F03">
        <w:t>с</w:t>
      </w:r>
      <w:r w:rsidRPr="00B66F03">
        <w:t>пользуется слово «устройство» («</w:t>
      </w:r>
      <w:proofErr w:type="spellStart"/>
      <w:r w:rsidRPr="00B66F03">
        <w:t>device</w:t>
      </w:r>
      <w:proofErr w:type="spellEnd"/>
      <w:r w:rsidRPr="00B66F03">
        <w:t>» в тексте на английском языке), было решено довести данный вопрос до сведения Подкомитета экспертов Организации Объединенных Наций.</w:t>
      </w:r>
    </w:p>
    <w:p w:rsidR="00B66F03" w:rsidRPr="00B66F03" w:rsidRDefault="00B66F03" w:rsidP="00B66F03">
      <w:pPr>
        <w:pStyle w:val="SingleTxt"/>
      </w:pPr>
      <w:r w:rsidRPr="00B66F03">
        <w:t>8.</w:t>
      </w:r>
      <w:r w:rsidRPr="00B66F03">
        <w:tab/>
        <w:t>Было решено поручить Рабочей группе по цистернам рассмотрение попр</w:t>
      </w:r>
      <w:r w:rsidRPr="00B66F03">
        <w:t>а</w:t>
      </w:r>
      <w:r w:rsidRPr="00B66F03">
        <w:t>вок, касающихся перевозки в цистернах.</w:t>
      </w:r>
    </w:p>
    <w:p w:rsidR="00B66F03" w:rsidRPr="00B66F03" w:rsidRDefault="00B66F03" w:rsidP="00B66F03">
      <w:pPr>
        <w:pStyle w:val="SingleTxt"/>
      </w:pPr>
      <w:r w:rsidRPr="00B66F03">
        <w:t>9.</w:t>
      </w:r>
      <w:r w:rsidRPr="00B66F03">
        <w:tab/>
        <w:t xml:space="preserve">Поправки, касающиеся только конкретного вида транспорта, должны быть рассмотрены компетентными органами (Группой </w:t>
      </w:r>
      <w:r w:rsidRPr="00B66F03">
        <w:rPr>
          <w:lang w:val="en-US"/>
        </w:rPr>
        <w:t>WP</w:t>
      </w:r>
      <w:r w:rsidRPr="00B66F03">
        <w:t xml:space="preserve">.15, Комиссией экспертов МПОГ, Комитетом по вопросам безопасности ВОПОГ). </w:t>
      </w:r>
    </w:p>
    <w:p w:rsidR="00B66F03" w:rsidRPr="00B66F03" w:rsidRDefault="00B66F03" w:rsidP="00B66F03">
      <w:pPr>
        <w:pStyle w:val="SingleTxt"/>
      </w:pPr>
      <w:r w:rsidRPr="00B66F03">
        <w:t>10.</w:t>
      </w:r>
      <w:r w:rsidRPr="00B66F03">
        <w:tab/>
        <w:t xml:space="preserve">Было решено на данном этапе </w:t>
      </w:r>
      <w:proofErr w:type="gramStart"/>
      <w:r w:rsidRPr="00B66F03">
        <w:t>сохранить</w:t>
      </w:r>
      <w:proofErr w:type="gramEnd"/>
      <w:r w:rsidRPr="00B66F03">
        <w:t xml:space="preserve"> ПРИМЕЧАНИЕ 2 к пункту 2.1.2.8 в формулировке, не требующей обязательного выполнения. Было подчеркнуто, что любое государство – член Организации Объединенных Наций, которое не я</w:t>
      </w:r>
      <w:r w:rsidRPr="00B66F03">
        <w:t>в</w:t>
      </w:r>
      <w:r w:rsidRPr="00B66F03">
        <w:t>ляется членом Подкомитета экспертов по перевозке опасных грузов Экономич</w:t>
      </w:r>
      <w:r w:rsidRPr="00B66F03">
        <w:t>е</w:t>
      </w:r>
      <w:r w:rsidRPr="00B66F03">
        <w:t>ского и Социального Совета Организации Объединенных Наций, может пре</w:t>
      </w:r>
      <w:r w:rsidRPr="00B66F03">
        <w:t>д</w:t>
      </w:r>
      <w:r w:rsidRPr="00B66F03">
        <w:t>ставлять этому Подкомитету предложения о поправках к Типовым правилам ООН, однако при этом оно не имеет права голоса в данном органе.</w:t>
      </w:r>
    </w:p>
    <w:p w:rsidR="00B66F03" w:rsidRPr="00B66F03" w:rsidRDefault="00B66F03">
      <w:pPr>
        <w:pStyle w:val="SingleTxt"/>
      </w:pPr>
      <w:r w:rsidRPr="00B66F03">
        <w:t>11.</w:t>
      </w:r>
      <w:r w:rsidRPr="00B66F03">
        <w:tab/>
      </w:r>
      <w:proofErr w:type="gramStart"/>
      <w:r w:rsidRPr="00B66F03">
        <w:t xml:space="preserve">Что касается поправки к специальному положению 188 </w:t>
      </w:r>
      <w:r w:rsidRPr="00B66F03">
        <w:rPr>
          <w:lang w:val="en-US"/>
        </w:rPr>
        <w:t>f</w:t>
      </w:r>
      <w:r w:rsidRPr="00B66F03">
        <w:t>) (и нового подра</w:t>
      </w:r>
      <w:r w:rsidRPr="00B66F03">
        <w:t>з</w:t>
      </w:r>
      <w:r w:rsidRPr="00B66F03">
        <w:t>дела 5.2.1.9), то было отмечено, что в тексте на французском языке было бы л</w:t>
      </w:r>
      <w:r w:rsidRPr="00B66F03">
        <w:t>о</w:t>
      </w:r>
      <w:r w:rsidRPr="00B66F03">
        <w:t>гичным, учитывая надлежащее отгрузочное наименование позиций под</w:t>
      </w:r>
      <w:r w:rsidR="00A047E8">
        <w:rPr>
          <w:lang w:val="en-US"/>
        </w:rPr>
        <w:t> </w:t>
      </w:r>
      <w:r w:rsidRPr="00B66F03">
        <w:t>№ ООН</w:t>
      </w:r>
      <w:r w:rsidR="00A047E8">
        <w:rPr>
          <w:lang w:val="en-US"/>
        </w:rPr>
        <w:t> </w:t>
      </w:r>
      <w:r w:rsidRPr="00B66F03">
        <w:t>3090, 3091, 3480 и 3481, использовать выражение «</w:t>
      </w:r>
      <w:proofErr w:type="spellStart"/>
      <w:r w:rsidRPr="00B66F03">
        <w:t>marque</w:t>
      </w:r>
      <w:proofErr w:type="spellEnd"/>
      <w:r w:rsidRPr="00B66F03">
        <w:t xml:space="preserve"> </w:t>
      </w:r>
      <w:proofErr w:type="spellStart"/>
      <w:r w:rsidRPr="00B66F03">
        <w:t>pour</w:t>
      </w:r>
      <w:proofErr w:type="spellEnd"/>
      <w:r w:rsidRPr="00B66F03">
        <w:t xml:space="preserve"> </w:t>
      </w:r>
      <w:proofErr w:type="spellStart"/>
      <w:r w:rsidRPr="00B66F03">
        <w:t>les</w:t>
      </w:r>
      <w:proofErr w:type="spellEnd"/>
      <w:r w:rsidRPr="00B66F03">
        <w:t xml:space="preserve"> </w:t>
      </w:r>
      <w:proofErr w:type="spellStart"/>
      <w:r w:rsidRPr="00B66F03">
        <w:t>piles</w:t>
      </w:r>
      <w:proofErr w:type="spellEnd"/>
      <w:r w:rsidRPr="00B66F03">
        <w:t xml:space="preserve"> </w:t>
      </w:r>
      <w:proofErr w:type="spellStart"/>
      <w:r w:rsidRPr="00B66F03">
        <w:t>au</w:t>
      </w:r>
      <w:proofErr w:type="spellEnd"/>
      <w:r w:rsidRPr="00B66F03">
        <w:t xml:space="preserve"> </w:t>
      </w:r>
      <w:proofErr w:type="spellStart"/>
      <w:r w:rsidRPr="00B66F03">
        <w:t>lithium</w:t>
      </w:r>
      <w:proofErr w:type="spellEnd"/>
      <w:r w:rsidRPr="00B66F03">
        <w:t>» (маркировочный знак литиевых элементов) вместо выражения «</w:t>
      </w:r>
      <w:proofErr w:type="spellStart"/>
      <w:r w:rsidRPr="00B66F03">
        <w:t>marque</w:t>
      </w:r>
      <w:proofErr w:type="spellEnd"/>
      <w:r w:rsidRPr="00B66F03">
        <w:t xml:space="preserve"> </w:t>
      </w:r>
      <w:proofErr w:type="spellStart"/>
      <w:r w:rsidRPr="00B66F03">
        <w:t>pour</w:t>
      </w:r>
      <w:proofErr w:type="spellEnd"/>
      <w:r w:rsidRPr="00B66F03">
        <w:t xml:space="preserve"> </w:t>
      </w:r>
      <w:proofErr w:type="spellStart"/>
      <w:r w:rsidRPr="00B66F03">
        <w:t>les</w:t>
      </w:r>
      <w:proofErr w:type="spellEnd"/>
      <w:r w:rsidRPr="00B66F03">
        <w:t xml:space="preserve"> </w:t>
      </w:r>
      <w:proofErr w:type="spellStart"/>
      <w:r w:rsidRPr="00B66F03">
        <w:t>batteries</w:t>
      </w:r>
      <w:proofErr w:type="spellEnd"/>
      <w:r w:rsidRPr="00B66F03">
        <w:t xml:space="preserve"> </w:t>
      </w:r>
      <w:proofErr w:type="spellStart"/>
      <w:r w:rsidRPr="00B66F03">
        <w:t>au</w:t>
      </w:r>
      <w:proofErr w:type="spellEnd"/>
      <w:r w:rsidRPr="00B66F03">
        <w:t xml:space="preserve"> </w:t>
      </w:r>
      <w:proofErr w:type="spellStart"/>
      <w:r w:rsidRPr="00B66F03">
        <w:t>lithium</w:t>
      </w:r>
      <w:proofErr w:type="spellEnd"/>
      <w:r w:rsidRPr="00B66F03">
        <w:t>» (маркировочный знак литиевых батарей).</w:t>
      </w:r>
      <w:proofErr w:type="gramEnd"/>
    </w:p>
    <w:p w:rsidR="00B66F03" w:rsidRPr="00B66F03" w:rsidRDefault="00B66F03" w:rsidP="00B66F03">
      <w:pPr>
        <w:pStyle w:val="SingleTxt"/>
      </w:pPr>
      <w:r w:rsidRPr="00B66F03">
        <w:t>12.</w:t>
      </w:r>
      <w:r w:rsidRPr="00B66F03">
        <w:tab/>
        <w:t xml:space="preserve">В неофициальном документе </w:t>
      </w:r>
      <w:r w:rsidRPr="00B66F03">
        <w:rPr>
          <w:lang w:val="en-US"/>
        </w:rPr>
        <w:t>INF</w:t>
      </w:r>
      <w:r w:rsidRPr="00B66F03">
        <w:t>.27, представленном RECHARGE, указано на ошибку во французском варианте специального положения 310 Типовых пр</w:t>
      </w:r>
      <w:r w:rsidRPr="00B66F03">
        <w:t>а</w:t>
      </w:r>
      <w:r w:rsidRPr="00B66F03">
        <w:t>вил ООН, которая должна быть исправлена секретариатом.</w:t>
      </w:r>
    </w:p>
    <w:p w:rsidR="00B66F03" w:rsidRPr="00B66F03" w:rsidRDefault="00B66F03" w:rsidP="00B66F03">
      <w:pPr>
        <w:pStyle w:val="SingleTxt"/>
      </w:pPr>
      <w:r w:rsidRPr="00B66F03">
        <w:lastRenderedPageBreak/>
        <w:t>13.</w:t>
      </w:r>
      <w:r w:rsidRPr="00B66F03">
        <w:tab/>
        <w:t>В специальном положении 369 было предложено использовать слово «р</w:t>
      </w:r>
      <w:r w:rsidRPr="00B66F03">
        <w:t>а</w:t>
      </w:r>
      <w:r w:rsidRPr="00B66F03">
        <w:t>диоактивность» вместо слов «радиоактивный материал», поскольку речь идет о свойстве, а не о материале. Этот вопрос необходимо довести до сведения Подк</w:t>
      </w:r>
      <w:r w:rsidRPr="00B66F03">
        <w:t>о</w:t>
      </w:r>
      <w:r w:rsidRPr="00B66F03">
        <w:t>митета экспертов Организации Объединенных Наций.</w:t>
      </w:r>
    </w:p>
    <w:p w:rsidR="00B66F03" w:rsidRPr="00B66F03" w:rsidRDefault="00B66F03" w:rsidP="00B66F03">
      <w:pPr>
        <w:pStyle w:val="SingleTxt"/>
      </w:pPr>
      <w:r w:rsidRPr="00B66F03">
        <w:t>14.</w:t>
      </w:r>
      <w:r w:rsidRPr="00B66F03">
        <w:tab/>
        <w:t xml:space="preserve"> Было отмечено, что существующий пункт 4.1.1.19.1 МПОГ и ДОПОГ по</w:t>
      </w:r>
      <w:r w:rsidRPr="00B66F03">
        <w:t>з</w:t>
      </w:r>
      <w:r w:rsidRPr="00B66F03">
        <w:t>воляет использовать КСГМГ в качестве аварийной тары. Согласование с Тип</w:t>
      </w:r>
      <w:r w:rsidRPr="00B66F03">
        <w:t>о</w:t>
      </w:r>
      <w:r w:rsidRPr="00B66F03">
        <w:t>выми правилами ООН более не позволит делать это, и в этой связи было предл</w:t>
      </w:r>
      <w:r w:rsidRPr="00B66F03">
        <w:t>о</w:t>
      </w:r>
      <w:r w:rsidRPr="00B66F03">
        <w:t>жено проконсультироваться с соответствующей отраслью, прежде чем принимать решение о предлагаемом согласовании, так как Подкомитет экспертов Организ</w:t>
      </w:r>
      <w:r w:rsidRPr="00B66F03">
        <w:t>а</w:t>
      </w:r>
      <w:r w:rsidRPr="00B66F03">
        <w:t>ции Объединенных Наций, возможно, не учел потребности отрасли по перер</w:t>
      </w:r>
      <w:r w:rsidRPr="00B66F03">
        <w:t>а</w:t>
      </w:r>
      <w:r w:rsidRPr="00B66F03">
        <w:t>ботке отходов.</w:t>
      </w:r>
    </w:p>
    <w:p w:rsidR="00B66F03" w:rsidRPr="00B66F03" w:rsidRDefault="00B66F03" w:rsidP="00B66F03">
      <w:pPr>
        <w:pStyle w:val="SingleTxt"/>
      </w:pPr>
      <w:r w:rsidRPr="00B66F03">
        <w:t>15.</w:t>
      </w:r>
      <w:r w:rsidRPr="00B66F03">
        <w:tab/>
        <w:t xml:space="preserve">Что касается ссылки на стандарт </w:t>
      </w:r>
      <w:r w:rsidRPr="00B66F03">
        <w:rPr>
          <w:lang w:val="fr-CH"/>
        </w:rPr>
        <w:t>ISO</w:t>
      </w:r>
      <w:r w:rsidRPr="00B66F03">
        <w:t xml:space="preserve"> 24431:2006 в инструкции по упаковке </w:t>
      </w:r>
      <w:r w:rsidRPr="00B66F03">
        <w:rPr>
          <w:lang w:val="fr-CH"/>
        </w:rPr>
        <w:t>P</w:t>
      </w:r>
      <w:r w:rsidRPr="00B66F03">
        <w:t xml:space="preserve">200 (11), то Совместное совещание исключило ПРИМЕЧАНИЕ ввиду отсутствия варианта </w:t>
      </w:r>
      <w:r w:rsidRPr="00B66F03">
        <w:rPr>
          <w:lang w:val="en-US"/>
        </w:rPr>
        <w:t>EN</w:t>
      </w:r>
      <w:r w:rsidRPr="00B66F03">
        <w:t xml:space="preserve"> данного стандарта. Вместе с тем было отмечено, что в настоящее время готовится новый вариант этого стандарта, который должен быть опубликован в 2016 году.</w:t>
      </w:r>
    </w:p>
    <w:p w:rsidR="00B66F03" w:rsidRPr="00B66F03" w:rsidRDefault="00B66F03" w:rsidP="00B66F03">
      <w:pPr>
        <w:pStyle w:val="SingleTxt"/>
      </w:pPr>
      <w:r w:rsidRPr="00B66F03">
        <w:t>16.</w:t>
      </w:r>
      <w:r w:rsidRPr="00B66F03">
        <w:tab/>
        <w:t>Совместное совещание подтвердило, что термин «непроводящий», испол</w:t>
      </w:r>
      <w:r w:rsidRPr="00B66F03">
        <w:t>ь</w:t>
      </w:r>
      <w:r w:rsidRPr="00B66F03">
        <w:t xml:space="preserve">зуемый в инструкции по упаковке </w:t>
      </w:r>
      <w:r w:rsidRPr="00B66F03">
        <w:rPr>
          <w:lang w:val="fr-CH"/>
        </w:rPr>
        <w:t>P</w:t>
      </w:r>
      <w:r w:rsidRPr="00B66F03">
        <w:t xml:space="preserve">910 (1) </w:t>
      </w:r>
      <w:r w:rsidRPr="00B66F03">
        <w:rPr>
          <w:lang w:val="fr-CH"/>
        </w:rPr>
        <w:t>c</w:t>
      </w:r>
      <w:r w:rsidRPr="00B66F03">
        <w:t>), обозначает электрическую пров</w:t>
      </w:r>
      <w:r w:rsidRPr="00B66F03">
        <w:t>о</w:t>
      </w:r>
      <w:r w:rsidRPr="00B66F03">
        <w:t>димость, а не теплопроводность. Была высказана мысль о том, что было бы п</w:t>
      </w:r>
      <w:r w:rsidRPr="00B66F03">
        <w:t>о</w:t>
      </w:r>
      <w:r w:rsidRPr="00B66F03">
        <w:t>лезным предусмотреть определение данного термина, однако в этом случае нео</w:t>
      </w:r>
      <w:r w:rsidRPr="00B66F03">
        <w:t>б</w:t>
      </w:r>
      <w:r w:rsidRPr="00B66F03">
        <w:t>ходимо было бы поставить данный вопрос в Подкомитете экспертов Организ</w:t>
      </w:r>
      <w:r w:rsidRPr="00B66F03">
        <w:t>а</w:t>
      </w:r>
      <w:r w:rsidRPr="00B66F03">
        <w:t>ции Объединенных Наций. Этот термин также используется в других положен</w:t>
      </w:r>
      <w:r w:rsidRPr="00B66F03">
        <w:t>и</w:t>
      </w:r>
      <w:r w:rsidRPr="00B66F03">
        <w:t xml:space="preserve">ях, в частности в инструкциях </w:t>
      </w:r>
      <w:r w:rsidRPr="00B66F03">
        <w:rPr>
          <w:lang w:val="fr-CH"/>
        </w:rPr>
        <w:t>P</w:t>
      </w:r>
      <w:r w:rsidRPr="00B66F03">
        <w:t xml:space="preserve">908, </w:t>
      </w:r>
      <w:r w:rsidRPr="00B66F03">
        <w:rPr>
          <w:lang w:val="fr-CH"/>
        </w:rPr>
        <w:t>P</w:t>
      </w:r>
      <w:r w:rsidRPr="00B66F03">
        <w:t xml:space="preserve">909 и </w:t>
      </w:r>
      <w:r w:rsidRPr="00B66F03">
        <w:rPr>
          <w:lang w:val="fr-CH"/>
        </w:rPr>
        <w:t>LP</w:t>
      </w:r>
      <w:r w:rsidRPr="00B66F03">
        <w:t>904.</w:t>
      </w:r>
    </w:p>
    <w:p w:rsidR="00B66F03" w:rsidRPr="00B66F03" w:rsidRDefault="00B66F03" w:rsidP="00B66F03">
      <w:pPr>
        <w:pStyle w:val="SingleTxt"/>
      </w:pPr>
      <w:r w:rsidRPr="00B66F03">
        <w:t>17.</w:t>
      </w:r>
      <w:r w:rsidRPr="00B66F03">
        <w:tab/>
        <w:t>В отношении маркировочного знака литиевых батарей, предусмотренного в подразделе 5.2.1.9, было отмечено, что пропорциональное уменьшение размеров допускается, если этого требуют габариты упаковки. Было предложено пред</w:t>
      </w:r>
      <w:r w:rsidRPr="00B66F03">
        <w:t>у</w:t>
      </w:r>
      <w:r w:rsidRPr="00B66F03">
        <w:t>смотреть также возможность пропорционального уменьшения знаков опасности в целом. Вместе с тем было отмечено, что Подкомитету экспертов Организации Объединенных Наций было представлено предложение Германии на этот счет (</w:t>
      </w:r>
      <w:r w:rsidRPr="00B66F03">
        <w:rPr>
          <w:lang w:val="fr-CH"/>
        </w:rPr>
        <w:t>ST</w:t>
      </w:r>
      <w:r w:rsidRPr="00B66F03">
        <w:t>/</w:t>
      </w:r>
      <w:r w:rsidRPr="00B66F03">
        <w:rPr>
          <w:lang w:val="fr-CH"/>
        </w:rPr>
        <w:t>SG</w:t>
      </w:r>
      <w:r w:rsidRPr="00B66F03">
        <w:t>/</w:t>
      </w:r>
      <w:r w:rsidRPr="00B66F03">
        <w:rPr>
          <w:lang w:val="fr-CH"/>
        </w:rPr>
        <w:t>AC</w:t>
      </w:r>
      <w:r w:rsidRPr="00B66F03">
        <w:t>.10/</w:t>
      </w:r>
      <w:r w:rsidRPr="00B66F03">
        <w:rPr>
          <w:lang w:val="fr-CH"/>
        </w:rPr>
        <w:t>C</w:t>
      </w:r>
      <w:r w:rsidRPr="00B66F03">
        <w:t>.3/2015/30) и представляется неправильным предвосхищать его решение.</w:t>
      </w:r>
    </w:p>
    <w:p w:rsidR="00B66F03" w:rsidRPr="00B66F03" w:rsidRDefault="00B66F03" w:rsidP="00B66F03">
      <w:pPr>
        <w:pStyle w:val="SingleTxt"/>
      </w:pPr>
      <w:r w:rsidRPr="00B66F03">
        <w:t>18.</w:t>
      </w:r>
      <w:r w:rsidRPr="00B66F03">
        <w:tab/>
        <w:t>В связи с пунктом 5.3.6.2 Совместное совещание сочло, что возможность использования маркировочных знаков уменьшенных размеров для веществ, п</w:t>
      </w:r>
      <w:r w:rsidRPr="00B66F03">
        <w:t>е</w:t>
      </w:r>
      <w:r w:rsidRPr="00B66F03">
        <w:t>ревозимых при повышенной температуре, на переносных цистернах вместим</w:t>
      </w:r>
      <w:r w:rsidRPr="00B66F03">
        <w:t>о</w:t>
      </w:r>
      <w:r w:rsidRPr="00B66F03">
        <w:t xml:space="preserve">стью не более 3 000 литров, должна быть распространена на контейнеры-цистерны. Вопрос о том, должна ли эта возможность быть также распространена на автоцистерны и вагоны-цистерны, относится к компетенции Группы </w:t>
      </w:r>
      <w:r w:rsidRPr="00B66F03">
        <w:rPr>
          <w:lang w:val="fr-CH"/>
        </w:rPr>
        <w:t>WP</w:t>
      </w:r>
      <w:r w:rsidRPr="00B66F03">
        <w:t>.15 и Комиссии экспертов МПОГ, учитывая то, что в этих случаях маркировочный знак может наноситься непосредственно на транспортное средство или вагон и не обязательно на саму цистерну.</w:t>
      </w:r>
    </w:p>
    <w:p w:rsidR="00B66F03" w:rsidRPr="00B66F03" w:rsidRDefault="00B66F03" w:rsidP="00B66F03">
      <w:pPr>
        <w:pStyle w:val="SingleTxt"/>
      </w:pPr>
      <w:r w:rsidRPr="00B66F03">
        <w:t>19.</w:t>
      </w:r>
      <w:r w:rsidRPr="00B66F03">
        <w:tab/>
        <w:t>В связи с пунктом 12 доклада, касающимся побочных продуктов плавки алюминия, Совместное совещание решило не исключать требование в отнош</w:t>
      </w:r>
      <w:r w:rsidRPr="00B66F03">
        <w:t>е</w:t>
      </w:r>
      <w:r w:rsidRPr="00B66F03">
        <w:t xml:space="preserve">нии нанесения предупреждающего знака. </w:t>
      </w:r>
    </w:p>
    <w:p w:rsidR="00B66F03" w:rsidRPr="00B66F03" w:rsidRDefault="00B66F03" w:rsidP="00B66F03">
      <w:pPr>
        <w:pStyle w:val="SingleTxt"/>
      </w:pPr>
      <w:r w:rsidRPr="00B66F03">
        <w:t>20.</w:t>
      </w:r>
      <w:r w:rsidRPr="00B66F03">
        <w:tab/>
      </w:r>
      <w:proofErr w:type="gramStart"/>
      <w:r w:rsidRPr="00B66F03">
        <w:t>В отношении подраздела 5.1.2.1 Совместное совещание сочло, что было бы целесообразно использовать формулировку, приближенную к нынешнему тексту, а именно не требовать нанесения надлежащего отгрузочного наименования или надлежащих отгрузочных наименований либо некоторых других маркировочных знаков, которые в настоящее время не предписаны для транспортных пакетов, и тем самым избегать дублирования маркировочных знаков и знаков опасности.</w:t>
      </w:r>
      <w:proofErr w:type="gramEnd"/>
      <w:r w:rsidRPr="00B66F03">
        <w:t xml:space="preserve"> </w:t>
      </w:r>
      <w:r w:rsidR="00FE71C6">
        <w:br/>
      </w:r>
      <w:r w:rsidRPr="00B66F03">
        <w:t xml:space="preserve">В конечном итоге в подраздел 5.1.2.1 были внесены поправки в соответствии с </w:t>
      </w:r>
      <w:r w:rsidRPr="00B66F03">
        <w:lastRenderedPageBreak/>
        <w:t>предложением Германии, содержащимся в документе INF.37, с некоторыми н</w:t>
      </w:r>
      <w:r w:rsidRPr="00B66F03">
        <w:t>е</w:t>
      </w:r>
      <w:r w:rsidRPr="00B66F03">
        <w:t>значительными изменениями (см. приложение I).</w:t>
      </w:r>
    </w:p>
    <w:p w:rsidR="00B66F03" w:rsidRPr="00B66F03" w:rsidRDefault="00B66F03">
      <w:pPr>
        <w:pStyle w:val="SingleTxt"/>
      </w:pPr>
      <w:r w:rsidRPr="00B66F03">
        <w:t>21.</w:t>
      </w:r>
      <w:r w:rsidRPr="00B66F03">
        <w:tab/>
        <w:t>В отношении поправок к подпункту а) пункта 5.2.2.2.1.3 и пун</w:t>
      </w:r>
      <w:r w:rsidRPr="00B66F03">
        <w:t>к</w:t>
      </w:r>
      <w:r w:rsidRPr="00B66F03">
        <w:t>ту</w:t>
      </w:r>
      <w:r w:rsidR="00A047E8">
        <w:rPr>
          <w:lang w:val="en-US"/>
        </w:rPr>
        <w:t> </w:t>
      </w:r>
      <w:r w:rsidRPr="00B66F03">
        <w:t>5.2.2.2.1.5, касающихся образца знака опасности № 9A, Совместное совещ</w:t>
      </w:r>
      <w:r w:rsidRPr="00B66F03">
        <w:t>а</w:t>
      </w:r>
      <w:r w:rsidRPr="00B66F03">
        <w:t>ние, после первоначального обсуждения, предпочло внести поправки только в пункт 5.2.2.2.1.3, как это было предложено секретариатом в неофициальном д</w:t>
      </w:r>
      <w:r w:rsidRPr="00B66F03">
        <w:t>о</w:t>
      </w:r>
      <w:r w:rsidRPr="00B66F03">
        <w:t>кументе INF.36 (см. приложение I).</w:t>
      </w:r>
    </w:p>
    <w:p w:rsidR="00B66F03" w:rsidRPr="00B66F03" w:rsidRDefault="00B66F03">
      <w:pPr>
        <w:pStyle w:val="SingleTxt"/>
      </w:pPr>
      <w:r w:rsidRPr="00B66F03">
        <w:t>22.</w:t>
      </w:r>
      <w:r w:rsidRPr="00B66F03">
        <w:tab/>
        <w:t>В отношении знака опасности № 9А Совместное совещание приняло к св</w:t>
      </w:r>
      <w:r w:rsidRPr="00B66F03">
        <w:t>е</w:t>
      </w:r>
      <w:r w:rsidRPr="00B66F03">
        <w:t>дению замечание секретариата ОТИФ, содержащееся в неофициальном докуме</w:t>
      </w:r>
      <w:r w:rsidRPr="00B66F03">
        <w:t>н</w:t>
      </w:r>
      <w:r w:rsidRPr="00B66F03">
        <w:t>те INF.9, о том, что необходимо внести изменения также и в образец письменных инструкций в подразделе 5.4.3.4. Оно решило ограничиться тем, чтобы включить образец знака опасности № 9А в колонку (1) и привести текст колонки (2) МПОГ в соответствие с текстом ДОПОГ. Кроме того, оно приняло поправки к подпункту</w:t>
      </w:r>
      <w:r w:rsidR="00A047E8">
        <w:rPr>
          <w:lang w:val="en-US"/>
        </w:rPr>
        <w:t> </w:t>
      </w:r>
      <w:r w:rsidRPr="00B66F03">
        <w:t>с) пункта 5.4.1.1.1, предложенные в указанном неофициальном док</w:t>
      </w:r>
      <w:r w:rsidRPr="00B66F03">
        <w:t>у</w:t>
      </w:r>
      <w:r w:rsidRPr="00B66F03">
        <w:t>менте (см. приложение I).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B.</w:t>
      </w:r>
      <w:r w:rsidRPr="00B66F03">
        <w:tab/>
        <w:t>Использование термина «грузовая транспортная единица»</w:t>
      </w:r>
    </w:p>
    <w:p w:rsidR="00A047E8" w:rsidRPr="00B63846" w:rsidRDefault="00A047E8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Документ:</w:t>
      </w:r>
      <w:r w:rsidRPr="00B66F03">
        <w:tab/>
      </w:r>
      <w:r w:rsidRPr="00B66F03">
        <w:tab/>
      </w:r>
      <w:r w:rsidR="00A047E8" w:rsidRPr="00B63846">
        <w:tab/>
      </w:r>
      <w:r w:rsidR="00A047E8" w:rsidRPr="00B63846">
        <w:tab/>
      </w:r>
      <w:r w:rsidRPr="00B66F03">
        <w:t>ECE/TRANS/WP.15/AC.1/2015/29 (секретариат)</w:t>
      </w:r>
    </w:p>
    <w:p w:rsidR="00B66F03" w:rsidRPr="00B66F03" w:rsidRDefault="00B66F03" w:rsidP="00B66F03">
      <w:pPr>
        <w:pStyle w:val="SingleTxt"/>
      </w:pPr>
      <w:r w:rsidRPr="00B66F03">
        <w:t>23.</w:t>
      </w:r>
      <w:r w:rsidRPr="00B66F03">
        <w:tab/>
        <w:t>Первая часть документа была составлена по результатам обсуждений в ра</w:t>
      </w:r>
      <w:r w:rsidRPr="00B66F03">
        <w:t>м</w:t>
      </w:r>
      <w:r w:rsidRPr="00B66F03">
        <w:t>ках Специальной рабочей группы по согласованию (ECE/TRANS/WP.15/AC.1/</w:t>
      </w:r>
      <w:r w:rsidR="00A047E8" w:rsidRPr="00B63846">
        <w:t xml:space="preserve"> </w:t>
      </w:r>
      <w:r w:rsidRPr="00B66F03">
        <w:t>2015/23, пункт 15).</w:t>
      </w:r>
    </w:p>
    <w:p w:rsidR="00B66F03" w:rsidRPr="00B66F03" w:rsidRDefault="00B66F03" w:rsidP="00B66F03">
      <w:pPr>
        <w:pStyle w:val="SingleTxt"/>
      </w:pPr>
      <w:r w:rsidRPr="00B66F03">
        <w:t>24.</w:t>
      </w:r>
      <w:r w:rsidRPr="00B66F03">
        <w:tab/>
        <w:t>Некоторые делегации высказались в пользу более частого применения этого термина в МПОГ/ДОПОГ/ВОПОГ в тех случаях, когда он используется в Тип</w:t>
      </w:r>
      <w:r w:rsidRPr="00B66F03">
        <w:t>о</w:t>
      </w:r>
      <w:r w:rsidRPr="00B66F03">
        <w:t>вых правилах ООН. Другие делегации проявили определенную сдержанность в этом вопросе, поскольку они сочли, что было бы удобнее для пользователей уп</w:t>
      </w:r>
      <w:r w:rsidRPr="00B66F03">
        <w:t>о</w:t>
      </w:r>
      <w:r w:rsidRPr="00B66F03">
        <w:t>треблять термины, соответствующие конкретным грузовым транспортным ед</w:t>
      </w:r>
      <w:r w:rsidRPr="00B66F03">
        <w:t>и</w:t>
      </w:r>
      <w:r w:rsidRPr="00B66F03">
        <w:t>ницам, охватываемым тем или иным положением.</w:t>
      </w:r>
    </w:p>
    <w:p w:rsidR="00B66F03" w:rsidRPr="00B66F03" w:rsidRDefault="00B66F03" w:rsidP="00B66F03">
      <w:pPr>
        <w:pStyle w:val="SingleTxt"/>
      </w:pPr>
      <w:r w:rsidRPr="00B66F03">
        <w:t>25.</w:t>
      </w:r>
      <w:r w:rsidRPr="00B66F03">
        <w:tab/>
        <w:t>В конечном итоге было решено изменить определение грузовой транспор</w:t>
      </w:r>
      <w:r w:rsidRPr="00B66F03">
        <w:t>т</w:t>
      </w:r>
      <w:r w:rsidRPr="00B66F03">
        <w:t>ной единицы, с тем чтобы охватить все транспортные единицы, которые могли бы быть использованы в рамках МПОГ, ДОПОГ и ВОПОГ, и исключить вход</w:t>
      </w:r>
      <w:r w:rsidRPr="00B66F03">
        <w:t>я</w:t>
      </w:r>
      <w:r w:rsidRPr="00B66F03">
        <w:t xml:space="preserve">щее в настоящее время в данное определение ПРИМЕЧАНИЕ, однако пока еще использовать этот термин только в определенных случаях, когда это считается целесообразным, </w:t>
      </w:r>
      <w:proofErr w:type="gramStart"/>
      <w:r w:rsidRPr="00B66F03">
        <w:t>например</w:t>
      </w:r>
      <w:proofErr w:type="gramEnd"/>
      <w:r w:rsidRPr="00B66F03">
        <w:t xml:space="preserve"> в инструкциях по упаковке (см. приложение I). Поз</w:t>
      </w:r>
      <w:r w:rsidRPr="00B66F03">
        <w:t>д</w:t>
      </w:r>
      <w:r w:rsidRPr="00B66F03">
        <w:t>нее было бы желательно подробнее изучить проделанную секретариатом работу на предмет возможного использования этого термина в других местах.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С.</w:t>
      </w:r>
      <w:r w:rsidRPr="00B66F03">
        <w:tab/>
        <w:t>Использование терминов «маркировочный знак» и «маркировка»</w:t>
      </w:r>
    </w:p>
    <w:p w:rsidR="00A047E8" w:rsidRPr="00B63846" w:rsidRDefault="00A047E8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Документ:</w:t>
      </w:r>
      <w:r w:rsidRPr="00B66F03">
        <w:tab/>
      </w:r>
      <w:r w:rsidRPr="00B66F03">
        <w:tab/>
      </w:r>
      <w:r w:rsidRPr="00B66F03">
        <w:tab/>
      </w:r>
      <w:r w:rsidRPr="00B66F03">
        <w:tab/>
        <w:t>ECE/TRANS/WP.15/AC.1/2015/29 (секретариат)</w:t>
      </w: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Неофициальный документ:</w:t>
      </w:r>
      <w:r w:rsidRPr="00B66F03">
        <w:t xml:space="preserve"> </w:t>
      </w:r>
      <w:r w:rsidRPr="00B66F03">
        <w:tab/>
        <w:t>INF.8 (секретариат ОТИФ)</w:t>
      </w:r>
    </w:p>
    <w:p w:rsidR="00B66F03" w:rsidRPr="00B66F03" w:rsidRDefault="00B66F03" w:rsidP="00B66F03">
      <w:pPr>
        <w:pStyle w:val="SingleTxt"/>
      </w:pPr>
      <w:r w:rsidRPr="00B66F03">
        <w:t>26.</w:t>
      </w:r>
      <w:r w:rsidRPr="00B66F03">
        <w:tab/>
        <w:t>Вторая часть документа ECE/TRANS/WP.15/AC.1/2015/29 и неофициальный документ INF.38 также были составлены по результатам обсуждений в рамках Специальной рабочей группы по согласованию (ECE/TRANS/WP.15/AC.1/</w:t>
      </w:r>
      <w:r w:rsidR="00A047E8" w:rsidRPr="00B63846">
        <w:t xml:space="preserve"> </w:t>
      </w:r>
      <w:r w:rsidRPr="00B66F03">
        <w:t>2015/23, пункт 19). Соответствующие предложения были приняты с некоторыми изменениями (см. приложение I).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FE71C6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66F03" w:rsidRPr="00B66F03">
        <w:lastRenderedPageBreak/>
        <w:tab/>
      </w:r>
      <w:r w:rsidR="00B66F03" w:rsidRPr="00B66F03">
        <w:rPr>
          <w:lang w:val="en-US"/>
        </w:rPr>
        <w:t>D</w:t>
      </w:r>
      <w:r w:rsidR="00B66F03" w:rsidRPr="00B66F03">
        <w:t>.</w:t>
      </w:r>
      <w:r w:rsidR="00B66F03" w:rsidRPr="00B66F03">
        <w:tab/>
        <w:t>Перевозка транспортных средств, двигателей и машин</w:t>
      </w:r>
    </w:p>
    <w:p w:rsidR="00A047E8" w:rsidRPr="00B63846" w:rsidRDefault="00A047E8" w:rsidP="00B63846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B66F03" w:rsidRPr="00B66F03" w:rsidRDefault="00B66F03" w:rsidP="00B63846">
      <w:pPr>
        <w:pStyle w:val="SingleTxt"/>
        <w:ind w:left="4133" w:hanging="2866"/>
        <w:jc w:val="left"/>
        <w:rPr>
          <w:bCs/>
        </w:rPr>
      </w:pPr>
      <w:r w:rsidRPr="00B66F03">
        <w:rPr>
          <w:bCs/>
          <w:i/>
          <w:iCs/>
        </w:rPr>
        <w:t>Документ:</w:t>
      </w:r>
      <w:r w:rsidRPr="00B66F03">
        <w:rPr>
          <w:b/>
        </w:rPr>
        <w:tab/>
      </w:r>
      <w:r w:rsidRPr="00B66F03">
        <w:rPr>
          <w:b/>
        </w:rPr>
        <w:tab/>
      </w:r>
      <w:r w:rsidRPr="00B66F03">
        <w:rPr>
          <w:b/>
        </w:rPr>
        <w:tab/>
      </w:r>
      <w:r w:rsidRPr="00B66F03">
        <w:rPr>
          <w:b/>
        </w:rPr>
        <w:tab/>
      </w:r>
      <w:r w:rsidRPr="00B66F03">
        <w:rPr>
          <w:bCs/>
          <w:lang w:val="fr-FR"/>
        </w:rPr>
        <w:t>ECE</w:t>
      </w:r>
      <w:r w:rsidRPr="00B66F03">
        <w:rPr>
          <w:bCs/>
        </w:rPr>
        <w:t>/</w:t>
      </w:r>
      <w:r w:rsidRPr="00B66F03">
        <w:rPr>
          <w:bCs/>
          <w:lang w:val="fr-FR"/>
        </w:rPr>
        <w:t>TRANS</w:t>
      </w:r>
      <w:r w:rsidRPr="00B66F03">
        <w:rPr>
          <w:bCs/>
        </w:rPr>
        <w:t>/</w:t>
      </w:r>
      <w:r w:rsidRPr="00B66F03">
        <w:rPr>
          <w:bCs/>
          <w:lang w:val="fr-FR"/>
        </w:rPr>
        <w:t>WP</w:t>
      </w:r>
      <w:r w:rsidRPr="00B66F03">
        <w:rPr>
          <w:bCs/>
        </w:rPr>
        <w:t>.15/</w:t>
      </w:r>
      <w:r w:rsidRPr="00B66F03">
        <w:rPr>
          <w:bCs/>
          <w:lang w:val="fr-FR"/>
        </w:rPr>
        <w:t>AC</w:t>
      </w:r>
      <w:r w:rsidRPr="00B66F03">
        <w:rPr>
          <w:bCs/>
        </w:rPr>
        <w:t>.1/2015/23/</w:t>
      </w:r>
      <w:proofErr w:type="spellStart"/>
      <w:r w:rsidRPr="00B66F03">
        <w:rPr>
          <w:bCs/>
          <w:lang w:val="fr-FR"/>
        </w:rPr>
        <w:t>Add</w:t>
      </w:r>
      <w:proofErr w:type="spellEnd"/>
      <w:r w:rsidRPr="00B66F03">
        <w:rPr>
          <w:bCs/>
        </w:rPr>
        <w:t xml:space="preserve">.1 </w:t>
      </w:r>
      <w:r w:rsidRPr="00B66F03">
        <w:rPr>
          <w:bCs/>
        </w:rPr>
        <w:br/>
        <w:t xml:space="preserve">(Доклад Специальной рабочей группы </w:t>
      </w:r>
      <w:r w:rsidRPr="00B66F03">
        <w:rPr>
          <w:bCs/>
        </w:rPr>
        <w:br/>
        <w:t>по согласованию)</w:t>
      </w:r>
    </w:p>
    <w:p w:rsidR="00B66F03" w:rsidRPr="00B66F03" w:rsidRDefault="00B66F03" w:rsidP="00FE71C6">
      <w:pPr>
        <w:pStyle w:val="SingleTxt"/>
        <w:ind w:left="4133" w:hanging="2866"/>
        <w:jc w:val="left"/>
        <w:rPr>
          <w:bCs/>
        </w:rPr>
      </w:pPr>
      <w:r w:rsidRPr="00B66F03">
        <w:rPr>
          <w:bCs/>
          <w:i/>
          <w:iCs/>
        </w:rPr>
        <w:t>Неофициальные документы:</w:t>
      </w:r>
      <w:r w:rsidRPr="00B66F03">
        <w:rPr>
          <w:bCs/>
          <w:i/>
          <w:iCs/>
        </w:rPr>
        <w:tab/>
      </w:r>
      <w:r w:rsidRPr="00B66F03">
        <w:rPr>
          <w:bCs/>
          <w:lang w:val="fr-FR"/>
        </w:rPr>
        <w:t>INF</w:t>
      </w:r>
      <w:r w:rsidRPr="00B66F03">
        <w:rPr>
          <w:bCs/>
        </w:rPr>
        <w:t xml:space="preserve">.12 и </w:t>
      </w:r>
      <w:r w:rsidRPr="00B66F03">
        <w:rPr>
          <w:bCs/>
          <w:lang w:val="fr-FR"/>
        </w:rPr>
        <w:t>INF</w:t>
      </w:r>
      <w:r w:rsidRPr="00B66F03">
        <w:rPr>
          <w:bCs/>
        </w:rPr>
        <w:t>.12/</w:t>
      </w:r>
      <w:proofErr w:type="spellStart"/>
      <w:r w:rsidRPr="00B66F03">
        <w:rPr>
          <w:bCs/>
          <w:lang w:val="fr-FR"/>
        </w:rPr>
        <w:t>Add</w:t>
      </w:r>
      <w:proofErr w:type="spellEnd"/>
      <w:r w:rsidRPr="00B66F03">
        <w:rPr>
          <w:bCs/>
        </w:rPr>
        <w:t>.1 (Франция</w:t>
      </w:r>
      <w:proofErr w:type="gramStart"/>
      <w:r w:rsidRPr="00B66F03">
        <w:rPr>
          <w:bCs/>
        </w:rPr>
        <w:t>)</w:t>
      </w:r>
      <w:proofErr w:type="gramEnd"/>
      <w:r w:rsidRPr="00B66F03">
        <w:rPr>
          <w:bCs/>
        </w:rPr>
        <w:br/>
      </w:r>
      <w:r w:rsidRPr="00B66F03">
        <w:rPr>
          <w:bCs/>
          <w:lang w:val="fr-FR"/>
        </w:rPr>
        <w:t>INF</w:t>
      </w:r>
      <w:r w:rsidRPr="00B66F03">
        <w:rPr>
          <w:bCs/>
        </w:rPr>
        <w:t>.26 (Германия)</w:t>
      </w:r>
      <w:r w:rsidRPr="00B66F03">
        <w:rPr>
          <w:bCs/>
        </w:rPr>
        <w:br/>
      </w:r>
      <w:r w:rsidRPr="00B66F03">
        <w:rPr>
          <w:bCs/>
          <w:lang w:val="fr-FR"/>
        </w:rPr>
        <w:t>INF</w:t>
      </w:r>
      <w:r w:rsidRPr="00B66F03">
        <w:rPr>
          <w:bCs/>
        </w:rPr>
        <w:t>.35 (Швейцария)</w:t>
      </w:r>
      <w:r w:rsidRPr="00B66F03">
        <w:rPr>
          <w:bCs/>
        </w:rPr>
        <w:br/>
      </w:r>
      <w:r w:rsidRPr="00B66F03">
        <w:rPr>
          <w:bCs/>
          <w:lang w:val="fr-FR"/>
        </w:rPr>
        <w:t>INF</w:t>
      </w:r>
      <w:r w:rsidRPr="00B66F03">
        <w:rPr>
          <w:bCs/>
        </w:rPr>
        <w:t>.38 (МОПАП/Германия)</w:t>
      </w:r>
      <w:r w:rsidR="00A047E8" w:rsidRPr="00B63846">
        <w:rPr>
          <w:bCs/>
        </w:rPr>
        <w:br/>
      </w:r>
      <w:r w:rsidRPr="00B66F03">
        <w:rPr>
          <w:bCs/>
          <w:lang w:val="fr-FR"/>
        </w:rPr>
        <w:t>INF</w:t>
      </w:r>
      <w:r w:rsidRPr="00B66F03">
        <w:rPr>
          <w:bCs/>
        </w:rPr>
        <w:t>.39 (Франция, от имени редакционной группы)</w:t>
      </w:r>
    </w:p>
    <w:p w:rsidR="00B66F03" w:rsidRPr="00B66F03" w:rsidRDefault="00B66F03" w:rsidP="00B66F03">
      <w:pPr>
        <w:pStyle w:val="SingleTxt"/>
        <w:rPr>
          <w:bCs/>
        </w:rPr>
      </w:pPr>
      <w:r w:rsidRPr="00B66F03">
        <w:rPr>
          <w:bCs/>
        </w:rPr>
        <w:t>27.</w:t>
      </w:r>
      <w:r w:rsidRPr="00B66F03">
        <w:rPr>
          <w:bCs/>
        </w:rPr>
        <w:tab/>
        <w:t>Совместное совещание решило рассмотреть этот вопрос на основе неоф</w:t>
      </w:r>
      <w:r w:rsidRPr="00B66F03">
        <w:rPr>
          <w:bCs/>
        </w:rPr>
        <w:t>и</w:t>
      </w:r>
      <w:r w:rsidRPr="00B66F03">
        <w:rPr>
          <w:bCs/>
        </w:rPr>
        <w:t xml:space="preserve">циального документа </w:t>
      </w:r>
      <w:r w:rsidRPr="00B66F03">
        <w:rPr>
          <w:bCs/>
          <w:lang w:val="fr-FR"/>
        </w:rPr>
        <w:t>INF</w:t>
      </w:r>
      <w:r w:rsidRPr="00B66F03">
        <w:rPr>
          <w:bCs/>
        </w:rPr>
        <w:t>.12/</w:t>
      </w:r>
      <w:proofErr w:type="spellStart"/>
      <w:r w:rsidRPr="00B66F03">
        <w:rPr>
          <w:bCs/>
          <w:lang w:val="fr-FR"/>
        </w:rPr>
        <w:t>Add</w:t>
      </w:r>
      <w:proofErr w:type="spellEnd"/>
      <w:r w:rsidRPr="00B66F03">
        <w:rPr>
          <w:bCs/>
        </w:rPr>
        <w:t>.1, представленного Францией.</w:t>
      </w:r>
    </w:p>
    <w:p w:rsidR="00B66F03" w:rsidRPr="00B66F03" w:rsidRDefault="00B66F03" w:rsidP="00B66F03">
      <w:pPr>
        <w:pStyle w:val="SingleTxt"/>
      </w:pPr>
      <w:r w:rsidRPr="00B66F03">
        <w:t>28.</w:t>
      </w:r>
      <w:r w:rsidRPr="00B66F03">
        <w:tab/>
        <w:t xml:space="preserve">Предложение об изменении специального положения 363 было принято в отношении пунктов </w:t>
      </w:r>
      <w:r w:rsidRPr="00B66F03">
        <w:rPr>
          <w:lang w:val="fr-CH"/>
        </w:rPr>
        <w:t>a</w:t>
      </w:r>
      <w:r w:rsidRPr="00B66F03">
        <w:t>)–</w:t>
      </w:r>
      <w:r w:rsidRPr="00B66F03">
        <w:rPr>
          <w:lang w:val="fr-CH"/>
        </w:rPr>
        <w:t>f</w:t>
      </w:r>
      <w:r w:rsidRPr="00B66F03">
        <w:t>) с некоторыми поправками редакционного характера (см. приложение I).</w:t>
      </w:r>
    </w:p>
    <w:p w:rsidR="00B66F03" w:rsidRPr="00B66F03" w:rsidRDefault="00B66F03">
      <w:pPr>
        <w:pStyle w:val="SingleTxt"/>
      </w:pPr>
      <w:r w:rsidRPr="00B66F03">
        <w:t>29.</w:t>
      </w:r>
      <w:r w:rsidRPr="00B66F03">
        <w:tab/>
        <w:t xml:space="preserve">В отношении предусмотренных в пункте </w:t>
      </w:r>
      <w:r w:rsidRPr="00B66F03">
        <w:rPr>
          <w:lang w:val="fr-CH"/>
        </w:rPr>
        <w:t>g</w:t>
      </w:r>
      <w:r w:rsidRPr="00B66F03">
        <w:t>) условий для освобождения от действия требований было решено, что в случае наземных перевозок нет необх</w:t>
      </w:r>
      <w:r w:rsidRPr="00B66F03">
        <w:t>о</w:t>
      </w:r>
      <w:r w:rsidRPr="00B66F03">
        <w:t>димости требовать размещения знаков опасности для резервуаров вместимостью менее 450 л, учитывая существующие освобождения, предусмотренные в пун</w:t>
      </w:r>
      <w:r w:rsidRPr="00B66F03">
        <w:t>к</w:t>
      </w:r>
      <w:r w:rsidRPr="00B66F03">
        <w:t>те</w:t>
      </w:r>
      <w:r w:rsidR="00A047E8">
        <w:rPr>
          <w:lang w:val="en-US"/>
        </w:rPr>
        <w:t> </w:t>
      </w:r>
      <w:r w:rsidRPr="00B66F03">
        <w:t xml:space="preserve">1.1.3.1 </w:t>
      </w:r>
      <w:r w:rsidRPr="00B66F03">
        <w:rPr>
          <w:lang w:val="fr-CH"/>
        </w:rPr>
        <w:t>c</w:t>
      </w:r>
      <w:r w:rsidRPr="00B66F03">
        <w:t>) и разделе 1.3.2. Кроме того, не было принято поставленное на гол</w:t>
      </w:r>
      <w:r w:rsidRPr="00B66F03">
        <w:t>о</w:t>
      </w:r>
      <w:r w:rsidRPr="00B66F03">
        <w:t>сование устное предложение о том, чтобы в случае необходимости требовать размещения маркировочного знака вещества, опасного для водной среды.</w:t>
      </w:r>
    </w:p>
    <w:p w:rsidR="00B66F03" w:rsidRPr="00B66F03" w:rsidRDefault="00B66F03" w:rsidP="00B66F03">
      <w:pPr>
        <w:pStyle w:val="SingleTxt"/>
      </w:pPr>
      <w:r w:rsidRPr="00B66F03">
        <w:t>30.</w:t>
      </w:r>
      <w:r w:rsidRPr="00B66F03">
        <w:tab/>
        <w:t>Что касается требования о наличии транспортного документа, то Совмес</w:t>
      </w:r>
      <w:r w:rsidRPr="00B66F03">
        <w:t>т</w:t>
      </w:r>
      <w:r w:rsidRPr="00B66F03">
        <w:t>ное совещание поддержало вариант 3 (когда количество жидкого топлива или вместимость по воде, если речь идет о газах, больше 1 000 л).</w:t>
      </w:r>
    </w:p>
    <w:p w:rsidR="00B66F03" w:rsidRPr="00B66F03" w:rsidRDefault="00B66F03" w:rsidP="00B66F03">
      <w:pPr>
        <w:pStyle w:val="SingleTxt"/>
      </w:pPr>
      <w:r w:rsidRPr="00B66F03">
        <w:t>31.</w:t>
      </w:r>
      <w:r w:rsidRPr="00B66F03">
        <w:tab/>
        <w:t>Предложение о включении нового специального положения 6</w:t>
      </w:r>
      <w:r w:rsidRPr="00B66F03">
        <w:rPr>
          <w:lang w:val="fr-CH"/>
        </w:rPr>
        <w:t>XX</w:t>
      </w:r>
      <w:r w:rsidRPr="00B66F03">
        <w:t xml:space="preserve"> было пр</w:t>
      </w:r>
      <w:r w:rsidRPr="00B66F03">
        <w:t>и</w:t>
      </w:r>
      <w:r w:rsidRPr="00B66F03">
        <w:t>нято с некоторыми поправками редакционного характера (см. приложение I, сп</w:t>
      </w:r>
      <w:r w:rsidRPr="00B66F03">
        <w:t>е</w:t>
      </w:r>
      <w:r w:rsidRPr="00B66F03">
        <w:t>циальное положение 666).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32.</w:t>
      </w:r>
      <w:r w:rsidRPr="00B66F03">
        <w:rPr>
          <w:lang w:bidi="ru-RU"/>
        </w:rPr>
        <w:tab/>
      </w:r>
      <w:proofErr w:type="gramStart"/>
      <w:r w:rsidRPr="00B66F03">
        <w:rPr>
          <w:lang w:bidi="ru-RU"/>
        </w:rPr>
        <w:t>Было отмечено, что поправка к пункту а) подраздела 1.1.3.3, содержащаяся в предложении 4 в неофициальном документе INF.39, подготовлена на основе формулировки ДОПОГ; следует отдельно рассмотреть вопрос о том, необходимо ли также принимать во внимание случай прицепов к дорожным транспортным средствам в МПОГ и ВОПОГ, и каким образом это должно быть сделано.</w:t>
      </w:r>
      <w:proofErr w:type="gramEnd"/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33.</w:t>
      </w:r>
      <w:r w:rsidRPr="00B66F03">
        <w:rPr>
          <w:lang w:bidi="ru-RU"/>
        </w:rPr>
        <w:tab/>
        <w:t>Некоторые делегации сочли, что общие освобождения должны быть пред</w:t>
      </w:r>
      <w:r w:rsidRPr="00B66F03">
        <w:rPr>
          <w:lang w:bidi="ru-RU"/>
        </w:rPr>
        <w:t>у</w:t>
      </w:r>
      <w:r w:rsidRPr="00B66F03">
        <w:rPr>
          <w:lang w:bidi="ru-RU"/>
        </w:rPr>
        <w:t xml:space="preserve">смотрены в главе 1.1, а не в каком-либо специальном положении. Однако </w:t>
      </w:r>
      <w:r w:rsidRPr="00B66F03">
        <w:rPr>
          <w:bCs/>
        </w:rPr>
        <w:t>Со</w:t>
      </w:r>
      <w:r w:rsidRPr="00B66F03">
        <w:rPr>
          <w:bCs/>
        </w:rPr>
        <w:t>в</w:t>
      </w:r>
      <w:r w:rsidRPr="00B66F03">
        <w:rPr>
          <w:bCs/>
        </w:rPr>
        <w:t>местное совещание решило</w:t>
      </w:r>
      <w:r w:rsidRPr="00B66F03">
        <w:rPr>
          <w:lang w:bidi="ru-RU"/>
        </w:rPr>
        <w:t xml:space="preserve"> принять специальное положение 6YY в редакции, предложенной в неофициальном документе INF.39 </w:t>
      </w:r>
      <w:r w:rsidRPr="00B66F03">
        <w:t>(см. приложение I, специал</w:t>
      </w:r>
      <w:r w:rsidRPr="00B66F03">
        <w:t>ь</w:t>
      </w:r>
      <w:r w:rsidRPr="00B66F03">
        <w:t>ное положение 667).</w:t>
      </w:r>
      <w:r w:rsidRPr="00B66F03">
        <w:rPr>
          <w:lang w:bidi="ru-RU"/>
        </w:rPr>
        <w:t xml:space="preserve"> Сопутствующие поправки, содержащиеся в предложении 6, также были приняты с некоторыми изменениями </w:t>
      </w:r>
      <w:r w:rsidRPr="00B66F03">
        <w:t xml:space="preserve">редакционного характера </w:t>
      </w:r>
      <w:r w:rsidR="00A047E8" w:rsidRPr="00B63846">
        <w:br/>
      </w:r>
      <w:r w:rsidRPr="00B66F03">
        <w:t>(см. приложение I</w:t>
      </w:r>
      <w:r w:rsidRPr="00B66F03">
        <w:rPr>
          <w:lang w:bidi="ru-RU"/>
        </w:rPr>
        <w:t>).</w:t>
      </w:r>
    </w:p>
    <w:p w:rsidR="00B66F03" w:rsidRPr="00B66F03" w:rsidRDefault="00B66F03">
      <w:pPr>
        <w:pStyle w:val="SingleTxt"/>
        <w:rPr>
          <w:lang w:bidi="ru-RU"/>
        </w:rPr>
      </w:pPr>
      <w:r w:rsidRPr="00B66F03">
        <w:rPr>
          <w:lang w:bidi="ru-RU"/>
        </w:rPr>
        <w:t>34.</w:t>
      </w:r>
      <w:r w:rsidRPr="00B66F03">
        <w:rPr>
          <w:lang w:bidi="ru-RU"/>
        </w:rPr>
        <w:tab/>
        <w:t>Что касается варианта 2, предложенного Францией, Совместное совещание поддержало замену специальных положений 312 и 385 единым положен</w:t>
      </w:r>
      <w:r w:rsidRPr="00B66F03">
        <w:rPr>
          <w:lang w:bidi="ru-RU"/>
        </w:rPr>
        <w:t>и</w:t>
      </w:r>
      <w:r w:rsidRPr="00B66F03">
        <w:rPr>
          <w:lang w:bidi="ru-RU"/>
        </w:rPr>
        <w:t>ем</w:t>
      </w:r>
      <w:r w:rsidR="00A047E8">
        <w:rPr>
          <w:lang w:val="en-US" w:bidi="ru-RU"/>
        </w:rPr>
        <w:t> </w:t>
      </w:r>
      <w:r w:rsidRPr="00B66F03">
        <w:rPr>
          <w:lang w:bidi="ru-RU"/>
        </w:rPr>
        <w:t>6WW, однако сочло, что сначала соответствующее предложение  следует представить Подкомитету экспертов Организации Объединенных Наций.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35.</w:t>
      </w:r>
      <w:r w:rsidRPr="00B66F03">
        <w:rPr>
          <w:lang w:bidi="ru-RU"/>
        </w:rPr>
        <w:tab/>
        <w:t>Было указано на необходимость убедиться в том, что значение выражения «транспортное средство» в каждом из соответствующих специальных положений является ясным и недвусмысленным.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lastRenderedPageBreak/>
        <w:t>36.</w:t>
      </w:r>
      <w:r w:rsidRPr="00B66F03">
        <w:rPr>
          <w:lang w:bidi="ru-RU"/>
        </w:rPr>
        <w:tab/>
        <w:t>Специальное положение 6</w:t>
      </w:r>
      <w:r w:rsidRPr="00B66F03">
        <w:rPr>
          <w:lang w:val="en-US"/>
        </w:rPr>
        <w:t>ZZ</w:t>
      </w:r>
      <w:r w:rsidRPr="00B66F03">
        <w:rPr>
          <w:lang w:bidi="ru-RU"/>
        </w:rPr>
        <w:t>, касающееся внедорожной подвижной техн</w:t>
      </w:r>
      <w:r w:rsidRPr="00B66F03">
        <w:rPr>
          <w:lang w:bidi="ru-RU"/>
        </w:rPr>
        <w:t>и</w:t>
      </w:r>
      <w:r w:rsidRPr="00B66F03">
        <w:rPr>
          <w:lang w:bidi="ru-RU"/>
        </w:rPr>
        <w:t>ки, было сочтено ненужным, так как эта техника охватывается теперь новым определением транспортных средств.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IV.</w:t>
      </w:r>
      <w:r w:rsidRPr="00B66F03">
        <w:tab/>
        <w:t>Предложения о внесении поправок в МПОГ/ДОПОГ/</w:t>
      </w:r>
      <w:r w:rsidR="00A047E8" w:rsidRPr="00B63846">
        <w:t xml:space="preserve"> </w:t>
      </w:r>
      <w:r w:rsidRPr="00B66F03">
        <w:t>ВОПОГ (пункт 3 повестки дня)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A.</w:t>
      </w:r>
      <w:r w:rsidRPr="00B66F03">
        <w:tab/>
        <w:t>Нерассмотренные вопросы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1.</w:t>
      </w:r>
      <w:r w:rsidRPr="00B66F03">
        <w:tab/>
        <w:t>Транспортный документ, предназначенный для перевозки порожней неочищенной тары</w:t>
      </w:r>
    </w:p>
    <w:p w:rsidR="00A047E8" w:rsidRPr="00B63846" w:rsidRDefault="00A047E8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Документ:</w:t>
      </w:r>
      <w:r w:rsidRPr="00B66F03">
        <w:tab/>
      </w:r>
      <w:r w:rsidRPr="00B66F03">
        <w:tab/>
      </w:r>
      <w:r w:rsidRPr="00B66F03">
        <w:tab/>
      </w:r>
      <w:r w:rsidR="00A047E8" w:rsidRPr="00B63846">
        <w:tab/>
      </w:r>
      <w:r w:rsidRPr="00B66F03">
        <w:t>ECE/TRANS/WP.15/AC.1/2015/24 (Бельгия)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t>37.</w:t>
      </w:r>
      <w:r w:rsidRPr="00B66F03">
        <w:tab/>
        <w:t xml:space="preserve">Предлагаемая поправка к пункту 5.4.1.1.6.2.1 была принята </w:t>
      </w:r>
      <w:r w:rsidRPr="00B66F03">
        <w:rPr>
          <w:lang w:bidi="ru-RU"/>
        </w:rPr>
        <w:t xml:space="preserve">с некоторыми изменениями </w:t>
      </w:r>
      <w:r w:rsidRPr="00B66F03">
        <w:t>(см. приложение I</w:t>
      </w:r>
      <w:r w:rsidRPr="00B66F03">
        <w:rPr>
          <w:lang w:bidi="ru-RU"/>
        </w:rPr>
        <w:t>).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2.</w:t>
      </w:r>
      <w:r w:rsidRPr="00B66F03">
        <w:rPr>
          <w:lang w:bidi="ru-RU"/>
        </w:rPr>
        <w:tab/>
        <w:t>Перевозка навалом/насыпью</w:t>
      </w:r>
    </w:p>
    <w:p w:rsidR="00A047E8" w:rsidRPr="00B63846" w:rsidRDefault="00A047E8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="00A047E8" w:rsidRPr="00B63846">
        <w:rPr>
          <w:lang w:bidi="ru-RU"/>
        </w:rPr>
        <w:tab/>
      </w:r>
      <w:r w:rsidRPr="00B66F03">
        <w:rPr>
          <w:lang w:bidi="ru-RU"/>
        </w:rPr>
        <w:t>ECE/TRANS/WP.15/AC.1/2015/25 (Испания)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Неофициальный документ:</w:t>
      </w:r>
      <w:r w:rsidRPr="00B66F03">
        <w:rPr>
          <w:lang w:bidi="ru-RU"/>
        </w:rPr>
        <w:tab/>
        <w:t>INF.40 (Испания)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38.</w:t>
      </w:r>
      <w:r w:rsidRPr="00B66F03">
        <w:rPr>
          <w:lang w:bidi="ru-RU"/>
        </w:rPr>
        <w:tab/>
        <w:t xml:space="preserve">Совместное совещание приняло поправку к пояснительному примечанию к колонке 17 подраздела 3.2.1 с целью исправить существующую формулировку </w:t>
      </w:r>
      <w:r w:rsidRPr="00B66F03">
        <w:t>(см. приложение I</w:t>
      </w:r>
      <w:r w:rsidRPr="00B66F03">
        <w:rPr>
          <w:lang w:bidi="ru-RU"/>
        </w:rPr>
        <w:t>).</w:t>
      </w:r>
    </w:p>
    <w:p w:rsidR="00A047E8" w:rsidRPr="00B63846" w:rsidRDefault="00A047E8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3.</w:t>
      </w:r>
      <w:r w:rsidRPr="00B66F03">
        <w:rPr>
          <w:lang w:bidi="ru-RU"/>
        </w:rPr>
        <w:tab/>
        <w:t>Возможность использования электронных сре</w:t>
      </w:r>
      <w:proofErr w:type="gramStart"/>
      <w:r w:rsidRPr="00B66F03">
        <w:rPr>
          <w:lang w:bidi="ru-RU"/>
        </w:rPr>
        <w:t>дств в пр</w:t>
      </w:r>
      <w:proofErr w:type="gramEnd"/>
      <w:r w:rsidRPr="00B66F03">
        <w:rPr>
          <w:lang w:bidi="ru-RU"/>
        </w:rPr>
        <w:t xml:space="preserve">оцессе </w:t>
      </w:r>
      <w:proofErr w:type="spellStart"/>
      <w:r w:rsidRPr="00B66F03">
        <w:rPr>
          <w:lang w:bidi="ru-RU"/>
        </w:rPr>
        <w:t>экзаменования</w:t>
      </w:r>
      <w:proofErr w:type="spellEnd"/>
      <w:r w:rsidRPr="00B66F03">
        <w:rPr>
          <w:lang w:bidi="ru-RU"/>
        </w:rPr>
        <w:t xml:space="preserve"> консультантов по вопросам безопасности, водителей транспортных средств ДОПОГ и экспертов по ВОПОГ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Pr="00B66F03">
        <w:rPr>
          <w:lang w:bidi="ru-RU"/>
        </w:rPr>
        <w:t xml:space="preserve">ECE/TRANS/WP.15/AC.1/2015/26/Rev.1 </w:t>
      </w:r>
      <w:r w:rsidR="00EC4B06" w:rsidRPr="00B63846">
        <w:rPr>
          <w:lang w:bidi="ru-RU"/>
        </w:rPr>
        <w:br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Pr="00B66F03">
        <w:rPr>
          <w:lang w:bidi="ru-RU"/>
        </w:rPr>
        <w:tab/>
        <w:t>(Германия)</w:t>
      </w:r>
    </w:p>
    <w:p w:rsidR="00B66F03" w:rsidRPr="00B66F03" w:rsidRDefault="00B66F03" w:rsidP="00B63846">
      <w:pPr>
        <w:pStyle w:val="SingleTxt"/>
        <w:jc w:val="left"/>
        <w:rPr>
          <w:lang w:bidi="ru-RU"/>
        </w:rPr>
      </w:pPr>
      <w:r w:rsidRPr="00B66F03">
        <w:rPr>
          <w:i/>
          <w:lang w:bidi="ru-RU"/>
        </w:rPr>
        <w:t>Неофициальные документы:</w:t>
      </w:r>
      <w:r w:rsidRPr="00B66F03">
        <w:rPr>
          <w:lang w:bidi="ru-RU"/>
        </w:rPr>
        <w:tab/>
        <w:t xml:space="preserve">INF.25 (вариант документа – /2015/26/Rev.1 </w:t>
      </w:r>
      <w:r w:rsidR="00EC4B06" w:rsidRPr="00B63846">
        <w:rPr>
          <w:lang w:bidi="ru-RU"/>
        </w:rPr>
        <w:br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Pr="00B66F03">
        <w:rPr>
          <w:lang w:bidi="ru-RU"/>
        </w:rPr>
        <w:t>на французском языке)</w:t>
      </w:r>
      <w:r w:rsidR="00EC4B06" w:rsidRPr="00B63846">
        <w:rPr>
          <w:lang w:bidi="ru-RU"/>
        </w:rPr>
        <w:br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Pr="00B66F03">
        <w:rPr>
          <w:lang w:bidi="ru-RU"/>
        </w:rPr>
        <w:tab/>
        <w:t xml:space="preserve">INF.31 (вариант документа – /2015/26/Rev.1 </w:t>
      </w:r>
      <w:r w:rsidR="00EC4B06" w:rsidRPr="00B63846">
        <w:rPr>
          <w:lang w:bidi="ru-RU"/>
        </w:rPr>
        <w:br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Pr="00B66F03">
        <w:rPr>
          <w:lang w:bidi="ru-RU"/>
        </w:rPr>
        <w:t>на русском языке)</w:t>
      </w:r>
      <w:r w:rsidR="00EC4B06" w:rsidRPr="00B63846">
        <w:rPr>
          <w:lang w:bidi="ru-RU"/>
        </w:rPr>
        <w:br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="00EC4B06" w:rsidRPr="00B63846">
        <w:rPr>
          <w:lang w:bidi="ru-RU"/>
        </w:rPr>
        <w:tab/>
      </w:r>
      <w:r w:rsidRPr="00B66F03">
        <w:rPr>
          <w:lang w:bidi="ru-RU"/>
        </w:rPr>
        <w:tab/>
        <w:t>INF.41 (Франция, от имени редакционной группы)</w:t>
      </w:r>
    </w:p>
    <w:p w:rsidR="00B66F03" w:rsidRPr="00B66F03" w:rsidRDefault="00B66F03">
      <w:pPr>
        <w:pStyle w:val="SingleTxt"/>
        <w:rPr>
          <w:lang w:bidi="ru-RU"/>
        </w:rPr>
      </w:pPr>
      <w:r w:rsidRPr="00B66F03">
        <w:rPr>
          <w:lang w:bidi="ru-RU"/>
        </w:rPr>
        <w:t>39.</w:t>
      </w:r>
      <w:r w:rsidRPr="00B66F03">
        <w:rPr>
          <w:lang w:bidi="ru-RU"/>
        </w:rPr>
        <w:tab/>
        <w:t>Совместное совещание приняло поправки к разделу 1.8.3 на основе неоф</w:t>
      </w:r>
      <w:r w:rsidRPr="00B66F03">
        <w:rPr>
          <w:lang w:bidi="ru-RU"/>
        </w:rPr>
        <w:t>и</w:t>
      </w:r>
      <w:r w:rsidRPr="00B66F03">
        <w:rPr>
          <w:lang w:bidi="ru-RU"/>
        </w:rPr>
        <w:t xml:space="preserve">циального документа INF.41 (см. приложение </w:t>
      </w:r>
      <w:r w:rsidRPr="00B66F03">
        <w:t>I</w:t>
      </w:r>
      <w:r w:rsidRPr="00B66F03">
        <w:rPr>
          <w:lang w:bidi="ru-RU"/>
        </w:rPr>
        <w:t xml:space="preserve">). Было указано, что термин </w:t>
      </w:r>
      <w:r w:rsidR="00EC4B06">
        <w:rPr>
          <w:lang w:bidi="ru-RU"/>
        </w:rPr>
        <w:t>«</w:t>
      </w:r>
      <w:proofErr w:type="spellStart"/>
      <w:r w:rsidRPr="00B66F03">
        <w:rPr>
          <w:lang w:bidi="ru-RU"/>
        </w:rPr>
        <w:t>invigilate</w:t>
      </w:r>
      <w:proofErr w:type="spellEnd"/>
      <w:r w:rsidR="00EC4B06">
        <w:rPr>
          <w:lang w:bidi="ru-RU"/>
        </w:rPr>
        <w:t>»</w:t>
      </w:r>
      <w:r w:rsidRPr="00B66F03">
        <w:rPr>
          <w:lang w:bidi="ru-RU"/>
        </w:rPr>
        <w:t xml:space="preserve"> (</w:t>
      </w:r>
      <w:r w:rsidR="00EC4B06">
        <w:rPr>
          <w:lang w:bidi="ru-RU"/>
        </w:rPr>
        <w:t>«</w:t>
      </w:r>
      <w:r w:rsidRPr="00B66F03">
        <w:rPr>
          <w:lang w:bidi="ru-RU"/>
        </w:rPr>
        <w:t>осуществляет контроль</w:t>
      </w:r>
      <w:r w:rsidR="00EC4B06">
        <w:rPr>
          <w:lang w:bidi="ru-RU"/>
        </w:rPr>
        <w:t>»</w:t>
      </w:r>
      <w:r w:rsidRPr="00B66F03">
        <w:rPr>
          <w:lang w:bidi="ru-RU"/>
        </w:rPr>
        <w:t>) в пункте 1.8.3.12.2 текста на английском языке означает, что требуется физическое присутствие экзаменующего в ходе э</w:t>
      </w:r>
      <w:r w:rsidRPr="00B66F03">
        <w:rPr>
          <w:lang w:bidi="ru-RU"/>
        </w:rPr>
        <w:t>к</w:t>
      </w:r>
      <w:r w:rsidRPr="00B66F03">
        <w:rPr>
          <w:lang w:bidi="ru-RU"/>
        </w:rPr>
        <w:t>замена.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4.</w:t>
      </w:r>
      <w:r w:rsidRPr="00B66F03">
        <w:rPr>
          <w:lang w:bidi="ru-RU"/>
        </w:rPr>
        <w:tab/>
        <w:t>Погрузчик и разгрузчик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ECE/TRANS/WP.15/AC.1/2015/37 </w:t>
      </w:r>
      <w:r w:rsidR="00EC4B06">
        <w:rPr>
          <w:lang w:bidi="ru-RU"/>
        </w:rPr>
        <w:br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 xml:space="preserve">(Испания и Швеция) </w:t>
      </w:r>
    </w:p>
    <w:p w:rsidR="00B66F03" w:rsidRPr="00B66F03" w:rsidRDefault="00B66F03" w:rsidP="00B66F03">
      <w:pPr>
        <w:pStyle w:val="SingleTxt"/>
        <w:rPr>
          <w:i/>
          <w:lang w:bidi="ru-RU"/>
        </w:rPr>
      </w:pPr>
      <w:r w:rsidRPr="00B66F03">
        <w:rPr>
          <w:i/>
          <w:lang w:bidi="ru-RU"/>
        </w:rPr>
        <w:t xml:space="preserve">Неофициальный документ: </w:t>
      </w:r>
      <w:r w:rsidRPr="00B66F03">
        <w:rPr>
          <w:lang w:bidi="ru-RU"/>
        </w:rPr>
        <w:tab/>
        <w:t>INF.5 (Испания и Швеция)</w:t>
      </w:r>
      <w:r w:rsidRPr="00B66F03">
        <w:rPr>
          <w:i/>
          <w:lang w:bidi="ru-RU"/>
        </w:rPr>
        <w:t xml:space="preserve"> 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40.</w:t>
      </w:r>
      <w:r w:rsidRPr="00B66F03">
        <w:rPr>
          <w:lang w:bidi="ru-RU"/>
        </w:rPr>
        <w:tab/>
        <w:t>Совместное совещание приняло предложения 1–3, представленные в ук</w:t>
      </w:r>
      <w:r w:rsidRPr="00B66F03">
        <w:rPr>
          <w:lang w:bidi="ru-RU"/>
        </w:rPr>
        <w:t>а</w:t>
      </w:r>
      <w:r w:rsidRPr="00B66F03">
        <w:rPr>
          <w:lang w:bidi="ru-RU"/>
        </w:rPr>
        <w:t xml:space="preserve">занном документе, а также предложения, содержащиеся в пунктах 18, 20 и 21 предложения 4 (см. приложение </w:t>
      </w:r>
      <w:r w:rsidRPr="00B66F03">
        <w:t>I</w:t>
      </w:r>
      <w:r w:rsidRPr="00B66F03">
        <w:rPr>
          <w:lang w:bidi="ru-RU"/>
        </w:rPr>
        <w:t>). Вместе с тем необходимо проверить текст на французском языке, поскольку использование термина «</w:t>
      </w:r>
      <w:proofErr w:type="spellStart"/>
      <w:r w:rsidRPr="00B66F03">
        <w:rPr>
          <w:lang w:bidi="ru-RU"/>
        </w:rPr>
        <w:t>vidange</w:t>
      </w:r>
      <w:proofErr w:type="spellEnd"/>
      <w:r w:rsidRPr="00B66F03">
        <w:rPr>
          <w:lang w:bidi="ru-RU"/>
        </w:rPr>
        <w:t>» («опорожн</w:t>
      </w:r>
      <w:r w:rsidRPr="00B66F03">
        <w:rPr>
          <w:lang w:bidi="ru-RU"/>
        </w:rPr>
        <w:t>е</w:t>
      </w:r>
      <w:r w:rsidRPr="00B66F03">
        <w:rPr>
          <w:lang w:bidi="ru-RU"/>
        </w:rPr>
        <w:t>ние») неприемлемо в контексте перевозки твердых веществ навалом/насыпью.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lastRenderedPageBreak/>
        <w:t>41.</w:t>
      </w:r>
      <w:r w:rsidRPr="00B66F03">
        <w:rPr>
          <w:lang w:bidi="ru-RU"/>
        </w:rPr>
        <w:tab/>
        <w:t>Представитель Франции подчеркнул, что было бы также целесообразно в</w:t>
      </w:r>
      <w:r w:rsidRPr="00B66F03">
        <w:rPr>
          <w:lang w:bidi="ru-RU"/>
        </w:rPr>
        <w:t>ы</w:t>
      </w:r>
      <w:r w:rsidRPr="00B66F03">
        <w:rPr>
          <w:lang w:bidi="ru-RU"/>
        </w:rPr>
        <w:t>верить термины, используемые в разделе 7.5.1, так как изначально употребля</w:t>
      </w:r>
      <w:r w:rsidRPr="00B66F03">
        <w:rPr>
          <w:lang w:bidi="ru-RU"/>
        </w:rPr>
        <w:t>е</w:t>
      </w:r>
      <w:r w:rsidRPr="00B66F03">
        <w:rPr>
          <w:lang w:bidi="ru-RU"/>
        </w:rPr>
        <w:t>мые в нем термины «</w:t>
      </w:r>
      <w:proofErr w:type="spellStart"/>
      <w:r w:rsidRPr="00B66F03">
        <w:rPr>
          <w:lang w:bidi="ru-RU"/>
        </w:rPr>
        <w:t>chargement</w:t>
      </w:r>
      <w:proofErr w:type="spellEnd"/>
      <w:r w:rsidRPr="00B66F03">
        <w:rPr>
          <w:lang w:bidi="ru-RU"/>
        </w:rPr>
        <w:t>» («погрузка») и «</w:t>
      </w:r>
      <w:proofErr w:type="spellStart"/>
      <w:r w:rsidRPr="00B66F03">
        <w:rPr>
          <w:lang w:bidi="ru-RU"/>
        </w:rPr>
        <w:t>déchargement</w:t>
      </w:r>
      <w:proofErr w:type="spellEnd"/>
      <w:r w:rsidRPr="00B66F03">
        <w:rPr>
          <w:lang w:bidi="ru-RU"/>
        </w:rPr>
        <w:t>» («разгрузка») означали также заполнение и опорожнение цистерн или транспортных средств, вагонов и контейнеров для массовых грузов.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В.</w:t>
      </w:r>
      <w:r w:rsidRPr="00B66F03">
        <w:rPr>
          <w:lang w:bidi="ru-RU"/>
        </w:rPr>
        <w:tab/>
        <w:t>Новые предложения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1.</w:t>
      </w:r>
      <w:r w:rsidRPr="00B66F03">
        <w:rPr>
          <w:lang w:bidi="ru-RU"/>
        </w:rPr>
        <w:tab/>
        <w:t>Компетентный орган в соответствии со специальным положением 376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>ECE/TRANS/WP.15/AC.1/2015/28 (Германия)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Неофициальный документ:</w:t>
      </w:r>
      <w:r w:rsidRPr="00B66F03">
        <w:rPr>
          <w:lang w:bidi="ru-RU"/>
        </w:rPr>
        <w:tab/>
        <w:t>INF.42 (Редакционная группа)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42.</w:t>
      </w:r>
      <w:r w:rsidRPr="00B66F03">
        <w:rPr>
          <w:lang w:bidi="ru-RU"/>
        </w:rPr>
        <w:tab/>
        <w:t>Совместное совещание приняло поправку к специальному положению 376, предложенную в неофициальном документе INF.42, с некоторыми изменениями.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2.</w:t>
      </w:r>
      <w:r w:rsidRPr="00B66F03">
        <w:rPr>
          <w:lang w:bidi="ru-RU"/>
        </w:rPr>
        <w:tab/>
        <w:t>Уточнение информации в перечне опасных грузов (таблица A)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>ECE/TRANS/WP.15/AC.1/2015/36 (Португалия)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43.</w:t>
      </w:r>
      <w:r w:rsidRPr="00B66F03">
        <w:rPr>
          <w:lang w:bidi="ru-RU"/>
        </w:rPr>
        <w:tab/>
        <w:t>Представитель Португалии заявил, что он представит новое предложение в свете высказанных замечаний, и предложил делегациям направить свои замеч</w:t>
      </w:r>
      <w:r w:rsidRPr="00B66F03">
        <w:rPr>
          <w:lang w:bidi="ru-RU"/>
        </w:rPr>
        <w:t>а</w:t>
      </w:r>
      <w:r w:rsidRPr="00B66F03">
        <w:rPr>
          <w:lang w:bidi="ru-RU"/>
        </w:rPr>
        <w:t>ния в письменном виде.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3.</w:t>
      </w:r>
      <w:r w:rsidRPr="00B66F03">
        <w:rPr>
          <w:lang w:bidi="ru-RU"/>
        </w:rPr>
        <w:tab/>
        <w:t>Переходные положения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 xml:space="preserve">ECE/TRANS/WP.15/AC.1/2015/30 (секретариат 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>ОТИФ/секретариат ЕЭК)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44.</w:t>
      </w:r>
      <w:r w:rsidRPr="00B66F03">
        <w:rPr>
          <w:lang w:bidi="ru-RU"/>
        </w:rPr>
        <w:tab/>
        <w:t>Предложения секретариатов были приняты, кроме предложения исключить меру, предусмотренную в пункте 1.6.1.7, которую следует сохранить. Предлож</w:t>
      </w:r>
      <w:r w:rsidRPr="00B66F03">
        <w:rPr>
          <w:lang w:bidi="ru-RU"/>
        </w:rPr>
        <w:t>е</w:t>
      </w:r>
      <w:r w:rsidRPr="00B66F03">
        <w:rPr>
          <w:lang w:bidi="ru-RU"/>
        </w:rPr>
        <w:t>ния, касающиеся цистерн, должны быть одобрены Рабочей группой по цисте</w:t>
      </w:r>
      <w:r w:rsidRPr="00B66F03">
        <w:rPr>
          <w:lang w:bidi="ru-RU"/>
        </w:rPr>
        <w:t>р</w:t>
      </w:r>
      <w:r w:rsidRPr="00B66F03">
        <w:rPr>
          <w:lang w:bidi="ru-RU"/>
        </w:rPr>
        <w:t>нам.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15616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4.</w:t>
      </w:r>
      <w:r w:rsidRPr="00B66F03">
        <w:rPr>
          <w:lang w:bidi="ru-RU"/>
        </w:rPr>
        <w:tab/>
        <w:t xml:space="preserve">Единообразное использование термина </w:t>
      </w:r>
      <w:r w:rsidR="00156167">
        <w:rPr>
          <w:lang w:bidi="ru-RU"/>
        </w:rPr>
        <w:t>«</w:t>
      </w:r>
      <w:r w:rsidRPr="00B66F03">
        <w:rPr>
          <w:lang w:bidi="ru-RU"/>
        </w:rPr>
        <w:t>код</w:t>
      </w:r>
      <w:r w:rsidR="00156167">
        <w:rPr>
          <w:lang w:bidi="ru-RU"/>
        </w:rPr>
        <w:t>»</w:t>
      </w:r>
      <w:r w:rsidRPr="00B66F03">
        <w:rPr>
          <w:lang w:bidi="ru-RU"/>
        </w:rPr>
        <w:t xml:space="preserve"> в главе 7.3 МПОГ/ДОПОГ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>ECE/TRANS/WP.15/AC.1/2015/33 (Румыния)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45.</w:t>
      </w:r>
      <w:r w:rsidRPr="00B66F03">
        <w:rPr>
          <w:lang w:bidi="ru-RU"/>
        </w:rPr>
        <w:tab/>
        <w:t>Предложение о внесении изменений в подпункт b) пункта 7.3.1.1 было пр</w:t>
      </w:r>
      <w:r w:rsidRPr="00B66F03">
        <w:rPr>
          <w:lang w:bidi="ru-RU"/>
        </w:rPr>
        <w:t>и</w:t>
      </w:r>
      <w:r w:rsidRPr="00B66F03">
        <w:rPr>
          <w:lang w:bidi="ru-RU"/>
        </w:rPr>
        <w:t xml:space="preserve">нято (см. приложение </w:t>
      </w:r>
      <w:r w:rsidRPr="00B66F03">
        <w:t>I</w:t>
      </w:r>
      <w:r w:rsidRPr="00B66F03">
        <w:rPr>
          <w:lang w:bidi="ru-RU"/>
        </w:rPr>
        <w:t>).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5.</w:t>
      </w:r>
      <w:r w:rsidRPr="00B66F03">
        <w:rPr>
          <w:lang w:bidi="ru-RU"/>
        </w:rPr>
        <w:tab/>
        <w:t>Внесение поправки в специальное положение 655 вследствие изменения европейского законодательства (директивы 97/23/EC и 2014/68/EU)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>ECE/TRANS/WP.15/AC.1/2015/44 (Швейцария)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46.</w:t>
      </w:r>
      <w:r w:rsidRPr="00B66F03">
        <w:rPr>
          <w:lang w:bidi="ru-RU"/>
        </w:rPr>
        <w:tab/>
        <w:t>Совместное совещание приняло предложение о внесении изменений в сп</w:t>
      </w:r>
      <w:r w:rsidRPr="00B66F03">
        <w:rPr>
          <w:lang w:bidi="ru-RU"/>
        </w:rPr>
        <w:t>е</w:t>
      </w:r>
      <w:r w:rsidRPr="00B66F03">
        <w:rPr>
          <w:lang w:bidi="ru-RU"/>
        </w:rPr>
        <w:t xml:space="preserve">циальное положение 655 (см. приложение </w:t>
      </w:r>
      <w:r w:rsidRPr="00B66F03">
        <w:t>I</w:t>
      </w:r>
      <w:r w:rsidRPr="00B66F03">
        <w:rPr>
          <w:lang w:bidi="ru-RU"/>
        </w:rPr>
        <w:t xml:space="preserve">). Оно </w:t>
      </w:r>
      <w:proofErr w:type="gramStart"/>
      <w:r w:rsidRPr="00B66F03">
        <w:rPr>
          <w:lang w:bidi="ru-RU"/>
        </w:rPr>
        <w:t>выразило пожелание</w:t>
      </w:r>
      <w:proofErr w:type="gramEnd"/>
      <w:r w:rsidRPr="00B66F03">
        <w:rPr>
          <w:lang w:bidi="ru-RU"/>
        </w:rPr>
        <w:t>, чтобы в будущем изменения в директивах Европейского союза, имеющие последствия для МПОГ, ДОПОГ и ВОПОГ, доводились до его сведения сразу же после их принятия компетентными органами Европейского союза.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6.</w:t>
      </w:r>
      <w:r w:rsidRPr="00B66F03">
        <w:tab/>
        <w:t>Обязанности перевозчика – подраздел 1.4.2.2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</w:rPr>
        <w:t>Документ:</w:t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 xml:space="preserve">.1/2015/34 (Румыния) </w:t>
      </w:r>
    </w:p>
    <w:p w:rsidR="00B66F03" w:rsidRPr="00B66F03" w:rsidRDefault="00B66F03" w:rsidP="00B66F03">
      <w:pPr>
        <w:pStyle w:val="SingleTxt"/>
        <w:rPr>
          <w:i/>
        </w:rPr>
      </w:pPr>
      <w:r w:rsidRPr="00B66F03">
        <w:rPr>
          <w:i/>
        </w:rPr>
        <w:t>Неофициальные документы:</w:t>
      </w:r>
      <w:r w:rsidRPr="00B66F03">
        <w:rPr>
          <w:i/>
        </w:rPr>
        <w:tab/>
      </w:r>
      <w:r w:rsidRPr="00B66F03">
        <w:rPr>
          <w:lang w:val="fr-FR"/>
        </w:rPr>
        <w:t>INF</w:t>
      </w:r>
      <w:r w:rsidRPr="00B66F03">
        <w:t xml:space="preserve">.3 (Румыния), </w:t>
      </w:r>
      <w:r w:rsidRPr="00B66F03">
        <w:rPr>
          <w:lang w:val="fr-FR"/>
        </w:rPr>
        <w:t>INF</w:t>
      </w:r>
      <w:r w:rsidRPr="00B66F03">
        <w:t>.34 (МСАТ)</w:t>
      </w:r>
      <w:r w:rsidRPr="00B66F03">
        <w:rPr>
          <w:i/>
        </w:rPr>
        <w:t xml:space="preserve"> </w:t>
      </w:r>
    </w:p>
    <w:p w:rsidR="00B66F03" w:rsidRPr="00B66F03" w:rsidRDefault="00B66F03" w:rsidP="00B66F03">
      <w:pPr>
        <w:pStyle w:val="SingleTxt"/>
      </w:pPr>
      <w:r w:rsidRPr="00B66F03">
        <w:t>47.</w:t>
      </w:r>
      <w:r w:rsidRPr="00B66F03">
        <w:tab/>
        <w:t>Ряд делегаций указали, что обязанности перевозчика являются различными для каждого вида транспорта и что эти различия оправданы. Согласовывать те</w:t>
      </w:r>
      <w:r w:rsidRPr="00B66F03">
        <w:t>к</w:t>
      </w:r>
      <w:r w:rsidRPr="00B66F03">
        <w:lastRenderedPageBreak/>
        <w:t>сты МПОГ, ДОПОГ и ВОПОГ нет необходимости. После обсуждения представ</w:t>
      </w:r>
      <w:r w:rsidRPr="00B66F03">
        <w:t>и</w:t>
      </w:r>
      <w:r w:rsidRPr="00B66F03">
        <w:t>тель Румынии снял с рассмотрения свое предложение.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7.</w:t>
      </w:r>
      <w:r w:rsidRPr="00B66F03">
        <w:tab/>
        <w:t xml:space="preserve">Распространение действия положения </w:t>
      </w:r>
      <w:r w:rsidRPr="00B66F03">
        <w:rPr>
          <w:lang w:val="fr-FR"/>
        </w:rPr>
        <w:t>CV</w:t>
      </w:r>
      <w:r w:rsidRPr="00B66F03">
        <w:t>/</w:t>
      </w:r>
      <w:r w:rsidRPr="00B66F03">
        <w:rPr>
          <w:lang w:val="fr-FR"/>
        </w:rPr>
        <w:t>CW</w:t>
      </w:r>
      <w:r w:rsidRPr="00B66F03">
        <w:t xml:space="preserve"> 36 на № ООН 2211 </w:t>
      </w:r>
      <w:proofErr w:type="gramStart"/>
      <w:r w:rsidRPr="00B66F03">
        <w:t>ПОЛИМЕР</w:t>
      </w:r>
      <w:proofErr w:type="gramEnd"/>
      <w:r w:rsidRPr="00B66F03">
        <w:t xml:space="preserve"> ВСПЕНИВАЮЩИЙСЯ ГРАНУЛИРОВАННЫЙ, выделяющий воспламеняющиеся газы 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</w:rPr>
        <w:t>Документ:</w:t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 xml:space="preserve">.1/2015/52 </w:t>
      </w:r>
      <w:r w:rsidRPr="00B66F03">
        <w:br/>
      </w:r>
      <w:r w:rsidR="00EC4B06">
        <w:tab/>
      </w:r>
      <w:r w:rsidR="00EC4B06">
        <w:tab/>
      </w:r>
      <w:r w:rsidR="00EC4B06">
        <w:tab/>
      </w:r>
      <w:r w:rsidR="00EC4B06">
        <w:tab/>
      </w:r>
      <w:r w:rsidR="00EC4B06">
        <w:tab/>
      </w:r>
      <w:r w:rsidR="00EC4B06">
        <w:tab/>
      </w:r>
      <w:r w:rsidRPr="00B66F03">
        <w:t xml:space="preserve">(Российская Федерация) </w:t>
      </w:r>
    </w:p>
    <w:p w:rsidR="00B66F03" w:rsidRPr="00B66F03" w:rsidRDefault="00B66F03" w:rsidP="00B66F03">
      <w:pPr>
        <w:pStyle w:val="SingleTxt"/>
      </w:pPr>
      <w:r w:rsidRPr="00B66F03">
        <w:t>48.</w:t>
      </w:r>
      <w:r w:rsidRPr="00B66F03">
        <w:tab/>
        <w:t>Совместное совещание приняло предложение о распространении полож</w:t>
      </w:r>
      <w:r w:rsidRPr="00B66F03">
        <w:t>е</w:t>
      </w:r>
      <w:r w:rsidRPr="00B66F03">
        <w:t xml:space="preserve">ния </w:t>
      </w:r>
      <w:r w:rsidRPr="00B66F03">
        <w:rPr>
          <w:lang w:val="fr-FR"/>
        </w:rPr>
        <w:t>CV</w:t>
      </w:r>
      <w:r w:rsidRPr="00B66F03">
        <w:t>/</w:t>
      </w:r>
      <w:r w:rsidRPr="00B66F03">
        <w:rPr>
          <w:lang w:val="fr-FR"/>
        </w:rPr>
        <w:t>CW</w:t>
      </w:r>
      <w:r w:rsidRPr="00B66F03">
        <w:t xml:space="preserve"> 36 на № ООН 2211, а также на № ООН 3314. Поскольку было отм</w:t>
      </w:r>
      <w:r w:rsidRPr="00B66F03">
        <w:t>е</w:t>
      </w:r>
      <w:r w:rsidRPr="00B66F03">
        <w:t>чено, что МКМПОГ предписывает иную маркировку, было решено считать ма</w:t>
      </w:r>
      <w:r w:rsidRPr="00B66F03">
        <w:t>р</w:t>
      </w:r>
      <w:r w:rsidRPr="00B66F03">
        <w:t xml:space="preserve">кировочный знак, предусмотренный положением </w:t>
      </w:r>
      <w:r w:rsidRPr="00B66F03">
        <w:rPr>
          <w:lang w:val="fr-FR"/>
        </w:rPr>
        <w:t>CV</w:t>
      </w:r>
      <w:r w:rsidRPr="00B66F03">
        <w:t>/</w:t>
      </w:r>
      <w:r w:rsidRPr="00B66F03">
        <w:rPr>
          <w:lang w:val="fr-FR"/>
        </w:rPr>
        <w:t>CW</w:t>
      </w:r>
      <w:r w:rsidRPr="00B66F03">
        <w:t xml:space="preserve"> 36, факультативным в тех случаях, когда транспортное средство, вагон или контейнер уже имеют ма</w:t>
      </w:r>
      <w:r w:rsidRPr="00B66F03">
        <w:t>р</w:t>
      </w:r>
      <w:r w:rsidRPr="00B66F03">
        <w:t>кировочный знак, предписанный пунктом 4 специального положения 965 МКМПОГ (см. приложение I).</w:t>
      </w:r>
    </w:p>
    <w:p w:rsidR="00B66F03" w:rsidRPr="00B66F03" w:rsidRDefault="00B66F03" w:rsidP="00B66F03">
      <w:pPr>
        <w:pStyle w:val="SingleTxt"/>
      </w:pPr>
      <w:r w:rsidRPr="00B66F03">
        <w:t>49.</w:t>
      </w:r>
      <w:r w:rsidRPr="00B66F03">
        <w:tab/>
        <w:t>Было также отмечено, что в настоящее время в отличие от Типовых правил ООН и МКМПОГ, которые требуют размещения знака опасности и информац</w:t>
      </w:r>
      <w:r w:rsidRPr="00B66F03">
        <w:t>и</w:t>
      </w:r>
      <w:r w:rsidRPr="00B66F03">
        <w:t>онного табло класса 9, в МПОГ/ДОПОГ/ВОПОГ не предписывается каких-либо знаков или информационных табло.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8.</w:t>
      </w:r>
      <w:r w:rsidRPr="00B66F03">
        <w:tab/>
        <w:t>Отмена групп упаковки для некоторых изделий: сопутствующие поправки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</w:rPr>
        <w:t>Документ:</w:t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i/>
        </w:rPr>
        <w:tab/>
      </w:r>
      <w:r w:rsidRPr="00B66F03">
        <w:rPr>
          <w:lang w:val="fr-FR"/>
        </w:rPr>
        <w:t>ECE</w:t>
      </w:r>
      <w:r w:rsidRPr="00B66F03">
        <w:t>/</w:t>
      </w:r>
      <w:r w:rsidRPr="00B66F03">
        <w:rPr>
          <w:lang w:val="fr-FR"/>
        </w:rPr>
        <w:t>TRANS</w:t>
      </w:r>
      <w:r w:rsidRPr="00B66F03">
        <w:t>/</w:t>
      </w:r>
      <w:r w:rsidRPr="00B66F03">
        <w:rPr>
          <w:lang w:val="fr-FR"/>
        </w:rPr>
        <w:t>WP</w:t>
      </w:r>
      <w:r w:rsidRPr="00B66F03">
        <w:t>.15/</w:t>
      </w:r>
      <w:r w:rsidRPr="00B66F03">
        <w:rPr>
          <w:lang w:val="fr-FR"/>
        </w:rPr>
        <w:t>AC</w:t>
      </w:r>
      <w:r w:rsidRPr="00B66F03">
        <w:t xml:space="preserve">.1/2015/42 </w:t>
      </w:r>
      <w:r w:rsidR="00EC4B06">
        <w:br/>
      </w:r>
      <w:r w:rsidR="00EC4B06">
        <w:tab/>
      </w:r>
      <w:r w:rsidR="00EC4B06">
        <w:tab/>
      </w:r>
      <w:r w:rsidR="00EC4B06">
        <w:tab/>
      </w:r>
      <w:r w:rsidR="00EC4B06">
        <w:tab/>
      </w:r>
      <w:r w:rsidRPr="00B66F03">
        <w:tab/>
      </w:r>
      <w:r w:rsidRPr="00B66F03">
        <w:tab/>
        <w:t xml:space="preserve">(Швейцария) </w:t>
      </w:r>
    </w:p>
    <w:p w:rsidR="00B66F03" w:rsidRPr="00B66F03" w:rsidRDefault="00B66F03" w:rsidP="00B66F03">
      <w:pPr>
        <w:pStyle w:val="SingleTxt"/>
      </w:pPr>
      <w:r w:rsidRPr="00B66F03">
        <w:t>50.</w:t>
      </w:r>
      <w:r w:rsidRPr="00B66F03">
        <w:tab/>
        <w:t>Предложения о внесении поправок в таблицу пункта 1.1.3.6.3 были приняты с некоторыми изменениями (см. приложение I).</w:t>
      </w:r>
    </w:p>
    <w:p w:rsidR="00B66F03" w:rsidRPr="00B66F03" w:rsidRDefault="00B66F03" w:rsidP="00B66F03">
      <w:pPr>
        <w:pStyle w:val="SingleTxt"/>
      </w:pPr>
      <w:r w:rsidRPr="00B66F03">
        <w:t>51.</w:t>
      </w:r>
      <w:r w:rsidRPr="00B66F03">
        <w:tab/>
        <w:t>Представитель Люксембурга предложил исключить ПРИМЕЧАНИЕ в опр</w:t>
      </w:r>
      <w:r w:rsidRPr="00B66F03">
        <w:t>е</w:t>
      </w:r>
      <w:r w:rsidRPr="00B66F03">
        <w:t>делении «Группа упаковки», содержащемся в разделе 1.2.1, согласно которому к группам упаковки относятся некоторые изделия. Однако существует один н</w:t>
      </w:r>
      <w:r w:rsidRPr="00B66F03">
        <w:t>о</w:t>
      </w:r>
      <w:r w:rsidRPr="00B66F03">
        <w:t>мер ООН (3165), присвоенный изделию, которое отнесено к группе упаковки </w:t>
      </w:r>
      <w:r w:rsidRPr="00B66F03">
        <w:rPr>
          <w:lang w:val="en-US"/>
        </w:rPr>
        <w:t>I</w:t>
      </w:r>
      <w:r w:rsidRPr="00B66F03">
        <w:t>, и поэтому было сочтено неуместным вносить такое изменение.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9.</w:t>
      </w:r>
      <w:r w:rsidRPr="00B66F03">
        <w:tab/>
        <w:t>Письменные инструкции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Документ</w:t>
      </w:r>
      <w:r w:rsidRPr="00B66F03">
        <w:t>:</w:t>
      </w:r>
      <w:r w:rsidRPr="00B66F03">
        <w:tab/>
      </w:r>
      <w:r w:rsidR="00EC4B06">
        <w:tab/>
      </w:r>
      <w:r w:rsidR="00EC4B06">
        <w:tab/>
      </w:r>
      <w:r w:rsidR="00EC4B06">
        <w:tab/>
      </w:r>
      <w:r w:rsidRPr="00B66F03">
        <w:rPr>
          <w:lang w:val="en-US"/>
        </w:rPr>
        <w:t>ECE</w:t>
      </w:r>
      <w:r w:rsidRPr="00B66F03">
        <w:t>/</w:t>
      </w:r>
      <w:r w:rsidRPr="00B66F03">
        <w:rPr>
          <w:lang w:val="en-US"/>
        </w:rPr>
        <w:t>TRANS</w:t>
      </w:r>
      <w:r w:rsidRPr="00B66F03">
        <w:t>/</w:t>
      </w:r>
      <w:r w:rsidRPr="00B66F03">
        <w:rPr>
          <w:lang w:val="en-US"/>
        </w:rPr>
        <w:t>WP</w:t>
      </w:r>
      <w:r w:rsidRPr="00B66F03">
        <w:t>.15/</w:t>
      </w:r>
      <w:r w:rsidRPr="00B66F03">
        <w:rPr>
          <w:lang w:val="en-US"/>
        </w:rPr>
        <w:t>AC</w:t>
      </w:r>
      <w:r w:rsidRPr="00B66F03">
        <w:t>.1/2015/35 (Румыния)</w:t>
      </w:r>
    </w:p>
    <w:p w:rsidR="00B66F03" w:rsidRPr="00B66F03" w:rsidRDefault="00B66F03" w:rsidP="00B63846">
      <w:pPr>
        <w:pStyle w:val="SingleTxt"/>
        <w:jc w:val="left"/>
      </w:pPr>
      <w:r w:rsidRPr="00B66F03">
        <w:rPr>
          <w:i/>
          <w:iCs/>
        </w:rPr>
        <w:t>Неофициальный документ</w:t>
      </w:r>
      <w:r w:rsidRPr="00B66F03">
        <w:t>:</w:t>
      </w:r>
      <w:r w:rsidRPr="00B66F03">
        <w:tab/>
        <w:t xml:space="preserve">INF.19 (Швеция) </w:t>
      </w:r>
      <w:r w:rsidR="00EC4B06">
        <w:br/>
      </w:r>
      <w:r w:rsidRPr="00B66F03">
        <w:tab/>
      </w:r>
      <w:r w:rsidRPr="00B66F03">
        <w:tab/>
      </w:r>
      <w:r w:rsidRPr="00B66F03">
        <w:tab/>
      </w:r>
      <w:r w:rsidRPr="00B66F03">
        <w:tab/>
      </w:r>
      <w:r w:rsidRPr="00B66F03">
        <w:tab/>
      </w:r>
      <w:r w:rsidRPr="00B66F03">
        <w:tab/>
        <w:t>INF.47 (Румыния)</w:t>
      </w:r>
    </w:p>
    <w:p w:rsidR="00B66F03" w:rsidRPr="00B66F03" w:rsidRDefault="00B66F03" w:rsidP="00B66F03">
      <w:pPr>
        <w:pStyle w:val="SingleTxt"/>
      </w:pPr>
      <w:r w:rsidRPr="00B66F03">
        <w:t>52.</w:t>
      </w:r>
      <w:r w:rsidRPr="00B66F03">
        <w:tab/>
        <w:t>Предложение 1, вариант 1, было принято (см. приложение I).</w:t>
      </w:r>
    </w:p>
    <w:p w:rsidR="00B66F03" w:rsidRPr="00B66F03" w:rsidRDefault="00B66F03" w:rsidP="00156167">
      <w:pPr>
        <w:pStyle w:val="SingleTxt"/>
      </w:pPr>
      <w:r w:rsidRPr="00B66F03">
        <w:t>53.</w:t>
      </w:r>
      <w:r w:rsidRPr="00B66F03">
        <w:tab/>
        <w:t>После обсуждения Совместное совещание подтвердило, что ПРИМЕЧАНИЕ 2 образца письменных инструкций допускает включение допо</w:t>
      </w:r>
      <w:r w:rsidRPr="00B66F03">
        <w:t>л</w:t>
      </w:r>
      <w:r w:rsidRPr="00B66F03">
        <w:t>нений в колонку «Дополнительные указания» и что тем самым инструкции, в к</w:t>
      </w:r>
      <w:r w:rsidRPr="00B66F03">
        <w:t>о</w:t>
      </w:r>
      <w:r w:rsidRPr="00B66F03">
        <w:t>торых содержание данной колонки было адаптировано, по-прежнему соотве</w:t>
      </w:r>
      <w:r w:rsidRPr="00B66F03">
        <w:t>т</w:t>
      </w:r>
      <w:r w:rsidRPr="00B66F03">
        <w:t>ствует по своему содержанию четырехстраничному образцу, как это предписано в</w:t>
      </w:r>
      <w:r w:rsidR="00156167">
        <w:t>о</w:t>
      </w:r>
      <w:r w:rsidRPr="00B66F03">
        <w:t xml:space="preserve"> вводном пункте 5.4.3.4. Предложение о поправках к ПРИМЕЧАНИЮ 2, с</w:t>
      </w:r>
      <w:r w:rsidRPr="00B66F03">
        <w:t>о</w:t>
      </w:r>
      <w:r w:rsidRPr="00B66F03">
        <w:t>держащееся в неофициальном документе INF.47, было принято (см. прилож</w:t>
      </w:r>
      <w:r w:rsidRPr="00B66F03">
        <w:t>е</w:t>
      </w:r>
      <w:r w:rsidRPr="00B66F03">
        <w:t>ние</w:t>
      </w:r>
      <w:r w:rsidR="00156167">
        <w:t> </w:t>
      </w:r>
      <w:r w:rsidRPr="00B66F03">
        <w:t>I).</w:t>
      </w:r>
    </w:p>
    <w:p w:rsidR="00B66F03" w:rsidRPr="00B66F03" w:rsidRDefault="00B66F03" w:rsidP="00B66F03">
      <w:pPr>
        <w:pStyle w:val="SingleTxt"/>
      </w:pPr>
      <w:r w:rsidRPr="00B66F03">
        <w:t>54.</w:t>
      </w:r>
      <w:r w:rsidRPr="00B66F03">
        <w:tab/>
        <w:t>После обсуждения Совместное совещание решило, что в предложениях 3 и 4 затрагиваются вопросы, которые касаются только железнодорожного тран</w:t>
      </w:r>
      <w:r w:rsidRPr="00B66F03">
        <w:t>с</w:t>
      </w:r>
      <w:r w:rsidRPr="00B66F03">
        <w:t>порта и могут быть рассмотрены Комиссией экспертов МПОГ на ее следующей сессии.</w:t>
      </w:r>
    </w:p>
    <w:p w:rsidR="00B66F03" w:rsidRPr="00B66F03" w:rsidRDefault="00B66F03" w:rsidP="00B66F03">
      <w:pPr>
        <w:pStyle w:val="SingleTxt"/>
      </w:pPr>
      <w:r w:rsidRPr="00B66F03">
        <w:lastRenderedPageBreak/>
        <w:t>55.</w:t>
      </w:r>
      <w:r w:rsidRPr="00B66F03">
        <w:tab/>
        <w:t>Предложение 5, касающееся вводного текста на третьей странице письме</w:t>
      </w:r>
      <w:r w:rsidRPr="00B66F03">
        <w:t>н</w:t>
      </w:r>
      <w:r w:rsidRPr="00B66F03">
        <w:t>ных инструкций в ДОПОГ, было принято (см. приложение I). Были высказаны замечания по поводу правильности выбора терминов «транспортное средство» и «транспортная единица» применительно к оборудованию для отдельных классов в разделах 8.1.4 и 8.1.5 ДОПОГ. Совместное совещание приветствовало предл</w:t>
      </w:r>
      <w:r w:rsidRPr="00B66F03">
        <w:t>о</w:t>
      </w:r>
      <w:r w:rsidRPr="00B66F03">
        <w:t>жение представителя Австрии представить неофициальный документ по данному вопросу на следующей сессии WP.15.</w:t>
      </w:r>
    </w:p>
    <w:p w:rsidR="00B66F03" w:rsidRPr="00B66F03" w:rsidRDefault="00B66F03" w:rsidP="00B66F03">
      <w:pPr>
        <w:pStyle w:val="SingleTxt"/>
      </w:pPr>
      <w:r w:rsidRPr="00B66F03">
        <w:t>56.</w:t>
      </w:r>
      <w:r w:rsidRPr="00B66F03">
        <w:tab/>
        <w:t>После обсуждения представитель Швеции сняла с рассмотрения неофиц</w:t>
      </w:r>
      <w:r w:rsidRPr="00B66F03">
        <w:t>и</w:t>
      </w:r>
      <w:r w:rsidRPr="00B66F03">
        <w:t>альный документ INF.19.</w:t>
      </w:r>
    </w:p>
    <w:p w:rsidR="00B66F03" w:rsidRPr="00B66F03" w:rsidRDefault="00B66F03" w:rsidP="00B66F03">
      <w:pPr>
        <w:pStyle w:val="SingleTxt"/>
      </w:pPr>
      <w:r w:rsidRPr="00B66F03">
        <w:t>57.</w:t>
      </w:r>
      <w:r w:rsidRPr="00B66F03">
        <w:tab/>
        <w:t>Был поставлен вопрос о том, чтобы включить ссылку на издания МПОГ/ДОПОГ/ВОПОГ, из которых взят образец письменных инструкций. Одн</w:t>
      </w:r>
      <w:r w:rsidRPr="00B66F03">
        <w:t>а</w:t>
      </w:r>
      <w:r w:rsidRPr="00B66F03">
        <w:t xml:space="preserve">ко у Совместного совещания не хватило времени принять решение по данному вопросу, и оно предложило ЕСФХП представить предложение WP.15, Комиссии экспертов МПОГ и Комитету по вопросам безопасности ВОПОГ, с </w:t>
      </w:r>
      <w:proofErr w:type="gramStart"/>
      <w:r w:rsidRPr="00B66F03">
        <w:t>тем</w:t>
      </w:r>
      <w:proofErr w:type="gramEnd"/>
      <w:r w:rsidRPr="00B66F03">
        <w:t xml:space="preserve"> чтобы изучить эту возможность.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10.</w:t>
      </w:r>
      <w:r w:rsidRPr="00B66F03">
        <w:tab/>
        <w:t>Изъятия в соответствии с подразделом 1.1.3.3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Документ</w:t>
      </w:r>
      <w:r w:rsidRPr="00B66F03">
        <w:t>:</w:t>
      </w:r>
      <w:r w:rsidRPr="00B66F03">
        <w:tab/>
      </w:r>
      <w:r w:rsidR="00EC4B06">
        <w:tab/>
      </w:r>
      <w:r w:rsidR="00EC4B06">
        <w:tab/>
      </w:r>
      <w:r w:rsidR="00EC4B06">
        <w:tab/>
      </w:r>
      <w:r w:rsidRPr="00B66F03">
        <w:t>ECE/TRANS/WP.15/AC.1/2015/40 (Швейцария)</w:t>
      </w:r>
    </w:p>
    <w:p w:rsidR="00B66F03" w:rsidRPr="00B66F03" w:rsidRDefault="00B66F03" w:rsidP="00B66F03">
      <w:pPr>
        <w:pStyle w:val="SingleTxt"/>
      </w:pPr>
      <w:r w:rsidRPr="00B66F03">
        <w:t>58.</w:t>
      </w:r>
      <w:r w:rsidRPr="00B66F03">
        <w:tab/>
        <w:t>Совместное совещание приняло предложение Швейцарии с добавлением сноски, направленной на уточнение в вариантах на немецком, русском и фра</w:t>
      </w:r>
      <w:r w:rsidRPr="00B66F03">
        <w:t>н</w:t>
      </w:r>
      <w:r w:rsidRPr="00B66F03">
        <w:t>цузском языках того, что моторное топливо включается в термин «горючее». Т</w:t>
      </w:r>
      <w:r w:rsidRPr="00B66F03">
        <w:t>а</w:t>
      </w:r>
      <w:r w:rsidRPr="00B66F03">
        <w:t>кая же терминология применяется в специальном положении 363 и новом спец</w:t>
      </w:r>
      <w:r w:rsidRPr="00B66F03">
        <w:t>и</w:t>
      </w:r>
      <w:r w:rsidRPr="00B66F03">
        <w:t>альном положении 666 (см. приложение I).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11.</w:t>
      </w:r>
      <w:r w:rsidRPr="00B66F03">
        <w:tab/>
        <w:t>Ограниченные количества – маркировка грузовых транспортных единиц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iCs/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rPr>
          <w:i/>
          <w:iCs/>
        </w:rPr>
        <w:t>Документ</w:t>
      </w:r>
      <w:r w:rsidRPr="00B66F03">
        <w:t>:</w:t>
      </w:r>
      <w:r w:rsidRPr="00B66F03">
        <w:tab/>
      </w:r>
      <w:r w:rsidR="00EC4B06">
        <w:tab/>
      </w:r>
      <w:r w:rsidR="00EC4B06">
        <w:tab/>
      </w:r>
      <w:r w:rsidR="00EC4B06">
        <w:tab/>
      </w:r>
      <w:r w:rsidRPr="00B66F03">
        <w:t>ECE/TRANS/WP.15/AC.1/2015/41 (Швейцария)</w:t>
      </w:r>
    </w:p>
    <w:p w:rsidR="00B66F03" w:rsidRPr="00B66F03" w:rsidRDefault="00B66F03" w:rsidP="00B66F03">
      <w:pPr>
        <w:pStyle w:val="SingleTxt"/>
      </w:pPr>
      <w:r w:rsidRPr="00B66F03">
        <w:t>59.</w:t>
      </w:r>
      <w:r w:rsidRPr="00B66F03">
        <w:tab/>
        <w:t>Устная поправка к разделу 3.4.15, предложенная представителем Нидерла</w:t>
      </w:r>
      <w:r w:rsidRPr="00B66F03">
        <w:t>н</w:t>
      </w:r>
      <w:r w:rsidRPr="00B66F03">
        <w:t>дов с целью решения проблем толкования, затронутых в документе Швейцарии, была принята (см. приложение I).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12.</w:t>
      </w:r>
      <w:r w:rsidRPr="00B66F03">
        <w:rPr>
          <w:lang w:bidi="ru-RU"/>
        </w:rPr>
        <w:tab/>
        <w:t>Расширение сферы действия специального положения 643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ECE/TRANS/WP.15/AC.1/2015/53</w:t>
      </w:r>
      <w:r w:rsidR="00EC4B06">
        <w:rPr>
          <w:lang w:bidi="ru-RU"/>
        </w:rPr>
        <w:br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 xml:space="preserve"> </w:t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(Нидерланды) 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60.</w:t>
      </w:r>
      <w:r w:rsidRPr="00B66F03">
        <w:rPr>
          <w:lang w:bidi="ru-RU"/>
        </w:rPr>
        <w:tab/>
        <w:t>Альтернативный вариант 2 предложения, касающегося освобождения от с</w:t>
      </w:r>
      <w:r w:rsidRPr="00B66F03">
        <w:rPr>
          <w:lang w:bidi="ru-RU"/>
        </w:rPr>
        <w:t>о</w:t>
      </w:r>
      <w:r w:rsidRPr="00B66F03">
        <w:rPr>
          <w:lang w:bidi="ru-RU"/>
        </w:rPr>
        <w:t>ответствующих требований перевозки литой асфальтовой смеси и веще</w:t>
      </w:r>
      <w:proofErr w:type="gramStart"/>
      <w:r w:rsidRPr="00B66F03">
        <w:rPr>
          <w:lang w:bidi="ru-RU"/>
        </w:rPr>
        <w:t>ств пр</w:t>
      </w:r>
      <w:proofErr w:type="gramEnd"/>
      <w:r w:rsidRPr="00B66F03">
        <w:rPr>
          <w:lang w:bidi="ru-RU"/>
        </w:rPr>
        <w:t>и повышенной температуре в целях нанесения дорожной разметки, был принят с некоторыми изменениями (см. приложение</w:t>
      </w:r>
      <w:r w:rsidRPr="00B66F03">
        <w:t xml:space="preserve"> I</w:t>
      </w:r>
      <w:r w:rsidRPr="00B66F03">
        <w:rPr>
          <w:lang w:bidi="ru-RU"/>
        </w:rPr>
        <w:t>).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13.</w:t>
      </w:r>
      <w:r w:rsidRPr="00B66F03">
        <w:rPr>
          <w:lang w:bidi="ru-RU"/>
        </w:rPr>
        <w:tab/>
        <w:t>Замена термина «точка кипения» термином «начальная точка кипения»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i/>
          <w:lang w:bidi="ru-RU"/>
        </w:rPr>
      </w:pPr>
      <w:r w:rsidRPr="00B66F03">
        <w:rPr>
          <w:i/>
          <w:lang w:bidi="ru-RU"/>
        </w:rPr>
        <w:t>Неофициальный документ:</w:t>
      </w:r>
      <w:r w:rsidRPr="00B66F03">
        <w:rPr>
          <w:lang w:bidi="ru-RU"/>
        </w:rPr>
        <w:tab/>
        <w:t>INF.18 (Германия)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61.</w:t>
      </w:r>
      <w:r w:rsidRPr="00B66F03">
        <w:rPr>
          <w:lang w:bidi="ru-RU"/>
        </w:rPr>
        <w:tab/>
        <w:t xml:space="preserve">Совместное совещание сочло, что это предложение должно быть сначала представлено Подкомитету экспертов </w:t>
      </w:r>
      <w:r w:rsidRPr="00B66F03">
        <w:t>Организации Объединенных Наций</w:t>
      </w:r>
      <w:r w:rsidRPr="00B66F03">
        <w:rPr>
          <w:lang w:bidi="ru-RU"/>
        </w:rPr>
        <w:t>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14.</w:t>
      </w:r>
      <w:r w:rsidRPr="00B66F03">
        <w:rPr>
          <w:lang w:bidi="ru-RU"/>
        </w:rPr>
        <w:tab/>
        <w:t>Специальное положение 188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3846">
      <w:pPr>
        <w:pStyle w:val="SingleTxt"/>
        <w:jc w:val="left"/>
        <w:rPr>
          <w:i/>
          <w:lang w:bidi="ru-RU"/>
        </w:rPr>
      </w:pPr>
      <w:r w:rsidRPr="00B66F03">
        <w:rPr>
          <w:i/>
          <w:lang w:bidi="ru-RU"/>
        </w:rPr>
        <w:t>Неофициальный документ:</w:t>
      </w:r>
      <w:r w:rsidRPr="00B66F03">
        <w:rPr>
          <w:lang w:bidi="ru-RU"/>
        </w:rPr>
        <w:tab/>
        <w:t xml:space="preserve">INF.44 (Соединенное Королевство и </w:t>
      </w:r>
      <w:r w:rsidR="00EC4B06">
        <w:rPr>
          <w:lang w:bidi="ru-RU"/>
        </w:rPr>
        <w:br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ab/>
        <w:t>Соединенные Штаты Америки)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62.</w:t>
      </w:r>
      <w:r w:rsidRPr="00B66F03">
        <w:rPr>
          <w:lang w:bidi="ru-RU"/>
        </w:rPr>
        <w:tab/>
        <w:t xml:space="preserve">Совместное совещание отметило мнение Соединенного Королевства </w:t>
      </w:r>
      <w:r w:rsidR="00047977">
        <w:t>и</w:t>
      </w:r>
      <w:r w:rsidRPr="00B66F03">
        <w:rPr>
          <w:lang w:bidi="ru-RU"/>
        </w:rPr>
        <w:t xml:space="preserve"> С</w:t>
      </w:r>
      <w:r w:rsidRPr="00B66F03">
        <w:rPr>
          <w:lang w:bidi="ru-RU"/>
        </w:rPr>
        <w:t>о</w:t>
      </w:r>
      <w:r w:rsidRPr="00B66F03">
        <w:rPr>
          <w:lang w:bidi="ru-RU"/>
        </w:rPr>
        <w:t>единенных Штатов Америки, которые заявили, что поправки к Типовым прав</w:t>
      </w:r>
      <w:r w:rsidRPr="00B66F03">
        <w:rPr>
          <w:lang w:bidi="ru-RU"/>
        </w:rPr>
        <w:t>и</w:t>
      </w:r>
      <w:r w:rsidRPr="00B66F03">
        <w:rPr>
          <w:lang w:bidi="ru-RU"/>
        </w:rPr>
        <w:lastRenderedPageBreak/>
        <w:t>лам, принятые Подкомитетом экспертов на его сессии в декабре 2014 года в о</w:t>
      </w:r>
      <w:r w:rsidRPr="00B66F03">
        <w:rPr>
          <w:lang w:bidi="ru-RU"/>
        </w:rPr>
        <w:t>т</w:t>
      </w:r>
      <w:r w:rsidRPr="00B66F03">
        <w:rPr>
          <w:lang w:bidi="ru-RU"/>
        </w:rPr>
        <w:t>ношении пункта f) специального положения 188, имеют значительные после</w:t>
      </w:r>
      <w:r w:rsidRPr="00B66F03">
        <w:rPr>
          <w:lang w:bidi="ru-RU"/>
        </w:rPr>
        <w:t>д</w:t>
      </w:r>
      <w:r w:rsidRPr="00B66F03">
        <w:rPr>
          <w:lang w:bidi="ru-RU"/>
        </w:rPr>
        <w:t>ствия, которые первоначально были недооценены. Делегациям этих стран было предложено проанализировать данный вопрос и, в случае необходимости, пред</w:t>
      </w:r>
      <w:r w:rsidRPr="00B66F03">
        <w:rPr>
          <w:lang w:bidi="ru-RU"/>
        </w:rPr>
        <w:t>у</w:t>
      </w:r>
      <w:r w:rsidRPr="00B66F03">
        <w:rPr>
          <w:lang w:bidi="ru-RU"/>
        </w:rPr>
        <w:t>смотреть принятие переходных мер, рассчитанных на более длительный срок, или заключение многосторонних соглашений.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15.</w:t>
      </w:r>
      <w:r w:rsidRPr="00B66F03">
        <w:rPr>
          <w:lang w:bidi="ru-RU"/>
        </w:rPr>
        <w:tab/>
        <w:t>Маркировочные знаки, требуемые в соответствии с пунктом 3.4.13 МПОГ/ДОПОГ/ВОПОГ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565B60" w:rsidRDefault="00B66F03" w:rsidP="00B63846">
      <w:pPr>
        <w:pStyle w:val="SingleTxt"/>
        <w:jc w:val="left"/>
      </w:pPr>
      <w:r w:rsidRPr="00B66F03">
        <w:rPr>
          <w:i/>
          <w:lang w:bidi="ru-RU"/>
        </w:rPr>
        <w:t>Документы:</w:t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val="en-US"/>
        </w:rPr>
        <w:t>ECE</w:t>
      </w:r>
      <w:r w:rsidRPr="00B66F03">
        <w:rPr>
          <w:lang w:bidi="ru-RU"/>
        </w:rPr>
        <w:t>/</w:t>
      </w:r>
      <w:r w:rsidRPr="00B66F03">
        <w:rPr>
          <w:lang w:val="en-US"/>
        </w:rPr>
        <w:t>TRANS</w:t>
      </w:r>
      <w:r w:rsidRPr="00B66F03">
        <w:rPr>
          <w:lang w:bidi="ru-RU"/>
        </w:rPr>
        <w:t>/</w:t>
      </w:r>
      <w:r w:rsidRPr="00B66F03">
        <w:rPr>
          <w:lang w:val="en-US"/>
        </w:rPr>
        <w:t>WP</w:t>
      </w:r>
      <w:r w:rsidRPr="00B66F03">
        <w:rPr>
          <w:lang w:bidi="ru-RU"/>
        </w:rPr>
        <w:t>.15/</w:t>
      </w:r>
      <w:r w:rsidRPr="00B66F03">
        <w:rPr>
          <w:lang w:val="en-US"/>
        </w:rPr>
        <w:t>AC</w:t>
      </w:r>
      <w:r w:rsidRPr="00B66F03">
        <w:rPr>
          <w:lang w:bidi="ru-RU"/>
        </w:rPr>
        <w:t>.1/2015/43 (Швейцария)</w:t>
      </w:r>
      <w:r w:rsidR="00EC4B06">
        <w:rPr>
          <w:lang w:bidi="ru-RU"/>
        </w:rPr>
        <w:br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val="en-US"/>
        </w:rPr>
        <w:t>ECE</w:t>
      </w:r>
      <w:r w:rsidRPr="00565B60">
        <w:t>/</w:t>
      </w:r>
      <w:r w:rsidRPr="00B66F03">
        <w:rPr>
          <w:lang w:val="en-US"/>
        </w:rPr>
        <w:t>TRANS</w:t>
      </w:r>
      <w:r w:rsidRPr="00565B60">
        <w:t>/</w:t>
      </w:r>
      <w:r w:rsidRPr="00B66F03">
        <w:rPr>
          <w:lang w:val="en-US"/>
        </w:rPr>
        <w:t>WP</w:t>
      </w:r>
      <w:r w:rsidRPr="00565B60">
        <w:t>.15/</w:t>
      </w:r>
      <w:r w:rsidRPr="00B66F03">
        <w:rPr>
          <w:lang w:val="en-US"/>
        </w:rPr>
        <w:t>AC</w:t>
      </w:r>
      <w:r w:rsidRPr="00565B60">
        <w:t>.1/2015/47 (</w:t>
      </w:r>
      <w:r w:rsidRPr="00B66F03">
        <w:rPr>
          <w:lang w:bidi="ru-RU"/>
        </w:rPr>
        <w:t>Австрия</w:t>
      </w:r>
      <w:r w:rsidRPr="00565B60">
        <w:t xml:space="preserve">) </w:t>
      </w:r>
    </w:p>
    <w:p w:rsidR="00B66F03" w:rsidRPr="00B66F03" w:rsidRDefault="00B66F03">
      <w:pPr>
        <w:pStyle w:val="SingleTxt"/>
        <w:rPr>
          <w:lang w:bidi="ru-RU"/>
        </w:rPr>
      </w:pPr>
      <w:r w:rsidRPr="00B66F03">
        <w:rPr>
          <w:lang w:bidi="ru-RU"/>
        </w:rPr>
        <w:t>63.</w:t>
      </w:r>
      <w:r w:rsidRPr="00B66F03">
        <w:rPr>
          <w:lang w:bidi="ru-RU"/>
        </w:rPr>
        <w:tab/>
        <w:t xml:space="preserve">Совместное совещание приняло предложение добавить новый пункт 3.4.16, но с формулировкой, отличной от той, которая предложена в </w:t>
      </w:r>
      <w:proofErr w:type="spellStart"/>
      <w:r w:rsidRPr="00B66F03">
        <w:rPr>
          <w:lang w:bidi="ru-RU"/>
        </w:rPr>
        <w:t>докуме</w:t>
      </w:r>
      <w:proofErr w:type="gramStart"/>
      <w:r w:rsidRPr="00B66F03">
        <w:rPr>
          <w:lang w:bidi="ru-RU"/>
        </w:rPr>
        <w:t>н</w:t>
      </w:r>
      <w:proofErr w:type="spellEnd"/>
      <w:r w:rsidR="00EC4B06">
        <w:rPr>
          <w:lang w:bidi="ru-RU"/>
        </w:rPr>
        <w:t>-</w:t>
      </w:r>
      <w:proofErr w:type="gramEnd"/>
      <w:r w:rsidR="00EC4B06">
        <w:rPr>
          <w:lang w:bidi="ru-RU"/>
        </w:rPr>
        <w:br/>
      </w:r>
      <w:r w:rsidRPr="00B66F03">
        <w:rPr>
          <w:lang w:bidi="ru-RU"/>
        </w:rPr>
        <w:t>те</w:t>
      </w:r>
      <w:r w:rsidR="00EC4B06">
        <w:rPr>
          <w:lang w:bidi="ru-RU"/>
        </w:rPr>
        <w:t> -</w:t>
      </w:r>
      <w:r w:rsidRPr="00B66F03">
        <w:rPr>
          <w:lang w:bidi="ru-RU"/>
        </w:rPr>
        <w:t>/2015/47, и как дополнение к пункту 3.4.15 (см. приложение</w:t>
      </w:r>
      <w:r w:rsidRPr="00B66F03">
        <w:t xml:space="preserve"> I</w:t>
      </w:r>
      <w:r w:rsidRPr="00B66F03">
        <w:rPr>
          <w:lang w:bidi="ru-RU"/>
        </w:rPr>
        <w:t>). С учетом в</w:t>
      </w:r>
      <w:r w:rsidRPr="00B66F03">
        <w:rPr>
          <w:lang w:bidi="ru-RU"/>
        </w:rPr>
        <w:t>ы</w:t>
      </w:r>
      <w:r w:rsidRPr="00B66F03">
        <w:rPr>
          <w:lang w:bidi="ru-RU"/>
        </w:rPr>
        <w:t>сказанных замечаний представитель Швейцарии исключил свои остальные пре</w:t>
      </w:r>
      <w:r w:rsidRPr="00B66F03">
        <w:rPr>
          <w:lang w:bidi="ru-RU"/>
        </w:rPr>
        <w:t>д</w:t>
      </w:r>
      <w:r w:rsidRPr="00B66F03">
        <w:rPr>
          <w:lang w:bidi="ru-RU"/>
        </w:rPr>
        <w:t xml:space="preserve">ложения из </w:t>
      </w:r>
      <w:r w:rsidRPr="00B66F03">
        <w:rPr>
          <w:iCs/>
          <w:lang w:bidi="ru-RU"/>
        </w:rPr>
        <w:t>документа</w:t>
      </w:r>
      <w:r w:rsidRPr="00B66F03">
        <w:rPr>
          <w:lang w:bidi="ru-RU"/>
        </w:rPr>
        <w:t xml:space="preserve"> </w:t>
      </w:r>
      <w:r w:rsidRPr="00B66F03">
        <w:rPr>
          <w:lang w:val="en-US"/>
        </w:rPr>
        <w:t>ECE</w:t>
      </w:r>
      <w:r w:rsidRPr="00B66F03">
        <w:rPr>
          <w:lang w:bidi="ru-RU"/>
        </w:rPr>
        <w:t>/</w:t>
      </w:r>
      <w:r w:rsidRPr="00B66F03">
        <w:rPr>
          <w:lang w:val="en-US"/>
        </w:rPr>
        <w:t>TRANS</w:t>
      </w:r>
      <w:r w:rsidRPr="00B66F03">
        <w:rPr>
          <w:lang w:bidi="ru-RU"/>
        </w:rPr>
        <w:t>/</w:t>
      </w:r>
      <w:r w:rsidRPr="00B66F03">
        <w:rPr>
          <w:lang w:val="en-US"/>
        </w:rPr>
        <w:t>WP</w:t>
      </w:r>
      <w:r w:rsidRPr="00B66F03">
        <w:rPr>
          <w:lang w:bidi="ru-RU"/>
        </w:rPr>
        <w:t>.15/</w:t>
      </w:r>
      <w:r w:rsidRPr="00B66F03">
        <w:rPr>
          <w:lang w:val="en-US"/>
        </w:rPr>
        <w:t>AC</w:t>
      </w:r>
      <w:r w:rsidRPr="00B66F03">
        <w:rPr>
          <w:lang w:bidi="ru-RU"/>
        </w:rPr>
        <w:t>.1/2015/43.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16.</w:t>
      </w:r>
      <w:r w:rsidRPr="00B66F03">
        <w:rPr>
          <w:lang w:bidi="ru-RU"/>
        </w:rPr>
        <w:tab/>
        <w:t>Подтверждение одностороннего утверждения конструкции упаковок для радиоактивных материалов, выданного странами, которые не являются Договаривающимися сторонами МПОГ, ДОПОГ или ВОПОГ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ECE/TRANS/WP.15/AC.1/2015/45 </w:t>
      </w:r>
      <w:r w:rsidRPr="00B66F03">
        <w:rPr>
          <w:lang w:bidi="ru-RU"/>
        </w:rPr>
        <w:br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(Соединенное Королевство) </w:t>
      </w:r>
    </w:p>
    <w:p w:rsidR="00B66F03" w:rsidRPr="00B66F03" w:rsidRDefault="00B66F03" w:rsidP="00B66F03">
      <w:pPr>
        <w:pStyle w:val="SingleTxt"/>
        <w:rPr>
          <w:i/>
          <w:lang w:bidi="ru-RU"/>
        </w:rPr>
      </w:pPr>
      <w:r w:rsidRPr="00B66F03">
        <w:rPr>
          <w:i/>
          <w:lang w:bidi="ru-RU"/>
        </w:rPr>
        <w:t>Неофициальный документ:</w:t>
      </w:r>
      <w:r w:rsidRPr="00B66F03">
        <w:rPr>
          <w:lang w:bidi="ru-RU"/>
        </w:rPr>
        <w:tab/>
        <w:t>INF.43 (Бельгия)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64.</w:t>
      </w:r>
      <w:r w:rsidRPr="00B66F03">
        <w:rPr>
          <w:lang w:bidi="ru-RU"/>
        </w:rPr>
        <w:tab/>
      </w:r>
      <w:proofErr w:type="gramStart"/>
      <w:r w:rsidRPr="00B66F03">
        <w:rPr>
          <w:lang w:bidi="ru-RU"/>
        </w:rPr>
        <w:t xml:space="preserve">На основе </w:t>
      </w:r>
      <w:r w:rsidRPr="00B66F03">
        <w:rPr>
          <w:iCs/>
          <w:lang w:bidi="ru-RU"/>
        </w:rPr>
        <w:t xml:space="preserve">неофициального документа </w:t>
      </w:r>
      <w:r w:rsidRPr="00B66F03">
        <w:rPr>
          <w:lang w:bidi="ru-RU"/>
        </w:rPr>
        <w:t>INF.43 Совместное совещание пр</w:t>
      </w:r>
      <w:r w:rsidRPr="00B66F03">
        <w:rPr>
          <w:lang w:bidi="ru-RU"/>
        </w:rPr>
        <w:t>и</w:t>
      </w:r>
      <w:r w:rsidRPr="00B66F03">
        <w:rPr>
          <w:lang w:bidi="ru-RU"/>
        </w:rPr>
        <w:t>няло поправки к пункту 6.4.22.8, предусматривающие, что утверждения, выда</w:t>
      </w:r>
      <w:r w:rsidRPr="00B66F03">
        <w:rPr>
          <w:lang w:bidi="ru-RU"/>
        </w:rPr>
        <w:t>н</w:t>
      </w:r>
      <w:r w:rsidRPr="00B66F03">
        <w:rPr>
          <w:lang w:bidi="ru-RU"/>
        </w:rPr>
        <w:t>ные странами, не являющимися Договаривающимися сторонами, могут быть и</w:t>
      </w:r>
      <w:r w:rsidRPr="00B66F03">
        <w:rPr>
          <w:lang w:bidi="ru-RU"/>
        </w:rPr>
        <w:t>с</w:t>
      </w:r>
      <w:r w:rsidRPr="00B66F03">
        <w:rPr>
          <w:lang w:bidi="ru-RU"/>
        </w:rPr>
        <w:t>пользованы в любой стране, являющейся Договаривающейся стороной, при условии, что они были подтверждены любой страной, являющейся Договарив</w:t>
      </w:r>
      <w:r w:rsidRPr="00B66F03">
        <w:rPr>
          <w:lang w:bidi="ru-RU"/>
        </w:rPr>
        <w:t>а</w:t>
      </w:r>
      <w:r w:rsidRPr="00B66F03">
        <w:rPr>
          <w:lang w:bidi="ru-RU"/>
        </w:rPr>
        <w:t>ющейся стороной, а не только первой страной по маршруту перевозки груза.</w:t>
      </w:r>
      <w:proofErr w:type="gramEnd"/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65.</w:t>
      </w:r>
      <w:r w:rsidRPr="00B66F03">
        <w:rPr>
          <w:lang w:bidi="ru-RU"/>
        </w:rPr>
        <w:tab/>
        <w:t>По просьбе представителя Испании Совместное совещание подтвердило, что замена слова «</w:t>
      </w:r>
      <w:proofErr w:type="spellStart"/>
      <w:r w:rsidRPr="00B66F03">
        <w:rPr>
          <w:lang w:bidi="ru-RU"/>
        </w:rPr>
        <w:t>countersigned</w:t>
      </w:r>
      <w:proofErr w:type="spellEnd"/>
      <w:r w:rsidRPr="00B66F03">
        <w:rPr>
          <w:lang w:bidi="ru-RU"/>
        </w:rPr>
        <w:t>» («заверен») словом «</w:t>
      </w:r>
      <w:proofErr w:type="spellStart"/>
      <w:r w:rsidRPr="00B66F03">
        <w:rPr>
          <w:lang w:bidi="ru-RU"/>
        </w:rPr>
        <w:t>validateded</w:t>
      </w:r>
      <w:proofErr w:type="spellEnd"/>
      <w:r w:rsidRPr="00B66F03">
        <w:rPr>
          <w:lang w:bidi="ru-RU"/>
        </w:rPr>
        <w:t>» («подтве</w:t>
      </w:r>
      <w:r w:rsidRPr="00B66F03">
        <w:rPr>
          <w:lang w:bidi="ru-RU"/>
        </w:rPr>
        <w:t>р</w:t>
      </w:r>
      <w:r w:rsidRPr="00B66F03">
        <w:rPr>
          <w:lang w:bidi="ru-RU"/>
        </w:rPr>
        <w:t>жден») в тексте не английском языке не ведет к какому-либо изменению сущ</w:t>
      </w:r>
      <w:r w:rsidRPr="00B66F03">
        <w:rPr>
          <w:lang w:bidi="ru-RU"/>
        </w:rPr>
        <w:t>е</w:t>
      </w:r>
      <w:r w:rsidRPr="00B66F03">
        <w:rPr>
          <w:lang w:bidi="ru-RU"/>
        </w:rPr>
        <w:t>ствующей процедуры использования Договаривающимися сторонами МПОГ, ДОПОГ или ВОПОГ односторонних утверждений, выданных  странами, не я</w:t>
      </w:r>
      <w:r w:rsidRPr="00B66F03">
        <w:rPr>
          <w:lang w:bidi="ru-RU"/>
        </w:rPr>
        <w:t>в</w:t>
      </w:r>
      <w:r w:rsidRPr="00B66F03">
        <w:rPr>
          <w:lang w:bidi="ru-RU"/>
        </w:rPr>
        <w:t>ляющимися Договаривающимися сторонами.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66.</w:t>
      </w:r>
      <w:r w:rsidRPr="00B66F03">
        <w:rPr>
          <w:lang w:bidi="ru-RU"/>
        </w:rPr>
        <w:tab/>
        <w:t>С учетом такого толкования делегациям было предложено проанализир</w:t>
      </w:r>
      <w:r w:rsidRPr="00B66F03">
        <w:rPr>
          <w:lang w:bidi="ru-RU"/>
        </w:rPr>
        <w:t>о</w:t>
      </w:r>
      <w:r w:rsidRPr="00B66F03">
        <w:rPr>
          <w:lang w:bidi="ru-RU"/>
        </w:rPr>
        <w:t>вать обоснованность пункта 6.4.22.8, поскольку «одностороннее» утверждение, предусмотренное Правилами МАГАТЭ, в конечном итоге предполагает утве</w:t>
      </w:r>
      <w:r w:rsidRPr="00B66F03">
        <w:rPr>
          <w:lang w:bidi="ru-RU"/>
        </w:rPr>
        <w:t>р</w:t>
      </w:r>
      <w:r w:rsidRPr="00B66F03">
        <w:rPr>
          <w:lang w:bidi="ru-RU"/>
        </w:rPr>
        <w:t>ждение с участием</w:t>
      </w:r>
      <w:r w:rsidR="00156167">
        <w:rPr>
          <w:lang w:bidi="ru-RU"/>
        </w:rPr>
        <w:t>,</w:t>
      </w:r>
      <w:r w:rsidRPr="00B66F03">
        <w:rPr>
          <w:lang w:bidi="ru-RU"/>
        </w:rPr>
        <w:t xml:space="preserve"> по крайней мере</w:t>
      </w:r>
      <w:r w:rsidR="00156167">
        <w:rPr>
          <w:lang w:bidi="ru-RU"/>
        </w:rPr>
        <w:t>,</w:t>
      </w:r>
      <w:r w:rsidRPr="00B66F03">
        <w:rPr>
          <w:lang w:bidi="ru-RU"/>
        </w:rPr>
        <w:t xml:space="preserve"> двух стран в рамках МПОГ/ДОПОГ/</w:t>
      </w:r>
      <w:r w:rsidR="00156167">
        <w:rPr>
          <w:lang w:bidi="ru-RU"/>
        </w:rPr>
        <w:t xml:space="preserve"> </w:t>
      </w:r>
      <w:r w:rsidRPr="00B66F03">
        <w:rPr>
          <w:lang w:bidi="ru-RU"/>
        </w:rPr>
        <w:t>ВОПОГ, если страна утверждения не является Договаривающейся стороной МПОГ/ДОПОГ/ВОПОГ.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17.</w:t>
      </w:r>
      <w:r w:rsidRPr="00B66F03">
        <w:rPr>
          <w:lang w:bidi="ru-RU"/>
        </w:rPr>
        <w:tab/>
        <w:t>Свидетельство о подготовке консультанта по вопросам безопасности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ECE/TRANS/WP.15/AC.1/2015/46 (Австрия) 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67.</w:t>
      </w:r>
      <w:r w:rsidRPr="00B66F03">
        <w:rPr>
          <w:lang w:bidi="ru-RU"/>
        </w:rPr>
        <w:tab/>
        <w:t>Совместное совещание сочло, что изложенную проблему проще всего р</w:t>
      </w:r>
      <w:r w:rsidRPr="00B66F03">
        <w:rPr>
          <w:lang w:bidi="ru-RU"/>
        </w:rPr>
        <w:t>е</w:t>
      </w:r>
      <w:r w:rsidRPr="00B66F03">
        <w:rPr>
          <w:lang w:bidi="ru-RU"/>
        </w:rPr>
        <w:t>шить путем исключения двух последних строк (четырех последних элементов) в образце свидетельства, приводимом в подразделе 1.8.3.18 (см. приложение I).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lastRenderedPageBreak/>
        <w:t>68.</w:t>
      </w:r>
      <w:r w:rsidRPr="00B66F03">
        <w:rPr>
          <w:lang w:bidi="ru-RU"/>
        </w:rPr>
        <w:tab/>
        <w:t>Совместное совещание также сочло, что переходные меры, принятые на предыдущей сессии в отношении вносимых в свидетельство изменений, в дост</w:t>
      </w:r>
      <w:r w:rsidRPr="00B66F03">
        <w:rPr>
          <w:lang w:bidi="ru-RU"/>
        </w:rPr>
        <w:t>а</w:t>
      </w:r>
      <w:r w:rsidRPr="00B66F03">
        <w:rPr>
          <w:lang w:bidi="ru-RU"/>
        </w:rPr>
        <w:t>точной степени согласуются с этой новой поправкой.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18.</w:t>
      </w:r>
      <w:r w:rsidRPr="00B66F03">
        <w:rPr>
          <w:lang w:bidi="ru-RU"/>
        </w:rPr>
        <w:tab/>
        <w:t>Требования в отношении информационных табло и маркировки в главе 1.4</w:t>
      </w:r>
    </w:p>
    <w:p w:rsidR="00EC4B06" w:rsidRPr="00B63846" w:rsidRDefault="00EC4B0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 w:rsidP="00B63846">
      <w:pPr>
        <w:pStyle w:val="SingleTxt"/>
        <w:jc w:val="left"/>
        <w:rPr>
          <w:bCs/>
          <w:lang w:bidi="ru-RU"/>
        </w:rPr>
      </w:pPr>
      <w:r w:rsidRPr="00B66F03">
        <w:rPr>
          <w:bCs/>
          <w:i/>
          <w:iCs/>
          <w:lang w:bidi="ru-RU"/>
        </w:rPr>
        <w:t>Документ:</w:t>
      </w: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</w:r>
      <w:r w:rsidR="00EC4B06">
        <w:rPr>
          <w:bCs/>
          <w:lang w:bidi="ru-RU"/>
        </w:rPr>
        <w:tab/>
      </w:r>
      <w:r w:rsidRPr="00B66F03">
        <w:rPr>
          <w:bCs/>
          <w:lang w:bidi="ru-RU"/>
        </w:rPr>
        <w:t xml:space="preserve">ECE/TRANS/WP.15/AC.1/2015/32 </w:t>
      </w:r>
      <w:r w:rsidR="00EC4B06">
        <w:rPr>
          <w:bCs/>
          <w:lang w:bidi="ru-RU"/>
        </w:rPr>
        <w:br/>
      </w:r>
      <w:r w:rsidR="00EC4B06">
        <w:rPr>
          <w:bCs/>
          <w:lang w:bidi="ru-RU"/>
        </w:rPr>
        <w:tab/>
      </w:r>
      <w:r w:rsidR="00EC4B06">
        <w:rPr>
          <w:bCs/>
          <w:lang w:bidi="ru-RU"/>
        </w:rPr>
        <w:tab/>
      </w:r>
      <w:r w:rsidR="00EC4B06">
        <w:rPr>
          <w:bCs/>
          <w:lang w:bidi="ru-RU"/>
        </w:rPr>
        <w:tab/>
      </w:r>
      <w:r w:rsidR="00EC4B06">
        <w:rPr>
          <w:bCs/>
          <w:lang w:bidi="ru-RU"/>
        </w:rPr>
        <w:tab/>
      </w:r>
      <w:r w:rsidR="00EC4B06">
        <w:rPr>
          <w:bCs/>
          <w:lang w:bidi="ru-RU"/>
        </w:rPr>
        <w:tab/>
      </w:r>
      <w:r w:rsidR="00EC4B06">
        <w:rPr>
          <w:bCs/>
          <w:lang w:bidi="ru-RU"/>
        </w:rPr>
        <w:tab/>
      </w:r>
      <w:r w:rsidRPr="00B66F03">
        <w:rPr>
          <w:bCs/>
          <w:lang w:bidi="ru-RU"/>
        </w:rPr>
        <w:t xml:space="preserve">(Соединенное Королевство) </w:t>
      </w:r>
    </w:p>
    <w:p w:rsidR="00B66F03" w:rsidRPr="00B66F03" w:rsidRDefault="00B66F03">
      <w:pPr>
        <w:pStyle w:val="SingleTxt"/>
        <w:rPr>
          <w:b/>
          <w:lang w:bidi="ru-RU"/>
        </w:rPr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rPr>
          <w:bCs/>
          <w:lang w:bidi="ru-RU"/>
        </w:rPr>
        <w:tab/>
        <w:t>INF.48 (Соединенное Королевство)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69.</w:t>
      </w:r>
      <w:r w:rsidRPr="00B66F03">
        <w:rPr>
          <w:bCs/>
          <w:lang w:bidi="ru-RU"/>
        </w:rPr>
        <w:tab/>
        <w:t>Изменения, предложенные в неофициальном документе INF.48, были пр</w:t>
      </w:r>
      <w:r w:rsidRPr="00B66F03">
        <w:rPr>
          <w:bCs/>
          <w:lang w:bidi="ru-RU"/>
        </w:rPr>
        <w:t>и</w:t>
      </w:r>
      <w:r w:rsidRPr="00B66F03">
        <w:rPr>
          <w:bCs/>
          <w:lang w:bidi="ru-RU"/>
        </w:rPr>
        <w:t>няты (см. приложение I).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19.</w:t>
      </w:r>
      <w:r w:rsidRPr="00B66F03">
        <w:rPr>
          <w:lang w:bidi="ru-RU"/>
        </w:rPr>
        <w:tab/>
        <w:t>Газовые баллончики (подраздел 6.2.6.4)</w:t>
      </w:r>
    </w:p>
    <w:p w:rsidR="00EC4B06" w:rsidRPr="00B63846" w:rsidRDefault="00EC4B0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i/>
          <w:iCs/>
          <w:lang w:bidi="ru-RU"/>
        </w:rPr>
        <w:t>Документ:</w:t>
      </w:r>
      <w:r w:rsidRPr="00B66F03">
        <w:rPr>
          <w:bCs/>
          <w:i/>
          <w:i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  <w:t xml:space="preserve">ECE/TRANS/WP.15/AC.1/2015/49 (ЕАПБ) 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rPr>
          <w:bCs/>
          <w:lang w:bidi="ru-RU"/>
        </w:rPr>
        <w:tab/>
        <w:t>INF.16 (Германия)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70.</w:t>
      </w:r>
      <w:r w:rsidRPr="00B66F03">
        <w:rPr>
          <w:bCs/>
          <w:lang w:bidi="ru-RU"/>
        </w:rPr>
        <w:tab/>
        <w:t>Представитель ЕАПБ снял с рассмотрения второе предложение, изложенное в документе -/2015/49. В отношении первого предложения, направленного на уточнение маркировки, наносимой на емкости малые, содержащие газ, в соотве</w:t>
      </w:r>
      <w:r w:rsidRPr="00B66F03">
        <w:rPr>
          <w:bCs/>
          <w:lang w:bidi="ru-RU"/>
        </w:rPr>
        <w:t>т</w:t>
      </w:r>
      <w:r w:rsidRPr="00B66F03">
        <w:rPr>
          <w:bCs/>
          <w:lang w:bidi="ru-RU"/>
        </w:rPr>
        <w:t xml:space="preserve">ствии со стандартом EN 16509:2014, </w:t>
      </w:r>
      <w:proofErr w:type="gramStart"/>
      <w:r w:rsidRPr="00B66F03">
        <w:rPr>
          <w:bCs/>
          <w:lang w:bidi="ru-RU"/>
        </w:rPr>
        <w:t>консенсус</w:t>
      </w:r>
      <w:proofErr w:type="gramEnd"/>
      <w:r w:rsidRPr="00B66F03">
        <w:rPr>
          <w:bCs/>
          <w:lang w:bidi="ru-RU"/>
        </w:rPr>
        <w:t xml:space="preserve"> достигнут не был, и представит</w:t>
      </w:r>
      <w:r w:rsidRPr="00B66F03">
        <w:rPr>
          <w:bCs/>
          <w:lang w:bidi="ru-RU"/>
        </w:rPr>
        <w:t>е</w:t>
      </w:r>
      <w:r w:rsidR="00156167">
        <w:rPr>
          <w:bCs/>
          <w:lang w:bidi="ru-RU"/>
        </w:rPr>
        <w:t>лю ЕА</w:t>
      </w:r>
      <w:r w:rsidRPr="00B66F03">
        <w:rPr>
          <w:bCs/>
          <w:lang w:bidi="ru-RU"/>
        </w:rPr>
        <w:t>ПБ было предложено сформулировать новое предложение для следующей сессии, с тем чтобы отразить высказанные замечания.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20.</w:t>
      </w:r>
      <w:r w:rsidRPr="00B66F03">
        <w:rPr>
          <w:lang w:bidi="ru-RU"/>
        </w:rPr>
        <w:tab/>
        <w:t>Поправка к пункту 6.2.6.1.5</w:t>
      </w:r>
    </w:p>
    <w:p w:rsidR="00156167" w:rsidRPr="00156167" w:rsidRDefault="00156167" w:rsidP="00156167">
      <w:pPr>
        <w:pStyle w:val="SingleTxt"/>
        <w:spacing w:after="0" w:line="120" w:lineRule="exact"/>
        <w:rPr>
          <w:bCs/>
          <w:i/>
          <w:iCs/>
          <w:sz w:val="10"/>
          <w:lang w:bidi="ru-RU"/>
        </w:rPr>
      </w:pP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i/>
          <w:iCs/>
          <w:lang w:bidi="ru-RU"/>
        </w:rPr>
        <w:t>Документ:</w:t>
      </w:r>
      <w:r w:rsidRPr="00B66F03">
        <w:rPr>
          <w:bCs/>
          <w:i/>
          <w:i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  <w:t xml:space="preserve">ECE/TRANS/WP.15/AC.1/2015/50 (ЕАПБ) 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i/>
          <w:iCs/>
          <w:lang w:bidi="ru-RU"/>
        </w:rPr>
        <w:t>Неофициальный документ:</w:t>
      </w:r>
      <w:r w:rsidRPr="00B66F03">
        <w:rPr>
          <w:lang w:bidi="ru-RU"/>
        </w:rPr>
        <w:tab/>
        <w:t>INF.15 (Германия)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71.</w:t>
      </w:r>
      <w:r w:rsidRPr="00B66F03">
        <w:rPr>
          <w:bCs/>
          <w:lang w:bidi="ru-RU"/>
        </w:rPr>
        <w:tab/>
        <w:t>Предлагаемая поправка к пункту 6.2.6.1.5 была принята с некоторыми и</w:t>
      </w:r>
      <w:r w:rsidRPr="00B66F03">
        <w:rPr>
          <w:bCs/>
          <w:lang w:bidi="ru-RU"/>
        </w:rPr>
        <w:t>з</w:t>
      </w:r>
      <w:r w:rsidRPr="00B66F03">
        <w:rPr>
          <w:bCs/>
          <w:lang w:bidi="ru-RU"/>
        </w:rPr>
        <w:t>менениями (см. приложение I).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V.</w:t>
      </w:r>
      <w:r w:rsidRPr="00B66F03">
        <w:rPr>
          <w:lang w:bidi="ru-RU"/>
        </w:rPr>
        <w:tab/>
        <w:t xml:space="preserve">Доклады неофициальных рабочих групп </w:t>
      </w:r>
      <w:r w:rsidRPr="00B66F03">
        <w:rPr>
          <w:lang w:bidi="ru-RU"/>
        </w:rPr>
        <w:br/>
        <w:t>(пункт 4 повестки дня)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А.</w:t>
      </w:r>
      <w:r w:rsidRPr="00B66F03">
        <w:rPr>
          <w:lang w:bidi="ru-RU"/>
        </w:rPr>
        <w:tab/>
        <w:t>Неофициальная рабочая группа по перевозке отходов электрического и электронного оборудования</w:t>
      </w: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3846">
      <w:pPr>
        <w:pStyle w:val="SingleTxt"/>
        <w:jc w:val="left"/>
        <w:rPr>
          <w:lang w:bidi="ru-RU"/>
        </w:rPr>
      </w:pPr>
      <w:r w:rsidRPr="00B66F03">
        <w:rPr>
          <w:i/>
          <w:lang w:bidi="ru-RU"/>
        </w:rPr>
        <w:t>Неофициальные документы:</w:t>
      </w:r>
      <w:r w:rsidRPr="00B66F03">
        <w:rPr>
          <w:lang w:bidi="ru-RU"/>
        </w:rPr>
        <w:tab/>
        <w:t>INF.13 (Германия)</w:t>
      </w:r>
      <w:r w:rsidRPr="00B66F03">
        <w:rPr>
          <w:lang w:bidi="ru-RU"/>
        </w:rPr>
        <w:br/>
      </w:r>
      <w:r w:rsidRPr="00B66F03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="00EC4B06">
        <w:rPr>
          <w:lang w:bidi="ru-RU"/>
        </w:rPr>
        <w:tab/>
      </w:r>
      <w:r w:rsidRPr="00B66F03">
        <w:rPr>
          <w:lang w:bidi="ru-RU"/>
        </w:rPr>
        <w:t>INF.14 и -/</w:t>
      </w:r>
      <w:r w:rsidRPr="00B66F03">
        <w:rPr>
          <w:lang w:val="en-US"/>
        </w:rPr>
        <w:t>Add</w:t>
      </w:r>
      <w:r w:rsidRPr="00B66F03">
        <w:rPr>
          <w:lang w:bidi="ru-RU"/>
        </w:rPr>
        <w:t>.1(RECHARGE)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72.</w:t>
      </w:r>
      <w:r w:rsidRPr="00B66F03">
        <w:rPr>
          <w:lang w:bidi="ru-RU"/>
        </w:rPr>
        <w:tab/>
        <w:t>Совместное совещание отметило, что данная неофициальная рабочая гру</w:t>
      </w:r>
      <w:r w:rsidRPr="00B66F03">
        <w:rPr>
          <w:lang w:bidi="ru-RU"/>
        </w:rPr>
        <w:t>п</w:t>
      </w:r>
      <w:r w:rsidRPr="00B66F03">
        <w:rPr>
          <w:lang w:bidi="ru-RU"/>
        </w:rPr>
        <w:t xml:space="preserve">па должна провести дополнительные заседания, с </w:t>
      </w:r>
      <w:proofErr w:type="gramStart"/>
      <w:r w:rsidRPr="00B66F03">
        <w:rPr>
          <w:lang w:bidi="ru-RU"/>
        </w:rPr>
        <w:t>тем</w:t>
      </w:r>
      <w:proofErr w:type="gramEnd"/>
      <w:r w:rsidRPr="00B66F03">
        <w:rPr>
          <w:lang w:bidi="ru-RU"/>
        </w:rPr>
        <w:t xml:space="preserve"> чтобы продолжить свою работу, и утвердило предложенную программу. Оно также приняло в предвар</w:t>
      </w:r>
      <w:r w:rsidRPr="00B66F03">
        <w:rPr>
          <w:lang w:bidi="ru-RU"/>
        </w:rPr>
        <w:t>и</w:t>
      </w:r>
      <w:r w:rsidRPr="00B66F03">
        <w:rPr>
          <w:lang w:bidi="ru-RU"/>
        </w:rPr>
        <w:t>тельном порядке поправки к пункту b) специального положения 636, предложе</w:t>
      </w:r>
      <w:r w:rsidRPr="00B66F03">
        <w:rPr>
          <w:lang w:bidi="ru-RU"/>
        </w:rPr>
        <w:t>н</w:t>
      </w:r>
      <w:r w:rsidRPr="00B66F03">
        <w:rPr>
          <w:lang w:bidi="ru-RU"/>
        </w:rPr>
        <w:t xml:space="preserve">ные в пункте 48 доклада (см. приложение </w:t>
      </w:r>
      <w:r w:rsidRPr="00B66F03">
        <w:rPr>
          <w:bCs/>
          <w:lang w:bidi="ru-RU"/>
        </w:rPr>
        <w:t>I</w:t>
      </w:r>
      <w:r w:rsidRPr="00B66F03">
        <w:rPr>
          <w:lang w:bidi="ru-RU"/>
        </w:rPr>
        <w:t>). Вместе с тем было подчеркнуто, что необходимо учесть терминологию, используемую в Директиве 2012/19/E</w:t>
      </w:r>
      <w:r w:rsidRPr="00B66F03">
        <w:rPr>
          <w:lang w:val="en-US"/>
        </w:rPr>
        <w:t>U</w:t>
      </w:r>
      <w:r w:rsidRPr="00B66F03">
        <w:rPr>
          <w:lang w:bidi="ru-RU"/>
        </w:rPr>
        <w:t xml:space="preserve"> по о</w:t>
      </w:r>
      <w:r w:rsidRPr="00B66F03">
        <w:rPr>
          <w:lang w:bidi="ru-RU"/>
        </w:rPr>
        <w:t>т</w:t>
      </w:r>
      <w:r w:rsidRPr="00B66F03">
        <w:rPr>
          <w:lang w:bidi="ru-RU"/>
        </w:rPr>
        <w:t xml:space="preserve">ходам электрического и электронного оборудования (ОЭЭО). RECHARGE было предложено предоставить дополнительные данные. Кроме того, делегациям было предложено ответить на вопросник, подготовленный рабочей группой после надлежащего согласования на национальном уровне, с </w:t>
      </w:r>
      <w:proofErr w:type="gramStart"/>
      <w:r w:rsidRPr="00B66F03">
        <w:rPr>
          <w:lang w:bidi="ru-RU"/>
        </w:rPr>
        <w:t>тем</w:t>
      </w:r>
      <w:proofErr w:type="gramEnd"/>
      <w:r w:rsidRPr="00B66F03">
        <w:rPr>
          <w:lang w:bidi="ru-RU"/>
        </w:rPr>
        <w:t xml:space="preserve"> чтобы обеспечить учет мнений всех заинтересованных сторон.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lastRenderedPageBreak/>
        <w:tab/>
        <w:t>В.</w:t>
      </w:r>
      <w:r w:rsidRPr="00B66F03">
        <w:rPr>
          <w:lang w:bidi="ru-RU"/>
        </w:rPr>
        <w:tab/>
        <w:t>Неофициальная рабочая группа по положениям, касающимся оборудования цистерн и сосудов под давлением</w:t>
      </w:r>
    </w:p>
    <w:p w:rsidR="00EC4B06" w:rsidRPr="00B63846" w:rsidRDefault="00EC4B0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314659" w:rsidRDefault="00B66F03">
      <w:pPr>
        <w:pStyle w:val="SingleTxt"/>
        <w:rPr>
          <w:bCs/>
          <w:lang w:val="en-GB" w:bidi="ru-RU"/>
        </w:rPr>
      </w:pPr>
      <w:r w:rsidRPr="00B66F03">
        <w:rPr>
          <w:bCs/>
          <w:i/>
          <w:iCs/>
          <w:lang w:bidi="ru-RU"/>
        </w:rPr>
        <w:t>Документ</w:t>
      </w:r>
      <w:r w:rsidRPr="00314659">
        <w:rPr>
          <w:bCs/>
          <w:i/>
          <w:iCs/>
          <w:lang w:val="en-GB" w:bidi="ru-RU"/>
        </w:rPr>
        <w:t>:</w:t>
      </w:r>
      <w:r w:rsidRPr="00314659">
        <w:rPr>
          <w:bCs/>
          <w:i/>
          <w:iCs/>
          <w:lang w:val="en-GB" w:bidi="ru-RU"/>
        </w:rPr>
        <w:tab/>
      </w:r>
      <w:r w:rsidRPr="00314659">
        <w:rPr>
          <w:bCs/>
          <w:lang w:val="en-GB" w:bidi="ru-RU"/>
        </w:rPr>
        <w:tab/>
      </w:r>
      <w:r w:rsidRPr="00314659">
        <w:rPr>
          <w:bCs/>
          <w:lang w:val="en-GB" w:bidi="ru-RU"/>
        </w:rPr>
        <w:tab/>
      </w:r>
      <w:r w:rsidRPr="00314659">
        <w:rPr>
          <w:bCs/>
          <w:lang w:val="en-GB" w:bidi="ru-RU"/>
        </w:rPr>
        <w:tab/>
        <w:t>ECE/TRANS/WP.15/AC.1/2015/38 (</w:t>
      </w:r>
      <w:r w:rsidRPr="00B66F03">
        <w:rPr>
          <w:bCs/>
          <w:lang w:bidi="ru-RU"/>
        </w:rPr>
        <w:t>ЕАПГ</w:t>
      </w:r>
      <w:r w:rsidRPr="00314659">
        <w:rPr>
          <w:bCs/>
          <w:lang w:val="en-GB" w:bidi="ru-RU"/>
        </w:rPr>
        <w:t xml:space="preserve">) 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73.</w:t>
      </w:r>
      <w:r w:rsidRPr="00B66F03">
        <w:rPr>
          <w:bCs/>
          <w:lang w:bidi="ru-RU"/>
        </w:rPr>
        <w:tab/>
        <w:t>Совместное совещание приняло к сведению ход работы над этими вопрос</w:t>
      </w:r>
      <w:r w:rsidRPr="00B66F03">
        <w:rPr>
          <w:bCs/>
          <w:lang w:bidi="ru-RU"/>
        </w:rPr>
        <w:t>а</w:t>
      </w:r>
      <w:r w:rsidRPr="00B66F03">
        <w:rPr>
          <w:bCs/>
          <w:lang w:bidi="ru-RU"/>
        </w:rPr>
        <w:t>ми. Доклад данной группы содержал конкретные предложения, однако группа не хотела бы, чтобы Совместное совещание приняло решение до того, как предл</w:t>
      </w:r>
      <w:r w:rsidRPr="00B66F03">
        <w:rPr>
          <w:bCs/>
          <w:lang w:bidi="ru-RU"/>
        </w:rPr>
        <w:t>о</w:t>
      </w:r>
      <w:r w:rsidRPr="00B66F03">
        <w:rPr>
          <w:bCs/>
          <w:lang w:bidi="ru-RU"/>
        </w:rPr>
        <w:t>жения, которые касаются Типовых правил ООН, будут рассмотрены Подкомит</w:t>
      </w:r>
      <w:r w:rsidRPr="00B66F03">
        <w:rPr>
          <w:bCs/>
          <w:lang w:bidi="ru-RU"/>
        </w:rPr>
        <w:t>е</w:t>
      </w:r>
      <w:r w:rsidRPr="00B66F03">
        <w:rPr>
          <w:bCs/>
          <w:lang w:bidi="ru-RU"/>
        </w:rPr>
        <w:t xml:space="preserve">том экспертов </w:t>
      </w:r>
      <w:r w:rsidRPr="00B66F03">
        <w:rPr>
          <w:bCs/>
        </w:rPr>
        <w:t>Организации Объединенных Наций</w:t>
      </w:r>
      <w:r w:rsidRPr="00B66F03">
        <w:rPr>
          <w:bCs/>
          <w:lang w:bidi="ru-RU"/>
        </w:rPr>
        <w:t>.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74.</w:t>
      </w:r>
      <w:r w:rsidRPr="00B66F03">
        <w:rPr>
          <w:bCs/>
          <w:lang w:bidi="ru-RU"/>
        </w:rPr>
        <w:tab/>
        <w:t xml:space="preserve">В силу этого Совместное совещание предложило представителю ЕАПГ представить Подкомитету экспертов </w:t>
      </w:r>
      <w:r w:rsidRPr="00B66F03">
        <w:rPr>
          <w:bCs/>
        </w:rPr>
        <w:t>Организации Объединенных Наций</w:t>
      </w:r>
      <w:r w:rsidRPr="00B66F03">
        <w:rPr>
          <w:bCs/>
          <w:lang w:bidi="ru-RU"/>
        </w:rPr>
        <w:t xml:space="preserve"> соотве</w:t>
      </w:r>
      <w:r w:rsidRPr="00B66F03">
        <w:rPr>
          <w:bCs/>
          <w:lang w:bidi="ru-RU"/>
        </w:rPr>
        <w:t>т</w:t>
      </w:r>
      <w:r w:rsidRPr="00B66F03">
        <w:rPr>
          <w:bCs/>
          <w:lang w:bidi="ru-RU"/>
        </w:rPr>
        <w:t>ствующие предложения, а неофициальной рабочей группе – продолжить свою работу, в том числе над  вопросами, касающимися цистерн.</w:t>
      </w: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С.</w:t>
      </w:r>
      <w:r w:rsidRPr="00B66F03">
        <w:rPr>
          <w:lang w:bidi="ru-RU"/>
        </w:rPr>
        <w:tab/>
        <w:t xml:space="preserve">Неофициальная рабочая группа по периодическим проверкам </w:t>
      </w:r>
      <w:r w:rsidR="00EC4B06">
        <w:rPr>
          <w:lang w:bidi="ru-RU"/>
        </w:rPr>
        <w:br/>
      </w:r>
      <w:r w:rsidRPr="00B66F03">
        <w:rPr>
          <w:lang w:bidi="ru-RU"/>
        </w:rPr>
        <w:t>и испытаниям некоторых переносных стальных баллонов многоразового использования для СНГ</w:t>
      </w:r>
    </w:p>
    <w:p w:rsidR="00EC4B06" w:rsidRPr="00B63846" w:rsidRDefault="00EC4B0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EC4B06" w:rsidRPr="00B63846" w:rsidRDefault="00EC4B0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314659" w:rsidRDefault="00B66F03">
      <w:pPr>
        <w:pStyle w:val="SingleTxt"/>
        <w:rPr>
          <w:bCs/>
          <w:lang w:val="en-GB" w:bidi="ru-RU"/>
        </w:rPr>
      </w:pPr>
      <w:r w:rsidRPr="00B66F03">
        <w:rPr>
          <w:bCs/>
          <w:i/>
          <w:iCs/>
          <w:lang w:bidi="ru-RU"/>
        </w:rPr>
        <w:t>Документ</w:t>
      </w:r>
      <w:r w:rsidRPr="00314659">
        <w:rPr>
          <w:bCs/>
          <w:i/>
          <w:iCs/>
          <w:lang w:val="en-GB" w:bidi="ru-RU"/>
        </w:rPr>
        <w:t>:</w:t>
      </w:r>
      <w:r w:rsidRPr="00314659">
        <w:rPr>
          <w:bCs/>
          <w:i/>
          <w:iCs/>
          <w:lang w:val="en-GB" w:bidi="ru-RU"/>
        </w:rPr>
        <w:tab/>
      </w:r>
      <w:r w:rsidRPr="00314659">
        <w:rPr>
          <w:bCs/>
          <w:lang w:val="en-GB" w:bidi="ru-RU"/>
        </w:rPr>
        <w:tab/>
      </w:r>
      <w:r w:rsidRPr="00314659">
        <w:rPr>
          <w:bCs/>
          <w:lang w:val="en-GB" w:bidi="ru-RU"/>
        </w:rPr>
        <w:tab/>
      </w:r>
      <w:r w:rsidRPr="00314659">
        <w:rPr>
          <w:bCs/>
          <w:lang w:val="en-GB" w:bidi="ru-RU"/>
        </w:rPr>
        <w:tab/>
        <w:t>ECE/TRANS/WP.15/AC.1/2015/48 (</w:t>
      </w:r>
      <w:r w:rsidRPr="00B66F03">
        <w:rPr>
          <w:bCs/>
          <w:lang w:bidi="ru-RU"/>
        </w:rPr>
        <w:t>ЕАСНГ</w:t>
      </w:r>
      <w:r w:rsidRPr="00314659">
        <w:rPr>
          <w:bCs/>
          <w:lang w:val="en-GB" w:bidi="ru-RU"/>
        </w:rPr>
        <w:t xml:space="preserve">) </w:t>
      </w:r>
    </w:p>
    <w:p w:rsidR="00B66F03" w:rsidRPr="00B66F03" w:rsidRDefault="00B66F03" w:rsidP="00B63846">
      <w:pPr>
        <w:pStyle w:val="SingleTxt"/>
        <w:jc w:val="left"/>
        <w:rPr>
          <w:lang w:bidi="ru-RU"/>
        </w:rPr>
      </w:pPr>
      <w:r w:rsidRPr="00B66F03">
        <w:rPr>
          <w:i/>
          <w:lang w:bidi="ru-RU"/>
        </w:rPr>
        <w:t>Неофициальные документы:</w:t>
      </w:r>
      <w:r w:rsidRPr="00B66F03">
        <w:rPr>
          <w:lang w:bidi="ru-RU"/>
        </w:rPr>
        <w:tab/>
        <w:t>INF.20 и INF.21 (</w:t>
      </w:r>
      <w:r w:rsidRPr="00B66F03">
        <w:rPr>
          <w:bCs/>
          <w:lang w:bidi="ru-RU"/>
        </w:rPr>
        <w:t>ЕА</w:t>
      </w:r>
      <w:r w:rsidRPr="00B66F03">
        <w:rPr>
          <w:lang w:bidi="ru-RU"/>
        </w:rPr>
        <w:t>СН</w:t>
      </w:r>
      <w:r w:rsidRPr="00B66F03">
        <w:rPr>
          <w:bCs/>
          <w:lang w:bidi="ru-RU"/>
        </w:rPr>
        <w:t>Г</w:t>
      </w:r>
      <w:r w:rsidRPr="00B66F03">
        <w:rPr>
          <w:lang w:bidi="ru-RU"/>
        </w:rPr>
        <w:t>)</w:t>
      </w:r>
      <w:r w:rsidR="00AC6BA2">
        <w:rPr>
          <w:lang w:bidi="ru-RU"/>
        </w:rPr>
        <w:t xml:space="preserve"> </w:t>
      </w:r>
      <w:r w:rsidRPr="00B66F03">
        <w:rPr>
          <w:lang w:bidi="ru-RU"/>
        </w:rPr>
        <w:tab/>
      </w:r>
      <w:r w:rsidR="00910653">
        <w:rPr>
          <w:lang w:bidi="ru-RU"/>
        </w:rPr>
        <w:br/>
      </w:r>
      <w:r w:rsidR="00910653">
        <w:rPr>
          <w:lang w:bidi="ru-RU"/>
        </w:rPr>
        <w:tab/>
      </w:r>
      <w:r w:rsidR="00910653">
        <w:rPr>
          <w:lang w:bidi="ru-RU"/>
        </w:rPr>
        <w:tab/>
      </w:r>
      <w:r w:rsidR="00910653">
        <w:rPr>
          <w:lang w:bidi="ru-RU"/>
        </w:rPr>
        <w:tab/>
      </w:r>
      <w:r w:rsidR="00910653">
        <w:rPr>
          <w:lang w:bidi="ru-RU"/>
        </w:rPr>
        <w:tab/>
      </w:r>
      <w:r w:rsidR="00910653">
        <w:rPr>
          <w:lang w:bidi="ru-RU"/>
        </w:rPr>
        <w:tab/>
      </w:r>
      <w:r w:rsidR="00910653">
        <w:rPr>
          <w:lang w:bidi="ru-RU"/>
        </w:rPr>
        <w:tab/>
      </w:r>
      <w:r w:rsidRPr="00B66F03">
        <w:rPr>
          <w:lang w:bidi="ru-RU"/>
        </w:rPr>
        <w:t>INF.30 (Испания)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75.</w:t>
      </w:r>
      <w:r w:rsidRPr="00B66F03">
        <w:rPr>
          <w:lang w:bidi="ru-RU"/>
        </w:rPr>
        <w:tab/>
        <w:t>Некоторые делегации указали, что они не поддерживают принцип проверки с помощью случайной выборки. Однако было отмечено, что испытания, пред</w:t>
      </w:r>
      <w:r w:rsidRPr="00B66F03">
        <w:rPr>
          <w:lang w:bidi="ru-RU"/>
        </w:rPr>
        <w:t>у</w:t>
      </w:r>
      <w:r w:rsidRPr="00B66F03">
        <w:rPr>
          <w:lang w:bidi="ru-RU"/>
        </w:rPr>
        <w:t>смотренные для классической конструкции газовых баллонов, не подходят для некоторых баллонов ввиду их особой конструкции, и что необходимо разраб</w:t>
      </w:r>
      <w:r w:rsidRPr="00B66F03">
        <w:rPr>
          <w:lang w:bidi="ru-RU"/>
        </w:rPr>
        <w:t>о</w:t>
      </w:r>
      <w:r w:rsidRPr="00B66F03">
        <w:rPr>
          <w:lang w:bidi="ru-RU"/>
        </w:rPr>
        <w:t>тать альтернативные методы испытания и проверки.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76.</w:t>
      </w:r>
      <w:r w:rsidRPr="00B66F03">
        <w:rPr>
          <w:lang w:bidi="ru-RU"/>
        </w:rPr>
        <w:tab/>
        <w:t>Представитель ЕАСНГ заявил, что он не просит</w:t>
      </w:r>
      <w:r w:rsidRPr="00B66F03">
        <w:rPr>
          <w:bCs/>
          <w:lang w:bidi="ru-RU"/>
        </w:rPr>
        <w:t xml:space="preserve"> Совместное совещание принять решения по предложениям, содержащимся в докладе </w:t>
      </w:r>
      <w:r w:rsidRPr="00B66F03">
        <w:rPr>
          <w:lang w:bidi="ru-RU"/>
        </w:rPr>
        <w:t>не</w:t>
      </w:r>
      <w:r w:rsidRPr="00B66F03">
        <w:rPr>
          <w:bCs/>
          <w:lang w:bidi="ru-RU"/>
        </w:rPr>
        <w:t xml:space="preserve">официальной </w:t>
      </w:r>
      <w:r w:rsidRPr="00B66F03">
        <w:rPr>
          <w:lang w:bidi="ru-RU"/>
        </w:rPr>
        <w:t>рабочей группы по альтернативным методам проведения периодических пров</w:t>
      </w:r>
      <w:r w:rsidRPr="00B66F03">
        <w:rPr>
          <w:lang w:bidi="ru-RU"/>
        </w:rPr>
        <w:t>е</w:t>
      </w:r>
      <w:r w:rsidRPr="00B66F03">
        <w:rPr>
          <w:lang w:bidi="ru-RU"/>
        </w:rPr>
        <w:t>рок, поскольку необходимо учесть некоторые новые элементы и не</w:t>
      </w:r>
      <w:r w:rsidRPr="00B66F03">
        <w:rPr>
          <w:bCs/>
          <w:lang w:bidi="ru-RU"/>
        </w:rPr>
        <w:t xml:space="preserve">официальной </w:t>
      </w:r>
      <w:r w:rsidRPr="00B66F03">
        <w:rPr>
          <w:lang w:bidi="ru-RU"/>
        </w:rPr>
        <w:t>рабочей группе следует продолжить свою работу и распространить ее на другие газы.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77.</w:t>
      </w:r>
      <w:r w:rsidRPr="00B66F03">
        <w:rPr>
          <w:lang w:bidi="ru-RU"/>
        </w:rPr>
        <w:tab/>
      </w:r>
      <w:r w:rsidRPr="00B66F03">
        <w:rPr>
          <w:bCs/>
          <w:lang w:bidi="ru-RU"/>
        </w:rPr>
        <w:t xml:space="preserve">Совместное совещание согласилось с тем, что </w:t>
      </w:r>
      <w:r w:rsidRPr="00B66F03">
        <w:rPr>
          <w:lang w:bidi="ru-RU"/>
        </w:rPr>
        <w:t>не</w:t>
      </w:r>
      <w:r w:rsidRPr="00B66F03">
        <w:rPr>
          <w:bCs/>
          <w:lang w:bidi="ru-RU"/>
        </w:rPr>
        <w:t xml:space="preserve">официальной </w:t>
      </w:r>
      <w:r w:rsidRPr="00B66F03">
        <w:rPr>
          <w:lang w:bidi="ru-RU"/>
        </w:rPr>
        <w:t>рабочей группе следует продолжить свою работу.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  <w:lang w:bidi="ru-RU"/>
        </w:rPr>
      </w:pPr>
      <w:r w:rsidRPr="00B66F03">
        <w:rPr>
          <w:lang w:bidi="ru-RU"/>
        </w:rPr>
        <w:tab/>
        <w:t>VI.</w:t>
      </w:r>
      <w:r w:rsidRPr="00B66F03">
        <w:rPr>
          <w:lang w:bidi="ru-RU"/>
        </w:rPr>
        <w:tab/>
        <w:t xml:space="preserve">Стандарты (пункт 5 повестки дня) </w:t>
      </w:r>
    </w:p>
    <w:p w:rsidR="00AC6BA2" w:rsidRPr="00B63846" w:rsidRDefault="00AC6BA2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3846">
      <w:pPr>
        <w:pStyle w:val="SingleTxt"/>
        <w:jc w:val="left"/>
        <w:rPr>
          <w:lang w:bidi="ru-RU"/>
        </w:rPr>
      </w:pPr>
      <w:r w:rsidRPr="00B66F03">
        <w:rPr>
          <w:i/>
          <w:lang w:bidi="ru-RU"/>
        </w:rPr>
        <w:t>Документ: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ECE/TRANS/WP.15/AC.1/2015/15 (Соединенное </w:t>
      </w:r>
      <w:r w:rsidR="00AC6BA2">
        <w:rPr>
          <w:lang w:bidi="ru-RU"/>
        </w:rPr>
        <w:br/>
      </w:r>
      <w:r w:rsidR="00AC6BA2">
        <w:rPr>
          <w:lang w:bidi="ru-RU"/>
        </w:rPr>
        <w:tab/>
      </w:r>
      <w:r w:rsidR="00AC6BA2">
        <w:rPr>
          <w:lang w:bidi="ru-RU"/>
        </w:rPr>
        <w:tab/>
      </w:r>
      <w:r w:rsidR="00AC6BA2">
        <w:rPr>
          <w:lang w:bidi="ru-RU"/>
        </w:rPr>
        <w:tab/>
      </w:r>
      <w:r w:rsidR="00AC6BA2">
        <w:rPr>
          <w:lang w:bidi="ru-RU"/>
        </w:rPr>
        <w:tab/>
      </w:r>
      <w:r w:rsidR="00AC6BA2">
        <w:rPr>
          <w:lang w:bidi="ru-RU"/>
        </w:rPr>
        <w:tab/>
      </w:r>
      <w:r w:rsidR="00AC6BA2">
        <w:rPr>
          <w:lang w:bidi="ru-RU"/>
        </w:rPr>
        <w:tab/>
      </w:r>
      <w:r w:rsidRPr="00B66F03">
        <w:rPr>
          <w:lang w:bidi="ru-RU"/>
        </w:rPr>
        <w:t>Королевство) (Стандарт EN 13972:2014)</w:t>
      </w:r>
    </w:p>
    <w:p w:rsidR="00B66F03" w:rsidRPr="00B66F03" w:rsidRDefault="00B66F03" w:rsidP="00156167">
      <w:pPr>
        <w:pStyle w:val="SingleTxt"/>
        <w:ind w:left="4133" w:hanging="2866"/>
        <w:jc w:val="left"/>
        <w:rPr>
          <w:lang w:bidi="ru-RU"/>
        </w:rPr>
      </w:pPr>
      <w:r w:rsidRPr="00B66F03">
        <w:rPr>
          <w:i/>
          <w:lang w:bidi="ru-RU"/>
        </w:rPr>
        <w:t>Неофициальные документы</w:t>
      </w:r>
      <w:r w:rsidRPr="00B66F03">
        <w:rPr>
          <w:lang w:bidi="ru-RU"/>
        </w:rPr>
        <w:t xml:space="preserve">: </w:t>
      </w:r>
      <w:r w:rsidRPr="00B66F03">
        <w:rPr>
          <w:lang w:bidi="ru-RU"/>
        </w:rPr>
        <w:tab/>
        <w:t>INF.17 (Германия) (Применение станда</w:t>
      </w:r>
      <w:r w:rsidR="00AC6BA2">
        <w:rPr>
          <w:lang w:bidi="ru-RU"/>
        </w:rPr>
        <w:t>р</w:t>
      </w:r>
      <w:r w:rsidRPr="00B66F03">
        <w:rPr>
          <w:lang w:bidi="ru-RU"/>
        </w:rPr>
        <w:t>та EN</w:t>
      </w:r>
      <w:r w:rsidRPr="00B66F03">
        <w:rPr>
          <w:lang w:val="en-US"/>
        </w:rPr>
        <w:t> </w:t>
      </w:r>
      <w:r w:rsidRPr="00B66F03">
        <w:rPr>
          <w:lang w:bidi="ru-RU"/>
        </w:rPr>
        <w:t xml:space="preserve">13807:2003 в отношении МЭГК) </w:t>
      </w:r>
      <w:r w:rsidRPr="00B66F03">
        <w:rPr>
          <w:lang w:bidi="ru-RU"/>
        </w:rPr>
        <w:br/>
        <w:t xml:space="preserve">INF.24 (ЕКС) (Пересмотр стандарта EN 14025) </w:t>
      </w:r>
      <w:r w:rsidR="00AC6BA2">
        <w:rPr>
          <w:lang w:bidi="ru-RU"/>
        </w:rPr>
        <w:br/>
      </w:r>
      <w:r w:rsidRPr="00B66F03">
        <w:rPr>
          <w:lang w:bidi="ru-RU"/>
        </w:rPr>
        <w:t xml:space="preserve">INF.29 (Соединенное Королевство) (Испытание </w:t>
      </w:r>
      <w:r w:rsidR="00AC6BA2">
        <w:rPr>
          <w:lang w:bidi="ru-RU"/>
        </w:rPr>
        <w:br/>
      </w:r>
      <w:r w:rsidRPr="00B66F03">
        <w:rPr>
          <w:lang w:bidi="ru-RU"/>
        </w:rPr>
        <w:t xml:space="preserve">под давлением с использованием газа) </w:t>
      </w:r>
      <w:r w:rsidRPr="00B66F03">
        <w:rPr>
          <w:lang w:bidi="ru-RU"/>
        </w:rPr>
        <w:br/>
        <w:t xml:space="preserve">INF.36, документ весенней сессии 2015 года </w:t>
      </w:r>
      <w:r w:rsidRPr="00B66F03">
        <w:rPr>
          <w:lang w:bidi="ru-RU"/>
        </w:rPr>
        <w:br/>
        <w:t xml:space="preserve">(Соединенное Королевство) </w:t>
      </w:r>
      <w:r w:rsidRPr="00B66F03">
        <w:rPr>
          <w:lang w:bidi="ru-RU"/>
        </w:rPr>
        <w:br/>
        <w:t>(Стандарт EN 12972:2014)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78.</w:t>
      </w:r>
      <w:r w:rsidRPr="00B66F03">
        <w:rPr>
          <w:lang w:bidi="ru-RU"/>
        </w:rPr>
        <w:tab/>
        <w:t xml:space="preserve">Поскольку эти документы касались стандартов в отношении цистерн, их рассмотрение было поручено Рабочей группе по цистернам, которая провела </w:t>
      </w:r>
      <w:r w:rsidRPr="00B66F03">
        <w:rPr>
          <w:lang w:bidi="ru-RU"/>
        </w:rPr>
        <w:lastRenderedPageBreak/>
        <w:t xml:space="preserve">свои заседания 21–23 марта под председательством г-на А. </w:t>
      </w:r>
      <w:proofErr w:type="spellStart"/>
      <w:r w:rsidRPr="00B66F03">
        <w:rPr>
          <w:lang w:bidi="ru-RU"/>
        </w:rPr>
        <w:t>Бейла</w:t>
      </w:r>
      <w:proofErr w:type="spellEnd"/>
      <w:r w:rsidRPr="00B66F03">
        <w:rPr>
          <w:lang w:bidi="ru-RU"/>
        </w:rPr>
        <w:t xml:space="preserve"> (Соединенное Королевство).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/>
          <w:lang w:bidi="ru-RU"/>
        </w:rPr>
      </w:pPr>
      <w:r w:rsidRPr="00B66F03">
        <w:rPr>
          <w:lang w:bidi="ru-RU"/>
        </w:rPr>
        <w:tab/>
        <w:t>VII.</w:t>
      </w:r>
      <w:r w:rsidRPr="00B66F03">
        <w:rPr>
          <w:lang w:bidi="ru-RU"/>
        </w:rPr>
        <w:tab/>
        <w:t xml:space="preserve">Цистерны (пункт 6 повестки дня) </w:t>
      </w:r>
    </w:p>
    <w:p w:rsidR="00AC6BA2" w:rsidRPr="00B63846" w:rsidRDefault="00AC6BA2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i/>
          <w:lang w:bidi="ru-RU"/>
        </w:rPr>
        <w:t>Документы:</w:t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ECE/TRANS/WP.15/AC.1/2015/23 и Add.1 (Доклад Специальной рабочей группы по согласованию МПОГ/ДОПОГ/ВОПОГ с Рекомендациями Орг</w:t>
      </w:r>
      <w:r w:rsidRPr="00B66F03">
        <w:rPr>
          <w:lang w:bidi="ru-RU"/>
        </w:rPr>
        <w:t>а</w:t>
      </w:r>
      <w:r w:rsidRPr="00B66F03">
        <w:rPr>
          <w:lang w:bidi="ru-RU"/>
        </w:rPr>
        <w:t>низации Объединенных Наций по перевозке опа</w:t>
      </w:r>
      <w:r w:rsidRPr="00B66F03">
        <w:rPr>
          <w:lang w:bidi="ru-RU"/>
        </w:rPr>
        <w:t>с</w:t>
      </w:r>
      <w:r w:rsidRPr="00B66F03">
        <w:rPr>
          <w:lang w:bidi="ru-RU"/>
        </w:rPr>
        <w:t>ных грузов)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ECE/TRANS/WP.15/AC.1/2015/27 (МСЖД) (Пер</w:t>
      </w:r>
      <w:r w:rsidRPr="00B66F03">
        <w:rPr>
          <w:lang w:bidi="ru-RU"/>
        </w:rPr>
        <w:t>е</w:t>
      </w:r>
      <w:r w:rsidRPr="00B66F03">
        <w:rPr>
          <w:lang w:bidi="ru-RU"/>
        </w:rPr>
        <w:t>возка цистерн, вагонов-батарей/транспортных средств-батарей и МЭГК после истечения срока действия периодической и промежуточной пр</w:t>
      </w:r>
      <w:r w:rsidRPr="00B66F03">
        <w:rPr>
          <w:lang w:bidi="ru-RU"/>
        </w:rPr>
        <w:t>о</w:t>
      </w:r>
      <w:r w:rsidRPr="00B66F03">
        <w:rPr>
          <w:lang w:bidi="ru-RU"/>
        </w:rPr>
        <w:t>верки)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ECE/TRANS/WP.15/AC.1/2015/30 (секретари</w:t>
      </w:r>
      <w:r w:rsidRPr="00B66F03">
        <w:rPr>
          <w:lang w:bidi="ru-RU"/>
        </w:rPr>
        <w:t>а</w:t>
      </w:r>
      <w:r w:rsidRPr="00B66F03">
        <w:rPr>
          <w:lang w:bidi="ru-RU"/>
        </w:rPr>
        <w:t>ты ОТИФ и ЕЭК ООН) (Переходные меры)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ECE/TRANS/WP.15/AC.1/2015/31 (Латвия) (Сп</w:t>
      </w:r>
      <w:r w:rsidRPr="00B66F03">
        <w:rPr>
          <w:lang w:bidi="ru-RU"/>
        </w:rPr>
        <w:t>е</w:t>
      </w:r>
      <w:r w:rsidRPr="00B66F03">
        <w:rPr>
          <w:lang w:bidi="ru-RU"/>
        </w:rPr>
        <w:t>циальное положение TU21)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 xml:space="preserve">ECE/TRANS/WP.15/AC.1/2015/39 (Норвегия) </w:t>
      </w:r>
      <w:r w:rsidRPr="00B66F03">
        <w:rPr>
          <w:lang w:bidi="ru-RU"/>
        </w:rPr>
        <w:br/>
        <w:t>(Перевозка опасных грузов в МЭГК, погруже</w:t>
      </w:r>
      <w:r w:rsidRPr="00B66F03">
        <w:rPr>
          <w:lang w:bidi="ru-RU"/>
        </w:rPr>
        <w:t>н</w:t>
      </w:r>
      <w:r w:rsidRPr="00B66F03">
        <w:rPr>
          <w:lang w:bidi="ru-RU"/>
        </w:rPr>
        <w:t>ных на транспортное средство, оснащенное кр</w:t>
      </w:r>
      <w:r w:rsidRPr="00B66F03">
        <w:rPr>
          <w:lang w:bidi="ru-RU"/>
        </w:rPr>
        <w:t>ю</w:t>
      </w:r>
      <w:r w:rsidRPr="00B66F03">
        <w:rPr>
          <w:lang w:bidi="ru-RU"/>
        </w:rPr>
        <w:t>ковым захватом с гидравлическим приводом)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ECE/TRANS/WP.15/AC.1/2015/51 (Нидерланды) (Корпуса цистерн с защитной облицовкой)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ECE/TRANS/WP.15/AC.1/2015/54 (Нидерланды) (Ограничения, налагаемые на утверждение ц</w:t>
      </w:r>
      <w:r w:rsidRPr="00B66F03">
        <w:rPr>
          <w:lang w:bidi="ru-RU"/>
        </w:rPr>
        <w:t>и</w:t>
      </w:r>
      <w:r w:rsidRPr="00B66F03">
        <w:rPr>
          <w:lang w:bidi="ru-RU"/>
        </w:rPr>
        <w:t>стерн с вакуумной изоляцией для перевозки сж</w:t>
      </w:r>
      <w:r w:rsidRPr="00B66F03">
        <w:rPr>
          <w:lang w:bidi="ru-RU"/>
        </w:rPr>
        <w:t>и</w:t>
      </w:r>
      <w:r w:rsidRPr="00B66F03">
        <w:rPr>
          <w:lang w:bidi="ru-RU"/>
        </w:rPr>
        <w:t>женного природного газа (СПГ) стандартом, на который сделана опосредованная ссылка)</w:t>
      </w:r>
    </w:p>
    <w:p w:rsidR="00B66F03" w:rsidRPr="00B66F03" w:rsidRDefault="00B66F03" w:rsidP="00B63846">
      <w:pPr>
        <w:pStyle w:val="SingleTxt"/>
        <w:jc w:val="left"/>
        <w:rPr>
          <w:lang w:bidi="ru-RU"/>
        </w:rPr>
      </w:pPr>
      <w:r w:rsidRPr="00B66F03">
        <w:rPr>
          <w:i/>
          <w:lang w:bidi="ru-RU"/>
        </w:rPr>
        <w:t>Неофициальные документы</w:t>
      </w:r>
      <w:r w:rsidRPr="00B66F03">
        <w:rPr>
          <w:lang w:bidi="ru-RU"/>
        </w:rPr>
        <w:t xml:space="preserve">: </w:t>
      </w:r>
      <w:r w:rsidRPr="00B66F03">
        <w:rPr>
          <w:lang w:bidi="ru-RU"/>
        </w:rPr>
        <w:tab/>
        <w:t>INF.4 (ЕКС) (Просьба об изложении мнения)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INF.22 (Швейцария) (Пояснение определения «максимальное рабочее давление»)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INF.23 (Франция) (Применение пункта 6.8.3.2.17: смотровые отверстия для проверки корпусов, предназначенных для перевозки охлажденных сжиженных газов)</w:t>
      </w:r>
    </w:p>
    <w:p w:rsidR="00B66F03" w:rsidRPr="00B66F03" w:rsidRDefault="00B66F03" w:rsidP="00B63846">
      <w:pPr>
        <w:pStyle w:val="SingleTxt"/>
        <w:ind w:left="4133" w:hanging="2866"/>
        <w:jc w:val="left"/>
        <w:rPr>
          <w:lang w:bidi="ru-RU"/>
        </w:rPr>
      </w:pP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</w:r>
      <w:r w:rsidRPr="00B66F03">
        <w:rPr>
          <w:lang w:bidi="ru-RU"/>
        </w:rPr>
        <w:tab/>
        <w:t>INF.28 (Бельгия) (Замечания по документу ECE/TRANS/WP.15/AC.1/2015/51)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79.</w:t>
      </w:r>
      <w:r w:rsidRPr="00B66F03">
        <w:rPr>
          <w:lang w:bidi="ru-RU"/>
        </w:rPr>
        <w:tab/>
        <w:t>Рассмотрение этих документов было поручено Рабочей группе по цисте</w:t>
      </w:r>
      <w:r w:rsidRPr="00B66F03">
        <w:rPr>
          <w:lang w:bidi="ru-RU"/>
        </w:rPr>
        <w:t>р</w:t>
      </w:r>
      <w:r w:rsidRPr="00B66F03">
        <w:rPr>
          <w:lang w:bidi="ru-RU"/>
        </w:rPr>
        <w:t>нам, которой также было предложено, при наличии времени, представить свои замечания по докладу неофициальной рабочей группы по проверке и утвержд</w:t>
      </w:r>
      <w:r w:rsidRPr="00B66F03">
        <w:rPr>
          <w:lang w:bidi="ru-RU"/>
        </w:rPr>
        <w:t>е</w:t>
      </w:r>
      <w:r w:rsidRPr="00B66F03">
        <w:rPr>
          <w:lang w:bidi="ru-RU"/>
        </w:rPr>
        <w:t>нию цистерн (неофициальный документ INF.10).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156167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br w:type="page"/>
      </w:r>
      <w:r w:rsidR="00B66F03" w:rsidRPr="00B66F03">
        <w:rPr>
          <w:lang w:bidi="ru-RU"/>
        </w:rPr>
        <w:lastRenderedPageBreak/>
        <w:tab/>
      </w:r>
      <w:r w:rsidR="00B66F03" w:rsidRPr="00B66F03">
        <w:rPr>
          <w:lang w:bidi="ru-RU"/>
        </w:rPr>
        <w:tab/>
        <w:t>Доклад Рабочей группы по цистернам</w:t>
      </w:r>
    </w:p>
    <w:p w:rsidR="00AC6BA2" w:rsidRPr="00B63846" w:rsidRDefault="00AC6BA2" w:rsidP="00B63846">
      <w:pPr>
        <w:pStyle w:val="SingleTxt"/>
        <w:spacing w:after="0" w:line="120" w:lineRule="exact"/>
        <w:rPr>
          <w:sz w:val="10"/>
          <w:lang w:bidi="ru-RU"/>
        </w:rPr>
      </w:pPr>
    </w:p>
    <w:p w:rsidR="00B66F03" w:rsidRPr="00B66F03" w:rsidRDefault="00B66F03" w:rsidP="00B66F03">
      <w:pPr>
        <w:pStyle w:val="SingleTxt"/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rPr>
          <w:bCs/>
          <w:lang w:bidi="ru-RU"/>
        </w:rPr>
        <w:tab/>
        <w:t>INF.50</w:t>
      </w:r>
    </w:p>
    <w:p w:rsidR="00B66F03" w:rsidRDefault="00B66F03" w:rsidP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80.</w:t>
      </w:r>
      <w:r w:rsidRPr="00B66F03">
        <w:rPr>
          <w:bCs/>
          <w:lang w:bidi="ru-RU"/>
        </w:rPr>
        <w:tab/>
        <w:t>Совместное совещание одобрило выводы и рекомендации Рабочей группы, доклад которой приводится в приложении II в качестве добавления 2 к насто</w:t>
      </w:r>
      <w:r w:rsidRPr="00B66F03">
        <w:rPr>
          <w:bCs/>
          <w:lang w:bidi="ru-RU"/>
        </w:rPr>
        <w:t>я</w:t>
      </w:r>
      <w:r w:rsidRPr="00B66F03">
        <w:rPr>
          <w:bCs/>
          <w:lang w:bidi="ru-RU"/>
        </w:rPr>
        <w:t>щему докладу, с учетом изложенных ниже замечаний или без таковых. Принятые тексты воспроизведены в приложении I к настоящему докладу.</w:t>
      </w:r>
    </w:p>
    <w:p w:rsidR="00AC6BA2" w:rsidRPr="00B63846" w:rsidRDefault="00AC6BA2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lang w:bidi="ru-RU"/>
        </w:rPr>
        <w:t>Пункт 2</w:t>
      </w:r>
      <w:r w:rsidR="00AC6BA2">
        <w:rPr>
          <w:lang w:bidi="ru-RU"/>
        </w:rPr>
        <w:t>.</w:t>
      </w:r>
      <w:r w:rsidRPr="00B66F03">
        <w:rPr>
          <w:lang w:bidi="ru-RU"/>
        </w:rPr>
        <w:t xml:space="preserve"> Доклад Специальной рабочей группы по согласованию МПОГ/</w:t>
      </w:r>
      <w:r w:rsidR="00AC6BA2">
        <w:rPr>
          <w:lang w:bidi="ru-RU"/>
        </w:rPr>
        <w:t xml:space="preserve"> </w:t>
      </w:r>
      <w:r w:rsidRPr="00B66F03">
        <w:rPr>
          <w:lang w:bidi="ru-RU"/>
        </w:rPr>
        <w:t>ДОПОГ/ВОПОГ с Рекомендациями ООН по перевозке опасных грузов</w:t>
      </w:r>
    </w:p>
    <w:p w:rsidR="00AC6BA2" w:rsidRPr="00B63846" w:rsidRDefault="00AC6BA2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81.</w:t>
      </w:r>
      <w:r w:rsidRPr="00B66F03">
        <w:rPr>
          <w:bCs/>
          <w:lang w:bidi="ru-RU"/>
        </w:rPr>
        <w:tab/>
        <w:t>В отношении специального положения по цистернам, заключенного в ква</w:t>
      </w:r>
      <w:r w:rsidRPr="00B66F03">
        <w:rPr>
          <w:bCs/>
          <w:lang w:bidi="ru-RU"/>
        </w:rPr>
        <w:t>д</w:t>
      </w:r>
      <w:r w:rsidRPr="00B66F03">
        <w:rPr>
          <w:bCs/>
          <w:lang w:bidi="ru-RU"/>
        </w:rPr>
        <w:t>ратные скобки, экспертам Рабочей группы по цистернам было предложено пр</w:t>
      </w:r>
      <w:r w:rsidRPr="00B66F03">
        <w:rPr>
          <w:bCs/>
          <w:lang w:bidi="ru-RU"/>
        </w:rPr>
        <w:t>о</w:t>
      </w:r>
      <w:r w:rsidRPr="00B66F03">
        <w:rPr>
          <w:bCs/>
          <w:lang w:bidi="ru-RU"/>
        </w:rPr>
        <w:t>верить уместность данного положения до следующих сессий WP.15 и Комиссии экспертов МПОГ.</w:t>
      </w:r>
    </w:p>
    <w:p w:rsidR="00AC6BA2" w:rsidRPr="00B63846" w:rsidRDefault="00AC6BA2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3846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B66F03">
        <w:rPr>
          <w:bCs/>
          <w:lang w:bidi="ru-RU"/>
        </w:rPr>
        <w:tab/>
      </w:r>
      <w:r w:rsidRPr="00B63846">
        <w:rPr>
          <w:bCs/>
          <w:lang w:bidi="ru-RU"/>
        </w:rPr>
        <w:tab/>
        <w:t>Пункт 6</w:t>
      </w:r>
      <w:r w:rsidR="00AC6BA2" w:rsidRPr="00B63846">
        <w:rPr>
          <w:b w:val="0"/>
          <w:bCs/>
          <w:lang w:bidi="ru-RU"/>
        </w:rPr>
        <w:t xml:space="preserve">. </w:t>
      </w:r>
      <w:r w:rsidRPr="00B63846">
        <w:rPr>
          <w:bCs/>
          <w:lang w:bidi="ru-RU"/>
        </w:rPr>
        <w:t>Перевозка опасных грузов в МЭГК, погруженных на транспортное средство, оснащенное крюковым захватом с гидравлическим приводом</w:t>
      </w:r>
    </w:p>
    <w:p w:rsidR="00AC6BA2" w:rsidRPr="00B63846" w:rsidRDefault="00AC6BA2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82.</w:t>
      </w:r>
      <w:r w:rsidRPr="00B66F03">
        <w:rPr>
          <w:bCs/>
          <w:lang w:bidi="ru-RU"/>
        </w:rPr>
        <w:tab/>
        <w:t>Совместное совещание отметило, что необходимо внести исправление в пункт 21 доклада, содержащегося в неофициальном документе INF.50, поскольку Рабочая группа всего лишь констатировала, что определение МЭГК в разд</w:t>
      </w:r>
      <w:r w:rsidRPr="00B66F03">
        <w:rPr>
          <w:bCs/>
          <w:lang w:bidi="ru-RU"/>
        </w:rPr>
        <w:t>е</w:t>
      </w:r>
      <w:r w:rsidRPr="00B66F03">
        <w:rPr>
          <w:bCs/>
          <w:lang w:bidi="ru-RU"/>
        </w:rPr>
        <w:t>ле</w:t>
      </w:r>
      <w:r w:rsidR="00AC6BA2">
        <w:rPr>
          <w:bCs/>
          <w:lang w:bidi="ru-RU"/>
        </w:rPr>
        <w:t> </w:t>
      </w:r>
      <w:r w:rsidRPr="00B66F03">
        <w:rPr>
          <w:bCs/>
          <w:lang w:bidi="ru-RU"/>
        </w:rPr>
        <w:t>1.2.1 не содержит прямой ссылки на определение контейнера.</w:t>
      </w:r>
    </w:p>
    <w:p w:rsidR="00AC6BA2" w:rsidRPr="00B63846" w:rsidRDefault="00AC6BA2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 w:rsidP="00B638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bCs/>
          <w:lang w:bidi="ru-RU"/>
        </w:rPr>
        <w:tab/>
      </w:r>
      <w:r w:rsidRPr="00B66F03">
        <w:rPr>
          <w:bCs/>
          <w:lang w:bidi="ru-RU"/>
        </w:rPr>
        <w:tab/>
      </w:r>
      <w:r w:rsidRPr="00B66F03">
        <w:rPr>
          <w:lang w:bidi="ru-RU"/>
        </w:rPr>
        <w:t>Пункт 7</w:t>
      </w:r>
      <w:r w:rsidR="00AC6BA2">
        <w:rPr>
          <w:lang w:bidi="ru-RU"/>
        </w:rPr>
        <w:t xml:space="preserve">. </w:t>
      </w:r>
      <w:r w:rsidRPr="00B66F03">
        <w:rPr>
          <w:lang w:bidi="ru-RU"/>
        </w:rPr>
        <w:t>Корпуса цистерн с защитной облицовкой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>
      <w:pPr>
        <w:pStyle w:val="SingleTxt"/>
        <w:rPr>
          <w:b/>
          <w:lang w:bidi="ru-RU"/>
        </w:rPr>
      </w:pPr>
      <w:r w:rsidRPr="00B66F03">
        <w:rPr>
          <w:bCs/>
          <w:lang w:bidi="ru-RU"/>
        </w:rPr>
        <w:t>83.</w:t>
      </w:r>
      <w:r w:rsidRPr="00B66F03">
        <w:rPr>
          <w:bCs/>
          <w:lang w:bidi="ru-RU"/>
        </w:rPr>
        <w:tab/>
        <w:t>Представитель Нидерландов высказался за то, чтобы Совместное совещ</w:t>
      </w:r>
      <w:r w:rsidRPr="00B66F03">
        <w:rPr>
          <w:bCs/>
          <w:lang w:bidi="ru-RU"/>
        </w:rPr>
        <w:t>а</w:t>
      </w:r>
      <w:r w:rsidRPr="00B66F03">
        <w:rPr>
          <w:bCs/>
          <w:lang w:bidi="ru-RU"/>
        </w:rPr>
        <w:t>ние приняло решение о толковании пункта 4.3.2.1.5. Две делегации указали, что они не разделяют толкование, предложенное Нидерландами. Совместное сов</w:t>
      </w:r>
      <w:r w:rsidRPr="00B66F03">
        <w:rPr>
          <w:bCs/>
          <w:lang w:bidi="ru-RU"/>
        </w:rPr>
        <w:t>е</w:t>
      </w:r>
      <w:r w:rsidRPr="00B66F03">
        <w:rPr>
          <w:bCs/>
          <w:lang w:bidi="ru-RU"/>
        </w:rPr>
        <w:t>щание отметило, что Бельгия и Нидерланды рассчитывают проработать эти в</w:t>
      </w:r>
      <w:r w:rsidRPr="00B66F03">
        <w:rPr>
          <w:bCs/>
          <w:lang w:bidi="ru-RU"/>
        </w:rPr>
        <w:t>о</w:t>
      </w:r>
      <w:r w:rsidRPr="00B66F03">
        <w:rPr>
          <w:bCs/>
          <w:lang w:bidi="ru-RU"/>
        </w:rPr>
        <w:t>просы с другими заинтересованными делегациями.</w:t>
      </w:r>
      <w:r w:rsidRPr="00B66F03">
        <w:rPr>
          <w:b/>
          <w:lang w:bidi="ru-RU"/>
        </w:rPr>
        <w:t xml:space="preserve"> 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bidi="ru-RU"/>
        </w:rPr>
      </w:pPr>
      <w:r w:rsidRPr="00B66F03">
        <w:rPr>
          <w:lang w:bidi="ru-RU"/>
        </w:rPr>
        <w:tab/>
        <w:t>VIII.</w:t>
      </w:r>
      <w:r w:rsidRPr="00B66F03">
        <w:rPr>
          <w:lang w:bidi="ru-RU"/>
        </w:rPr>
        <w:tab/>
        <w:t xml:space="preserve">Толкование МПОГ/ДОПОГ/ВОПОГ (пункт 7 </w:t>
      </w:r>
      <w:r w:rsidR="00AC6BA2">
        <w:rPr>
          <w:lang w:bidi="ru-RU"/>
        </w:rPr>
        <w:br/>
      </w:r>
      <w:r w:rsidRPr="00B66F03">
        <w:rPr>
          <w:lang w:bidi="ru-RU"/>
        </w:rPr>
        <w:t>повестки дня)</w:t>
      </w:r>
    </w:p>
    <w:p w:rsidR="00AC6BA2" w:rsidRPr="00B63846" w:rsidRDefault="00AC6BA2" w:rsidP="00B63846">
      <w:pPr>
        <w:pStyle w:val="SingleTxt"/>
        <w:spacing w:after="0" w:line="120" w:lineRule="exact"/>
        <w:rPr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sz w:val="10"/>
          <w:lang w:bidi="ru-RU"/>
        </w:rPr>
      </w:pPr>
    </w:p>
    <w:p w:rsidR="00B66F03" w:rsidRPr="00B66F03" w:rsidRDefault="00B66F03" w:rsidP="00156167">
      <w:pPr>
        <w:pStyle w:val="SingleTxt"/>
      </w:pPr>
      <w:r w:rsidRPr="00B66F03">
        <w:rPr>
          <w:lang w:bidi="ru-RU"/>
        </w:rPr>
        <w:t>84.</w:t>
      </w:r>
      <w:r w:rsidRPr="00B66F03">
        <w:rPr>
          <w:lang w:bidi="ru-RU"/>
        </w:rPr>
        <w:tab/>
        <w:t>Поскольку никаких документов по этому пункту повестки дня представлено не было, он не обсуждался.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IX.</w:t>
      </w:r>
      <w:r w:rsidRPr="00B66F03">
        <w:rPr>
          <w:lang w:bidi="ru-RU"/>
        </w:rPr>
        <w:tab/>
        <w:t xml:space="preserve">Аварии и управление рисками (пункт 8 повестки дня) 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А.</w:t>
      </w:r>
      <w:r w:rsidRPr="00B66F03">
        <w:rPr>
          <w:lang w:bidi="ru-RU"/>
        </w:rPr>
        <w:tab/>
        <w:t>Четвертое рабочее совещание по «дорожной карте» в отношении управления рисками в контексте перевозки опасных грузов автомобильным, железнодорожным и внутренним водным транспортом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SingleTxt"/>
        <w:ind w:left="4133" w:hanging="2866"/>
        <w:jc w:val="left"/>
        <w:rPr>
          <w:bCs/>
          <w:lang w:bidi="ru-RU"/>
        </w:rPr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rPr>
          <w:bCs/>
          <w:lang w:bidi="ru-RU"/>
        </w:rPr>
        <w:tab/>
        <w:t xml:space="preserve">INF.7 (Европейское железнодорожное агентство </w:t>
      </w:r>
      <w:r w:rsidR="00AC6BA2">
        <w:rPr>
          <w:bCs/>
          <w:lang w:bidi="ru-RU"/>
        </w:rPr>
        <w:br/>
      </w:r>
      <w:r w:rsidRPr="00B66F03">
        <w:rPr>
          <w:bCs/>
          <w:lang w:bidi="ru-RU"/>
        </w:rPr>
        <w:t>Европейского союза) (ЕЖДА)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85.</w:t>
      </w:r>
      <w:r w:rsidRPr="00B66F03">
        <w:rPr>
          <w:bCs/>
          <w:lang w:bidi="ru-RU"/>
        </w:rPr>
        <w:tab/>
        <w:t>Совместное совещание приняло к сведению доклад о ходе работы ЕЖДА. Следующая сессия (пятое рабочее совещание) будет проходить 13–15 октября 2015 года, при этом было отмечено, что эта деятельность охватывает три вида наземного транспорта и что в ней предлагается участвовать органам, отвеча</w:t>
      </w:r>
      <w:r w:rsidRPr="00B66F03">
        <w:rPr>
          <w:bCs/>
          <w:lang w:bidi="ru-RU"/>
        </w:rPr>
        <w:t>ю</w:t>
      </w:r>
      <w:r w:rsidRPr="00B66F03">
        <w:rPr>
          <w:bCs/>
          <w:lang w:bidi="ru-RU"/>
        </w:rPr>
        <w:t>щим за автомобильный и внутренний водный транспорт, а также организациям, представляющим эти виды транспорта. Эта деятельность направлена на разр</w:t>
      </w:r>
      <w:r w:rsidRPr="00B66F03">
        <w:rPr>
          <w:bCs/>
          <w:lang w:bidi="ru-RU"/>
        </w:rPr>
        <w:t>а</w:t>
      </w:r>
      <w:r w:rsidRPr="00B66F03">
        <w:rPr>
          <w:bCs/>
          <w:lang w:bidi="ru-RU"/>
        </w:rPr>
        <w:lastRenderedPageBreak/>
        <w:t>ботку руководств по сбору и использованию данных, процессам оценки рисков и процедурам принятия решений.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lang w:bidi="ru-RU"/>
        </w:rPr>
        <w:tab/>
        <w:t>B.</w:t>
      </w:r>
      <w:r w:rsidRPr="00B66F03">
        <w:rPr>
          <w:lang w:bidi="ru-RU"/>
        </w:rPr>
        <w:tab/>
        <w:t xml:space="preserve">Предварительные результаты опроса, касающегося отчетов </w:t>
      </w:r>
      <w:r w:rsidR="00AC6BA2">
        <w:rPr>
          <w:lang w:bidi="ru-RU"/>
        </w:rPr>
        <w:br/>
      </w:r>
      <w:r w:rsidRPr="00B66F03">
        <w:rPr>
          <w:lang w:bidi="ru-RU"/>
        </w:rPr>
        <w:t>об авариях, представляемых в соответствии с разделом 1.8.5</w:t>
      </w: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C6BA2" w:rsidRPr="00B63846" w:rsidRDefault="00AC6BA2" w:rsidP="00B6384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rPr>
          <w:bCs/>
          <w:lang w:bidi="ru-RU"/>
        </w:rPr>
        <w:tab/>
        <w:t xml:space="preserve">INF.32 (Франция) 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86.</w:t>
      </w:r>
      <w:r w:rsidRPr="00B66F03">
        <w:rPr>
          <w:bCs/>
          <w:lang w:bidi="ru-RU"/>
        </w:rPr>
        <w:tab/>
        <w:t>Предварительные результаты показали, что большая часть (50%) Договар</w:t>
      </w:r>
      <w:r w:rsidRPr="00B66F03">
        <w:rPr>
          <w:bCs/>
          <w:lang w:bidi="ru-RU"/>
        </w:rPr>
        <w:t>и</w:t>
      </w:r>
      <w:r w:rsidRPr="00B66F03">
        <w:rPr>
          <w:bCs/>
          <w:lang w:bidi="ru-RU"/>
        </w:rPr>
        <w:t>вающихся сторон МПОГ, ДОПОГ и ВОПОГ не предусмотрели санкций, напра</w:t>
      </w:r>
      <w:r w:rsidRPr="00B66F03">
        <w:rPr>
          <w:bCs/>
          <w:lang w:bidi="ru-RU"/>
        </w:rPr>
        <w:t>в</w:t>
      </w:r>
      <w:r w:rsidRPr="00B66F03">
        <w:rPr>
          <w:bCs/>
          <w:lang w:bidi="ru-RU"/>
        </w:rPr>
        <w:t>ленных на то, чтобы обеспечить обязательное представление отчетов об авариях и инцидентах.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87.</w:t>
      </w:r>
      <w:r w:rsidRPr="00B66F03">
        <w:rPr>
          <w:bCs/>
          <w:lang w:bidi="ru-RU"/>
        </w:rPr>
        <w:tab/>
      </w:r>
      <w:proofErr w:type="gramStart"/>
      <w:r w:rsidRPr="00B66F03">
        <w:rPr>
          <w:bCs/>
          <w:lang w:bidi="ru-RU"/>
        </w:rPr>
        <w:t>Некоторые делегации сочли, что эти результаты свидетельствуют о том, что нынешние положения раздела 1.8.5 полностью выполняют ту роль, для которой они были предусмотрены, т.е. обеспечивают направление информации соотве</w:t>
      </w:r>
      <w:r w:rsidRPr="00B66F03">
        <w:rPr>
          <w:bCs/>
          <w:lang w:bidi="ru-RU"/>
        </w:rPr>
        <w:t>т</w:t>
      </w:r>
      <w:r w:rsidRPr="00B66F03">
        <w:rPr>
          <w:bCs/>
          <w:lang w:bidi="ru-RU"/>
        </w:rPr>
        <w:t>ствующему органу (Совместному совещанию, WP.15, Комиссии экспертов МПОГ или Комитету по вопросам безопасности ВОПОГ) в том случае, когда та или иная серьезная авария дает основания для пересмотра действующих положений.</w:t>
      </w:r>
      <w:proofErr w:type="gramEnd"/>
      <w:r w:rsidRPr="00B66F03">
        <w:rPr>
          <w:bCs/>
          <w:lang w:bidi="ru-RU"/>
        </w:rPr>
        <w:t xml:space="preserve"> Однако было отмечено, что существующий образец отчета о происшествиях не приспособлен для получения подробных статистических данных об авариях на уровне всего региона. Такие статистические данные необходимы для осущест</w:t>
      </w:r>
      <w:r w:rsidRPr="00B66F03">
        <w:rPr>
          <w:bCs/>
          <w:lang w:bidi="ru-RU"/>
        </w:rPr>
        <w:t>в</w:t>
      </w:r>
      <w:r w:rsidRPr="00B66F03">
        <w:rPr>
          <w:bCs/>
          <w:lang w:bidi="ru-RU"/>
        </w:rPr>
        <w:t xml:space="preserve">ления оценок риска, рассматриваемых в контексте рабочих совещаний ЕЖДА. 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88.</w:t>
      </w:r>
      <w:r w:rsidRPr="00B66F03">
        <w:rPr>
          <w:bCs/>
          <w:lang w:bidi="ru-RU"/>
        </w:rPr>
        <w:tab/>
        <w:t>Было отмечено, что лишь 40% органов-респондентов высказались за дор</w:t>
      </w:r>
      <w:r w:rsidRPr="00B66F03">
        <w:rPr>
          <w:bCs/>
          <w:lang w:bidi="ru-RU"/>
        </w:rPr>
        <w:t>а</w:t>
      </w:r>
      <w:r w:rsidRPr="00B66F03">
        <w:rPr>
          <w:bCs/>
          <w:lang w:bidi="ru-RU"/>
        </w:rPr>
        <w:t>ботку раздела 1.8.5. Однако 60% органов запрашивают дополнительную инфо</w:t>
      </w:r>
      <w:r w:rsidRPr="00B66F03">
        <w:rPr>
          <w:bCs/>
          <w:lang w:bidi="ru-RU"/>
        </w:rPr>
        <w:t>р</w:t>
      </w:r>
      <w:r w:rsidRPr="00B66F03">
        <w:rPr>
          <w:bCs/>
          <w:lang w:bidi="ru-RU"/>
        </w:rPr>
        <w:t>мацию даже тогда, когда бланк отчета полностью заполнен. Данное противоречие может объясняться тем фактом, что некоторая весьма подробная дополнительная информация, которую они желают получить, не может быть легко интегрирована в кодифицированный отчет.</w:t>
      </w: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89.</w:t>
      </w:r>
      <w:r w:rsidRPr="00B66F03">
        <w:rPr>
          <w:bCs/>
          <w:lang w:bidi="ru-RU"/>
        </w:rPr>
        <w:tab/>
        <w:t>Было высказано мнение, что в рамках рабочих совещаний ЕЖДА можно обеспечить определенный синергизм.</w:t>
      </w:r>
    </w:p>
    <w:p w:rsidR="00B66F03" w:rsidRPr="00B66F03" w:rsidRDefault="00B66F03">
      <w:pPr>
        <w:pStyle w:val="SingleTxt"/>
        <w:rPr>
          <w:b/>
        </w:rPr>
      </w:pPr>
      <w:r w:rsidRPr="00B66F03">
        <w:rPr>
          <w:bCs/>
          <w:lang w:bidi="ru-RU"/>
        </w:rPr>
        <w:t>90.</w:t>
      </w:r>
      <w:r w:rsidRPr="00B66F03">
        <w:rPr>
          <w:bCs/>
          <w:lang w:bidi="ru-RU"/>
        </w:rPr>
        <w:tab/>
        <w:t>Представитель Франции заявил, что страны, которые пока еще не предст</w:t>
      </w:r>
      <w:r w:rsidRPr="00B66F03">
        <w:rPr>
          <w:bCs/>
          <w:lang w:bidi="ru-RU"/>
        </w:rPr>
        <w:t>а</w:t>
      </w:r>
      <w:r w:rsidRPr="00B66F03">
        <w:rPr>
          <w:bCs/>
          <w:lang w:bidi="ru-RU"/>
        </w:rPr>
        <w:t>вили ответов на вопросник, могут сделать это, что позволит лучше понять поз</w:t>
      </w:r>
      <w:r w:rsidRPr="00B66F03">
        <w:rPr>
          <w:bCs/>
          <w:lang w:bidi="ru-RU"/>
        </w:rPr>
        <w:t>и</w:t>
      </w:r>
      <w:r w:rsidRPr="00B66F03">
        <w:rPr>
          <w:bCs/>
          <w:lang w:bidi="ru-RU"/>
        </w:rPr>
        <w:t>ции разных государств по данному вопросу.</w:t>
      </w:r>
    </w:p>
    <w:p w:rsidR="00055886" w:rsidRPr="00B63846" w:rsidRDefault="0005588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bCs/>
          <w:lang w:bidi="ru-RU"/>
        </w:rPr>
        <w:tab/>
      </w:r>
      <w:r w:rsidRPr="00B66F03">
        <w:rPr>
          <w:lang w:bidi="ru-RU"/>
        </w:rPr>
        <w:t>X.</w:t>
      </w:r>
      <w:r w:rsidRPr="00B66F03">
        <w:rPr>
          <w:lang w:bidi="ru-RU"/>
        </w:rPr>
        <w:tab/>
        <w:t xml:space="preserve">Выборы должностных лиц на 2016 год (пункт 9 </w:t>
      </w:r>
      <w:r w:rsidR="00055886">
        <w:rPr>
          <w:lang w:bidi="ru-RU"/>
        </w:rPr>
        <w:br/>
      </w:r>
      <w:r w:rsidRPr="00B66F03">
        <w:rPr>
          <w:lang w:bidi="ru-RU"/>
        </w:rPr>
        <w:t>повестки дня)</w:t>
      </w:r>
    </w:p>
    <w:p w:rsidR="00055886" w:rsidRPr="00B63846" w:rsidRDefault="0005588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>
      <w:pPr>
        <w:pStyle w:val="SingleTxt"/>
        <w:rPr>
          <w:bCs/>
          <w:lang w:bidi="ru-RU"/>
        </w:rPr>
      </w:pPr>
      <w:r w:rsidRPr="00B66F03">
        <w:rPr>
          <w:bCs/>
          <w:lang w:bidi="ru-RU"/>
        </w:rPr>
        <w:t>91.</w:t>
      </w:r>
      <w:r w:rsidRPr="00B66F03">
        <w:rPr>
          <w:bCs/>
          <w:lang w:bidi="ru-RU"/>
        </w:rPr>
        <w:tab/>
        <w:t xml:space="preserve">По предложению представителя Соединенного Королевства г-н К. </w:t>
      </w:r>
      <w:proofErr w:type="spellStart"/>
      <w:r w:rsidRPr="00B66F03">
        <w:rPr>
          <w:bCs/>
          <w:lang w:bidi="ru-RU"/>
        </w:rPr>
        <w:t>Пфов</w:t>
      </w:r>
      <w:r w:rsidRPr="00B66F03">
        <w:rPr>
          <w:bCs/>
          <w:lang w:bidi="ru-RU"/>
        </w:rPr>
        <w:t>а</w:t>
      </w:r>
      <w:r w:rsidRPr="00B66F03">
        <w:rPr>
          <w:bCs/>
          <w:lang w:bidi="ru-RU"/>
        </w:rPr>
        <w:t>дель</w:t>
      </w:r>
      <w:proofErr w:type="spellEnd"/>
      <w:r w:rsidRPr="00B66F03">
        <w:rPr>
          <w:bCs/>
          <w:lang w:bidi="ru-RU"/>
        </w:rPr>
        <w:t xml:space="preserve"> (Франция) и </w:t>
      </w:r>
      <w:proofErr w:type="gramStart"/>
      <w:r w:rsidRPr="00B66F03">
        <w:rPr>
          <w:bCs/>
          <w:lang w:bidi="ru-RU"/>
        </w:rPr>
        <w:t>г</w:t>
      </w:r>
      <w:proofErr w:type="gramEnd"/>
      <w:r w:rsidRPr="00B66F03">
        <w:rPr>
          <w:bCs/>
          <w:lang w:bidi="ru-RU"/>
        </w:rPr>
        <w:t xml:space="preserve"> н Х. </w:t>
      </w:r>
      <w:proofErr w:type="spellStart"/>
      <w:r w:rsidRPr="00B66F03">
        <w:rPr>
          <w:bCs/>
          <w:lang w:bidi="ru-RU"/>
        </w:rPr>
        <w:t>Райан</w:t>
      </w:r>
      <w:proofErr w:type="spellEnd"/>
      <w:r w:rsidRPr="00B66F03">
        <w:rPr>
          <w:bCs/>
          <w:lang w:bidi="ru-RU"/>
        </w:rPr>
        <w:t xml:space="preserve"> (Германия) были вновь избраны соответственно Председателем и заместителем Председателя на 2016 год.</w:t>
      </w:r>
    </w:p>
    <w:p w:rsidR="00055886" w:rsidRPr="00B63846" w:rsidRDefault="0005588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Cs/>
          <w:sz w:val="10"/>
          <w:lang w:bidi="ru-RU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66F03">
        <w:rPr>
          <w:bCs/>
          <w:lang w:bidi="ru-RU"/>
        </w:rPr>
        <w:tab/>
      </w:r>
      <w:r w:rsidRPr="00B66F03">
        <w:rPr>
          <w:lang w:bidi="ru-RU"/>
        </w:rPr>
        <w:t>Х</w:t>
      </w:r>
      <w:proofErr w:type="gramStart"/>
      <w:r w:rsidRPr="00B66F03">
        <w:rPr>
          <w:lang w:bidi="ru-RU"/>
        </w:rPr>
        <w:t>I</w:t>
      </w:r>
      <w:proofErr w:type="gramEnd"/>
      <w:r w:rsidRPr="00B66F03">
        <w:rPr>
          <w:lang w:bidi="ru-RU"/>
        </w:rPr>
        <w:t>.</w:t>
      </w:r>
      <w:r w:rsidRPr="00B66F03">
        <w:rPr>
          <w:lang w:bidi="ru-RU"/>
        </w:rPr>
        <w:tab/>
        <w:t>Будущая работа (пункт 10 повестки дня)</w:t>
      </w: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>
      <w:pPr>
        <w:pStyle w:val="SingleTxt"/>
      </w:pPr>
      <w:r w:rsidRPr="00B66F03">
        <w:t>92.</w:t>
      </w:r>
      <w:r w:rsidRPr="00B66F03">
        <w:tab/>
        <w:t>Следующая сессия состоится в Берне 14−18 марта 2016 года с той же п</w:t>
      </w:r>
      <w:r w:rsidRPr="00B66F03">
        <w:t>о</w:t>
      </w:r>
      <w:r w:rsidRPr="00B66F03">
        <w:t>весткой дня при условии, что не потребуется добавлять отдельные пункты, кас</w:t>
      </w:r>
      <w:r w:rsidRPr="00B66F03">
        <w:t>а</w:t>
      </w:r>
      <w:r w:rsidRPr="00B66F03">
        <w:t>ющиеся согласования с Рекомендациями ООН или выборов.</w:t>
      </w:r>
    </w:p>
    <w:p w:rsidR="00055886" w:rsidRPr="00B63846" w:rsidRDefault="00055886" w:rsidP="00B63846">
      <w:pPr>
        <w:pStyle w:val="SingleTxt"/>
        <w:spacing w:after="0" w:line="120" w:lineRule="exact"/>
        <w:rPr>
          <w:b/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156167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66F03" w:rsidRPr="00B66F03">
        <w:lastRenderedPageBreak/>
        <w:tab/>
      </w:r>
      <w:r w:rsidR="00B66F03" w:rsidRPr="00B66F03">
        <w:rPr>
          <w:lang w:val="fr-CH"/>
        </w:rPr>
        <w:t>XII</w:t>
      </w:r>
      <w:r w:rsidR="00B66F03" w:rsidRPr="00B66F03">
        <w:t>.</w:t>
      </w:r>
      <w:r w:rsidR="00B66F03" w:rsidRPr="00B66F03">
        <w:tab/>
        <w:t>Прочие вопросы (пункт 11 повестки дня)</w:t>
      </w:r>
    </w:p>
    <w:p w:rsidR="00055886" w:rsidRPr="00B63846" w:rsidRDefault="00055886" w:rsidP="00B63846">
      <w:pPr>
        <w:pStyle w:val="SingleTxt"/>
        <w:spacing w:after="0" w:line="120" w:lineRule="exact"/>
        <w:rPr>
          <w:b/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rPr>
          <w:lang w:val="fr-CH"/>
        </w:rPr>
        <w:t>A</w:t>
      </w:r>
      <w:r w:rsidRPr="00B66F03">
        <w:t>.</w:t>
      </w:r>
      <w:r w:rsidRPr="00B66F03">
        <w:tab/>
        <w:t>Оценка глобального и регионального влияния правил ЕЭК ООН и Рекомендаций Организации Объединенных Наций по перевозке опасных грузов</w:t>
      </w: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6F03">
      <w:pPr>
        <w:pStyle w:val="SingleTxt"/>
      </w:pPr>
      <w:r w:rsidRPr="00B66F03">
        <w:t>93.</w:t>
      </w:r>
      <w:r w:rsidRPr="00B66F03">
        <w:tab/>
        <w:t>Совместное совещание отметило, что в настоящее время секретариат ЕЭК ООН проводит оценку влияния работы различных находящихся в его вед</w:t>
      </w:r>
      <w:r w:rsidRPr="00B66F03">
        <w:t>е</w:t>
      </w:r>
      <w:r w:rsidRPr="00B66F03">
        <w:t>нии органов в области перевозки опасных грузов. В июле всем участникам раб</w:t>
      </w:r>
      <w:r w:rsidRPr="00B66F03">
        <w:t>о</w:t>
      </w:r>
      <w:r w:rsidRPr="00B66F03">
        <w:t>ты, осуществляемой этими органами, включая Совместное совещание, был разослан вопросник по данной теме, однако количество ответов, присланных представителями правительств, является весьма неудовлетворительным. Делег</w:t>
      </w:r>
      <w:r w:rsidRPr="00B66F03">
        <w:t>а</w:t>
      </w:r>
      <w:r w:rsidRPr="00B66F03">
        <w:t xml:space="preserve">там от стран или организаций, которые еще не ответили на вопросник, было предложено сделать это, по возможности, скорее, с </w:t>
      </w:r>
      <w:proofErr w:type="gramStart"/>
      <w:r w:rsidRPr="00B66F03">
        <w:t>тем</w:t>
      </w:r>
      <w:proofErr w:type="gramEnd"/>
      <w:r w:rsidRPr="00B66F03">
        <w:t xml:space="preserve"> чтобы ответы могли быть проанализированы консультантом в течение сентября 2015 года.</w:t>
      </w: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В.</w:t>
      </w:r>
      <w:r w:rsidRPr="00B66F03">
        <w:tab/>
        <w:t>Перевозка сосудов под давлением, утвержденных Министерством транспорта Соединенных Штатов Америки (D</w:t>
      </w:r>
      <w:proofErr w:type="gramStart"/>
      <w:r w:rsidRPr="00B66F03">
        <w:t>О</w:t>
      </w:r>
      <w:proofErr w:type="gramEnd"/>
      <w:r w:rsidRPr="00B66F03">
        <w:t xml:space="preserve">T) </w:t>
      </w: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>
      <w:pPr>
        <w:pStyle w:val="SingleTxt"/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tab/>
      </w:r>
      <w:r w:rsidRPr="00B66F03">
        <w:rPr>
          <w:lang w:val="en-US"/>
        </w:rPr>
        <w:t>INF</w:t>
      </w:r>
      <w:r w:rsidRPr="00B66F03">
        <w:t>.33 (ЕАПГ)</w:t>
      </w:r>
    </w:p>
    <w:p w:rsidR="00B66F03" w:rsidRPr="00B66F03" w:rsidRDefault="00B66F03">
      <w:pPr>
        <w:pStyle w:val="SingleTxt"/>
      </w:pPr>
      <w:r w:rsidRPr="00B66F03">
        <w:t>94.</w:t>
      </w:r>
      <w:r w:rsidRPr="00B66F03">
        <w:tab/>
      </w:r>
      <w:proofErr w:type="gramStart"/>
      <w:r w:rsidRPr="00B66F03">
        <w:t>Представитель ЕАПГ указал, что после дискуссий, состоявшихся на пред</w:t>
      </w:r>
      <w:r w:rsidRPr="00B66F03">
        <w:t>ы</w:t>
      </w:r>
      <w:r w:rsidRPr="00B66F03">
        <w:t>дущей сессии (</w:t>
      </w:r>
      <w:r w:rsidRPr="00B66F03">
        <w:rPr>
          <w:lang w:val="en-US"/>
        </w:rPr>
        <w:t>ECE</w:t>
      </w:r>
      <w:r w:rsidRPr="00B66F03">
        <w:t>/</w:t>
      </w:r>
      <w:r w:rsidRPr="00B66F03">
        <w:rPr>
          <w:lang w:val="en-US"/>
        </w:rPr>
        <w:t>TRANS</w:t>
      </w:r>
      <w:r w:rsidRPr="00B66F03">
        <w:t>/</w:t>
      </w:r>
      <w:r w:rsidRPr="00B66F03">
        <w:rPr>
          <w:lang w:val="en-US"/>
        </w:rPr>
        <w:t>WP</w:t>
      </w:r>
      <w:r w:rsidRPr="00B66F03">
        <w:t>.15/</w:t>
      </w:r>
      <w:r w:rsidRPr="00B66F03">
        <w:rPr>
          <w:lang w:val="en-US"/>
        </w:rPr>
        <w:t>AC</w:t>
      </w:r>
      <w:r w:rsidRPr="00B66F03">
        <w:t>.1/138, пункты 43</w:t>
      </w:r>
      <w:r w:rsidR="00055886">
        <w:t>–</w:t>
      </w:r>
      <w:r w:rsidRPr="00B66F03">
        <w:t>47), ЕАПГ и АСГ нам</w:t>
      </w:r>
      <w:r w:rsidRPr="00B66F03">
        <w:t>е</w:t>
      </w:r>
      <w:r w:rsidRPr="00B66F03">
        <w:t xml:space="preserve">рены совместно представить в </w:t>
      </w:r>
      <w:r w:rsidRPr="00B66F03">
        <w:rPr>
          <w:lang w:val="en-US"/>
        </w:rPr>
        <w:t>DOT</w:t>
      </w:r>
      <w:r w:rsidRPr="00B66F03">
        <w:t xml:space="preserve"> ходатайство о разработке нормативного д</w:t>
      </w:r>
      <w:r w:rsidRPr="00B66F03">
        <w:t>о</w:t>
      </w:r>
      <w:r w:rsidRPr="00B66F03">
        <w:t>кумента о признании в Соединенных Штатах сосудов под давлением, утве</w:t>
      </w:r>
      <w:r w:rsidRPr="00B66F03">
        <w:t>р</w:t>
      </w:r>
      <w:r w:rsidRPr="00B66F03">
        <w:t>жденных Договаривающимися сторонами МПОГ или ДОПОГ, в обмен на прин</w:t>
      </w:r>
      <w:r w:rsidRPr="00B66F03">
        <w:t>я</w:t>
      </w:r>
      <w:r w:rsidRPr="00B66F03">
        <w:t xml:space="preserve">тие сосудов под давлением, утвержденных </w:t>
      </w:r>
      <w:r w:rsidRPr="00B66F03">
        <w:rPr>
          <w:lang w:val="en-US"/>
        </w:rPr>
        <w:t>DOT</w:t>
      </w:r>
      <w:r w:rsidRPr="00B66F03">
        <w:t>, к перевозке в соответствии с</w:t>
      </w:r>
      <w:proofErr w:type="gramEnd"/>
      <w:r w:rsidRPr="00B66F03">
        <w:t xml:space="preserve"> МПОГ, ДОПОГ и ВОПОГ.</w:t>
      </w:r>
    </w:p>
    <w:p w:rsidR="00B66F03" w:rsidRPr="00B66F03" w:rsidRDefault="00B66F03">
      <w:pPr>
        <w:pStyle w:val="SingleTxt"/>
        <w:rPr>
          <w:lang w:bidi="ru-RU"/>
        </w:rPr>
      </w:pPr>
      <w:r w:rsidRPr="00B66F03">
        <w:rPr>
          <w:lang w:bidi="ru-RU"/>
        </w:rPr>
        <w:t>95.</w:t>
      </w:r>
      <w:r w:rsidRPr="00B66F03">
        <w:rPr>
          <w:lang w:bidi="ru-RU"/>
        </w:rPr>
        <w:tab/>
        <w:t>Несколько делегаций отметили, однако, что сроки этой процедуры неи</w:t>
      </w:r>
      <w:r w:rsidRPr="00B66F03">
        <w:rPr>
          <w:lang w:bidi="ru-RU"/>
        </w:rPr>
        <w:t>з</w:t>
      </w:r>
      <w:r w:rsidRPr="00B66F03">
        <w:rPr>
          <w:lang w:bidi="ru-RU"/>
        </w:rPr>
        <w:t xml:space="preserve">вестны, равно как и ожидаемые результаты. Кроме того, продление действия многостороннего соглашения </w:t>
      </w:r>
      <w:r w:rsidRPr="00B66F03">
        <w:rPr>
          <w:lang w:val="en-US"/>
        </w:rPr>
        <w:t>M</w:t>
      </w:r>
      <w:r w:rsidRPr="00B66F03">
        <w:rPr>
          <w:lang w:bidi="ru-RU"/>
        </w:rPr>
        <w:t>237, разрешающего использование утвержде</w:t>
      </w:r>
      <w:r w:rsidRPr="00B66F03">
        <w:rPr>
          <w:lang w:bidi="ru-RU"/>
        </w:rPr>
        <w:t>н</w:t>
      </w:r>
      <w:r w:rsidRPr="00B66F03">
        <w:rPr>
          <w:lang w:bidi="ru-RU"/>
        </w:rPr>
        <w:t xml:space="preserve">ных </w:t>
      </w:r>
      <w:r w:rsidRPr="00B66F03">
        <w:rPr>
          <w:lang w:val="en-US"/>
        </w:rPr>
        <w:t>DOT</w:t>
      </w:r>
      <w:r w:rsidRPr="00B66F03">
        <w:rPr>
          <w:lang w:bidi="ru-RU"/>
        </w:rPr>
        <w:t xml:space="preserve"> сосудов для перевозки газов между странами, являющимися </w:t>
      </w:r>
      <w:r w:rsidRPr="00B66F03">
        <w:t>Договар</w:t>
      </w:r>
      <w:r w:rsidRPr="00B66F03">
        <w:t>и</w:t>
      </w:r>
      <w:r w:rsidRPr="00B66F03">
        <w:t>вающимися сторонами МПОГ или ДОПОГ,</w:t>
      </w:r>
      <w:r w:rsidRPr="00B66F03">
        <w:rPr>
          <w:lang w:bidi="ru-RU"/>
        </w:rPr>
        <w:t xml:space="preserve"> – подписанного на настоящий момент лишь 15 странам, – зависит исключительно от желания каждой страны, которая может иметь свой интерес.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96.</w:t>
      </w:r>
      <w:r w:rsidRPr="00B66F03">
        <w:rPr>
          <w:lang w:bidi="ru-RU"/>
        </w:rPr>
        <w:tab/>
        <w:t>Несколько делегаций указали, что они хотели бы получить от отрасли больше информации о причинах этой ситуации, существующей в течени</w:t>
      </w:r>
      <w:proofErr w:type="gramStart"/>
      <w:r w:rsidRPr="00B66F03">
        <w:rPr>
          <w:lang w:bidi="ru-RU"/>
        </w:rPr>
        <w:t>и</w:t>
      </w:r>
      <w:proofErr w:type="gramEnd"/>
      <w:r w:rsidRPr="00B66F03">
        <w:rPr>
          <w:lang w:bidi="ru-RU"/>
        </w:rPr>
        <w:t xml:space="preserve"> многих лет, например:</w:t>
      </w:r>
    </w:p>
    <w:p w:rsidR="00B66F03" w:rsidRPr="00B66F03" w:rsidRDefault="00055886">
      <w:pPr>
        <w:pStyle w:val="SingleTxt"/>
        <w:rPr>
          <w:lang w:bidi="ru-RU"/>
        </w:rPr>
      </w:pPr>
      <w:r>
        <w:rPr>
          <w:lang w:bidi="ru-RU"/>
        </w:rPr>
        <w:t>–</w:t>
      </w:r>
      <w:r w:rsidR="00B66F03" w:rsidRPr="00B66F03">
        <w:rPr>
          <w:lang w:bidi="ru-RU"/>
        </w:rPr>
        <w:t xml:space="preserve"> о каких газах идет речь;</w:t>
      </w:r>
    </w:p>
    <w:p w:rsidR="00B66F03" w:rsidRPr="00B66F03" w:rsidRDefault="00055886">
      <w:pPr>
        <w:pStyle w:val="SingleTxt"/>
        <w:rPr>
          <w:lang w:bidi="ru-RU"/>
        </w:rPr>
      </w:pPr>
      <w:r>
        <w:rPr>
          <w:lang w:bidi="ru-RU"/>
        </w:rPr>
        <w:t>–</w:t>
      </w:r>
      <w:r w:rsidR="00B66F03" w:rsidRPr="00B66F03">
        <w:rPr>
          <w:lang w:bidi="ru-RU"/>
        </w:rPr>
        <w:t xml:space="preserve"> </w:t>
      </w:r>
      <w:proofErr w:type="gramStart"/>
      <w:r w:rsidR="00B66F03" w:rsidRPr="00B66F03">
        <w:rPr>
          <w:lang w:bidi="ru-RU"/>
        </w:rPr>
        <w:t>конкретно</w:t>
      </w:r>
      <w:proofErr w:type="gramEnd"/>
      <w:r w:rsidR="00B66F03" w:rsidRPr="00B66F03">
        <w:rPr>
          <w:lang w:bidi="ru-RU"/>
        </w:rPr>
        <w:t xml:space="preserve"> какие препятствия существуют в настоящее время на пути использ</w:t>
      </w:r>
      <w:r w:rsidR="00B66F03" w:rsidRPr="00B66F03">
        <w:rPr>
          <w:lang w:bidi="ru-RU"/>
        </w:rPr>
        <w:t>о</w:t>
      </w:r>
      <w:r w:rsidR="00B66F03" w:rsidRPr="00B66F03">
        <w:rPr>
          <w:lang w:bidi="ru-RU"/>
        </w:rPr>
        <w:t xml:space="preserve">вания сосудов МПОГ/ДОПОГ, </w:t>
      </w:r>
      <w:r w:rsidR="00B66F03" w:rsidRPr="00B66F03">
        <w:rPr>
          <w:lang w:val="en-US"/>
        </w:rPr>
        <w:t>DOT</w:t>
      </w:r>
      <w:r w:rsidR="00B66F03" w:rsidRPr="00B66F03">
        <w:rPr>
          <w:lang w:bidi="ru-RU"/>
        </w:rPr>
        <w:t xml:space="preserve"> и ООН для трансатлантических перевозок;</w:t>
      </w:r>
    </w:p>
    <w:p w:rsidR="00B66F03" w:rsidRPr="00B66F03" w:rsidRDefault="00055886">
      <w:pPr>
        <w:pStyle w:val="SingleTxt"/>
        <w:rPr>
          <w:lang w:bidi="ru-RU"/>
        </w:rPr>
      </w:pPr>
      <w:r>
        <w:rPr>
          <w:lang w:bidi="ru-RU"/>
        </w:rPr>
        <w:t>–</w:t>
      </w:r>
      <w:r w:rsidR="00B66F03" w:rsidRPr="00B66F03">
        <w:rPr>
          <w:lang w:bidi="ru-RU"/>
        </w:rPr>
        <w:t xml:space="preserve"> о каком количестве сосудов идет речь;</w:t>
      </w:r>
    </w:p>
    <w:p w:rsidR="00B66F03" w:rsidRPr="00B66F03" w:rsidRDefault="00055886">
      <w:pPr>
        <w:pStyle w:val="SingleTxt"/>
        <w:rPr>
          <w:lang w:bidi="ru-RU"/>
        </w:rPr>
      </w:pPr>
      <w:r>
        <w:rPr>
          <w:lang w:bidi="ru-RU"/>
        </w:rPr>
        <w:t>–</w:t>
      </w:r>
      <w:r w:rsidR="00B66F03" w:rsidRPr="00B66F03">
        <w:rPr>
          <w:lang w:bidi="ru-RU"/>
        </w:rPr>
        <w:t xml:space="preserve"> какие существуют проблемы, связанные с заполнением сосудов в случае их п</w:t>
      </w:r>
      <w:r w:rsidR="00B66F03" w:rsidRPr="00B66F03">
        <w:rPr>
          <w:lang w:bidi="ru-RU"/>
        </w:rPr>
        <w:t>е</w:t>
      </w:r>
      <w:r w:rsidR="00B66F03" w:rsidRPr="00B66F03">
        <w:rPr>
          <w:lang w:bidi="ru-RU"/>
        </w:rPr>
        <w:t>ревозки из Соединенных Штатов в Европу или из Европы в Соединенные Шт</w:t>
      </w:r>
      <w:r w:rsidR="00B66F03" w:rsidRPr="00B66F03">
        <w:rPr>
          <w:lang w:bidi="ru-RU"/>
        </w:rPr>
        <w:t>а</w:t>
      </w:r>
      <w:r w:rsidR="00B66F03" w:rsidRPr="00B66F03">
        <w:rPr>
          <w:lang w:bidi="ru-RU"/>
        </w:rPr>
        <w:t>ты.</w:t>
      </w:r>
    </w:p>
    <w:p w:rsidR="00B66F03" w:rsidRPr="00B66F03" w:rsidRDefault="00B66F03" w:rsidP="00156167">
      <w:pPr>
        <w:pStyle w:val="SingleTxt"/>
        <w:rPr>
          <w:lang w:bidi="ru-RU"/>
        </w:rPr>
      </w:pPr>
      <w:r w:rsidRPr="00B66F03">
        <w:rPr>
          <w:lang w:bidi="ru-RU"/>
        </w:rPr>
        <w:t>97.</w:t>
      </w:r>
      <w:r w:rsidRPr="00B66F03">
        <w:rPr>
          <w:lang w:bidi="ru-RU"/>
        </w:rPr>
        <w:tab/>
        <w:t>Было подчеркнуто, что максимальный срок действия любого многосторо</w:t>
      </w:r>
      <w:r w:rsidRPr="00B66F03">
        <w:rPr>
          <w:lang w:bidi="ru-RU"/>
        </w:rPr>
        <w:t>н</w:t>
      </w:r>
      <w:r w:rsidRPr="00B66F03">
        <w:rPr>
          <w:lang w:bidi="ru-RU"/>
        </w:rPr>
        <w:t xml:space="preserve">него соглашения составляет </w:t>
      </w:r>
      <w:r w:rsidR="00156167">
        <w:rPr>
          <w:lang w:bidi="ru-RU"/>
        </w:rPr>
        <w:t>пять</w:t>
      </w:r>
      <w:r w:rsidRPr="00B66F03">
        <w:rPr>
          <w:lang w:bidi="ru-RU"/>
        </w:rPr>
        <w:t xml:space="preserve"> лет и что соглашение </w:t>
      </w:r>
      <w:r w:rsidRPr="00B66F03">
        <w:rPr>
          <w:lang w:val="en-US"/>
        </w:rPr>
        <w:t>M</w:t>
      </w:r>
      <w:r w:rsidRPr="00B66F03">
        <w:rPr>
          <w:lang w:bidi="ru-RU"/>
        </w:rPr>
        <w:t>237 уже  является пр</w:t>
      </w:r>
      <w:r w:rsidRPr="00B66F03">
        <w:rPr>
          <w:lang w:bidi="ru-RU"/>
        </w:rPr>
        <w:t>о</w:t>
      </w:r>
      <w:r w:rsidRPr="00B66F03">
        <w:rPr>
          <w:lang w:bidi="ru-RU"/>
        </w:rPr>
        <w:t xml:space="preserve">должением соглашения </w:t>
      </w:r>
      <w:r w:rsidRPr="00B66F03">
        <w:rPr>
          <w:lang w:val="en-US"/>
        </w:rPr>
        <w:t>M</w:t>
      </w:r>
      <w:r w:rsidRPr="00B66F03">
        <w:rPr>
          <w:lang w:bidi="ru-RU"/>
        </w:rPr>
        <w:t>180. Поэтому было указано, что для того, чтобы ин</w:t>
      </w:r>
      <w:r w:rsidRPr="00B66F03">
        <w:rPr>
          <w:lang w:bidi="ru-RU"/>
        </w:rPr>
        <w:t>и</w:t>
      </w:r>
      <w:r w:rsidRPr="00B66F03">
        <w:rPr>
          <w:lang w:bidi="ru-RU"/>
        </w:rPr>
        <w:t>циировать новое многостороннее соглашение, его предусмотренный срок де</w:t>
      </w:r>
      <w:r w:rsidRPr="00B66F03">
        <w:rPr>
          <w:lang w:bidi="ru-RU"/>
        </w:rPr>
        <w:t>й</w:t>
      </w:r>
      <w:r w:rsidRPr="00B66F03">
        <w:rPr>
          <w:lang w:bidi="ru-RU"/>
        </w:rPr>
        <w:lastRenderedPageBreak/>
        <w:t xml:space="preserve">ствия должен составлять менее </w:t>
      </w:r>
      <w:r w:rsidR="00156167">
        <w:rPr>
          <w:lang w:bidi="ru-RU"/>
        </w:rPr>
        <w:t>пять</w:t>
      </w:r>
      <w:r w:rsidRPr="00B66F03">
        <w:rPr>
          <w:lang w:bidi="ru-RU"/>
        </w:rPr>
        <w:t xml:space="preserve"> лет для обеспечения того, чтобы отрасль с</w:t>
      </w:r>
      <w:r w:rsidRPr="00B66F03">
        <w:rPr>
          <w:lang w:bidi="ru-RU"/>
        </w:rPr>
        <w:t>о</w:t>
      </w:r>
      <w:r w:rsidRPr="00B66F03">
        <w:rPr>
          <w:lang w:bidi="ru-RU"/>
        </w:rPr>
        <w:t>средоточила свои усилия на осуществлении необходимых действий, направле</w:t>
      </w:r>
      <w:r w:rsidRPr="00B66F03">
        <w:rPr>
          <w:lang w:bidi="ru-RU"/>
        </w:rPr>
        <w:t>н</w:t>
      </w:r>
      <w:r w:rsidRPr="00B66F03">
        <w:rPr>
          <w:lang w:bidi="ru-RU"/>
        </w:rPr>
        <w:t>ных на урегулирование ситуации.</w:t>
      </w:r>
    </w:p>
    <w:p w:rsidR="00B66F03" w:rsidRPr="00B66F03" w:rsidRDefault="00B66F03" w:rsidP="00B66F03">
      <w:pPr>
        <w:pStyle w:val="SingleTxt"/>
        <w:rPr>
          <w:lang w:bidi="ru-RU"/>
        </w:rPr>
      </w:pPr>
      <w:r w:rsidRPr="00B66F03">
        <w:rPr>
          <w:lang w:bidi="ru-RU"/>
        </w:rPr>
        <w:t>98.</w:t>
      </w:r>
      <w:r w:rsidRPr="00B66F03">
        <w:rPr>
          <w:lang w:bidi="ru-RU"/>
        </w:rPr>
        <w:tab/>
      </w:r>
      <w:r w:rsidRPr="00B66F03">
        <w:t>Представитель ЕАПГ указал, что</w:t>
      </w:r>
      <w:r w:rsidRPr="00B66F03">
        <w:rPr>
          <w:lang w:bidi="ru-RU"/>
        </w:rPr>
        <w:t xml:space="preserve"> он представит запрошенную информацию на сессии в марте 2016 года в надежде на то, что это будет содействовать выр</w:t>
      </w:r>
      <w:r w:rsidRPr="00B66F03">
        <w:rPr>
          <w:lang w:bidi="ru-RU"/>
        </w:rPr>
        <w:t>а</w:t>
      </w:r>
      <w:r w:rsidRPr="00B66F03">
        <w:rPr>
          <w:lang w:bidi="ru-RU"/>
        </w:rPr>
        <w:t xml:space="preserve">ботке нового многостороннего соглашения и привлечет большее число </w:t>
      </w:r>
      <w:proofErr w:type="spellStart"/>
      <w:r w:rsidRPr="00B66F03">
        <w:rPr>
          <w:lang w:bidi="ru-RU"/>
        </w:rPr>
        <w:t>сигнат</w:t>
      </w:r>
      <w:r w:rsidRPr="00B66F03">
        <w:rPr>
          <w:lang w:bidi="ru-RU"/>
        </w:rPr>
        <w:t>а</w:t>
      </w:r>
      <w:r w:rsidRPr="00B66F03">
        <w:rPr>
          <w:lang w:bidi="ru-RU"/>
        </w:rPr>
        <w:t>риев</w:t>
      </w:r>
      <w:proofErr w:type="spellEnd"/>
      <w:r w:rsidRPr="00B66F03">
        <w:rPr>
          <w:lang w:bidi="ru-RU"/>
        </w:rPr>
        <w:t>.</w:t>
      </w:r>
    </w:p>
    <w:p w:rsidR="00055886" w:rsidRPr="00B63846" w:rsidRDefault="00055886" w:rsidP="00B63846">
      <w:pPr>
        <w:pStyle w:val="SingleTxt"/>
        <w:spacing w:after="0" w:line="120" w:lineRule="exact"/>
        <w:rPr>
          <w:b/>
          <w:bCs/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/>
          <w:bCs/>
          <w:sz w:val="10"/>
        </w:rPr>
      </w:pPr>
    </w:p>
    <w:p w:rsidR="00B66F03" w:rsidRPr="00B66F03" w:rsidRDefault="00B66F03" w:rsidP="00B638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  <w:t>С.</w:t>
      </w:r>
      <w:r w:rsidRPr="00B66F03">
        <w:tab/>
        <w:t>Размещение информационных табло на грузовых транспортных единицах, содержащих литиевые батареи</w:t>
      </w:r>
    </w:p>
    <w:p w:rsidR="00055886" w:rsidRPr="00B63846" w:rsidRDefault="00055886" w:rsidP="00B63846">
      <w:pPr>
        <w:pStyle w:val="SingleTxt"/>
        <w:spacing w:after="0" w:line="120" w:lineRule="exact"/>
        <w:rPr>
          <w:bCs/>
          <w:i/>
          <w:iCs/>
          <w:sz w:val="10"/>
          <w:lang w:bidi="ru-RU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Cs/>
          <w:i/>
          <w:iCs/>
          <w:sz w:val="10"/>
          <w:lang w:bidi="ru-RU"/>
        </w:rPr>
      </w:pPr>
    </w:p>
    <w:p w:rsidR="00B66F03" w:rsidRPr="00B66F03" w:rsidRDefault="00B66F03" w:rsidP="00B63846">
      <w:pPr>
        <w:pStyle w:val="SingleTxt"/>
        <w:ind w:left="4133" w:hanging="2866"/>
        <w:jc w:val="left"/>
      </w:pPr>
      <w:r w:rsidRPr="00B66F03">
        <w:rPr>
          <w:bCs/>
          <w:i/>
          <w:iCs/>
          <w:lang w:bidi="ru-RU"/>
        </w:rPr>
        <w:t>Неофициальный документ:</w:t>
      </w:r>
      <w:r w:rsidRPr="00B66F03">
        <w:tab/>
      </w:r>
      <w:r w:rsidRPr="00B66F03">
        <w:rPr>
          <w:lang w:val="en-US"/>
        </w:rPr>
        <w:t>INF</w:t>
      </w:r>
      <w:r w:rsidRPr="00B66F03">
        <w:t>.51 (</w:t>
      </w:r>
      <w:r w:rsidRPr="00B66F03">
        <w:rPr>
          <w:lang w:bidi="ru-RU"/>
        </w:rPr>
        <w:t xml:space="preserve">Соединенные Штаты и Соединенное </w:t>
      </w:r>
      <w:r w:rsidR="00055886">
        <w:rPr>
          <w:lang w:bidi="ru-RU"/>
        </w:rPr>
        <w:br/>
      </w:r>
      <w:r w:rsidRPr="00B66F03">
        <w:rPr>
          <w:lang w:bidi="ru-RU"/>
        </w:rPr>
        <w:t>Королевство</w:t>
      </w:r>
      <w:r w:rsidRPr="00B66F03">
        <w:t>)</w:t>
      </w:r>
    </w:p>
    <w:p w:rsidR="00B66F03" w:rsidRPr="00B66F03" w:rsidRDefault="00B66F03" w:rsidP="00B66F03">
      <w:pPr>
        <w:pStyle w:val="SingleTxt"/>
      </w:pPr>
      <w:r w:rsidRPr="00B66F03">
        <w:rPr>
          <w:lang w:bidi="ru-RU"/>
        </w:rPr>
        <w:t>99.</w:t>
      </w:r>
      <w:r w:rsidRPr="00B66F03">
        <w:rPr>
          <w:lang w:bidi="ru-RU"/>
        </w:rPr>
        <w:tab/>
      </w:r>
      <w:r w:rsidRPr="00B66F03">
        <w:t>Совместное совещание отметило, что Международная морская организация не намерена требовать размещения информационного табло, соответствующего знаку образца № 9А, на грузовых транспортных единицах, содержащих литиевые батареи. Будут требоваться только информационные табло, соответствующие знаку образца № 9. Совместное совещание сочло, что такой же подход следует применить в МПОГ/ДОПОГ/ВОПОГ.</w:t>
      </w:r>
    </w:p>
    <w:p w:rsidR="00055886" w:rsidRPr="00B63846" w:rsidRDefault="00055886" w:rsidP="00B63846">
      <w:pPr>
        <w:pStyle w:val="SingleTxt"/>
        <w:spacing w:after="0" w:line="120" w:lineRule="exact"/>
        <w:rPr>
          <w:b/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/>
          <w:sz w:val="10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tab/>
      </w:r>
      <w:r w:rsidRPr="00B66F03">
        <w:rPr>
          <w:lang w:val="fr-CH"/>
        </w:rPr>
        <w:t>XIII</w:t>
      </w:r>
      <w:r w:rsidRPr="00B66F03">
        <w:t>. Утверждение доклада (пункт 12 повестки дня)</w:t>
      </w: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sz w:val="10"/>
        </w:rPr>
      </w:pPr>
    </w:p>
    <w:p w:rsidR="00B66F03" w:rsidRPr="00B66F03" w:rsidRDefault="00B66F03">
      <w:pPr>
        <w:pStyle w:val="SingleTxt"/>
      </w:pPr>
      <w:r w:rsidRPr="00B66F03">
        <w:t xml:space="preserve">100. </w:t>
      </w:r>
      <w:r w:rsidR="00055886">
        <w:tab/>
      </w:r>
      <w:r w:rsidRPr="00B66F03">
        <w:t>Совместное совещание утвердило доклад о работе своей осенней сессии 2015 года и приложения к нему на основе проекта, подготовленного секретари</w:t>
      </w:r>
      <w:r w:rsidRPr="00B66F03">
        <w:t>а</w:t>
      </w:r>
      <w:r w:rsidRPr="00B66F03">
        <w:t>тами.</w:t>
      </w:r>
    </w:p>
    <w:p w:rsidR="00B66F03" w:rsidRPr="00B66F03" w:rsidRDefault="00055886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bidi="ru-RU"/>
        </w:rPr>
        <w:br w:type="page"/>
      </w:r>
      <w:r>
        <w:rPr>
          <w:lang w:bidi="ru-RU"/>
        </w:rPr>
        <w:lastRenderedPageBreak/>
        <w:tab/>
      </w:r>
      <w:r>
        <w:rPr>
          <w:lang w:bidi="ru-RU"/>
        </w:rPr>
        <w:tab/>
      </w:r>
      <w:r w:rsidR="00B66F03" w:rsidRPr="00B66F03">
        <w:t xml:space="preserve">Приложение </w:t>
      </w:r>
      <w:r w:rsidR="00B66F03" w:rsidRPr="00B66F03">
        <w:rPr>
          <w:lang w:val="en-US"/>
        </w:rPr>
        <w:t>I</w:t>
      </w:r>
    </w:p>
    <w:p w:rsidR="00055886" w:rsidRPr="00B63846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B66F03">
        <w:tab/>
      </w:r>
    </w:p>
    <w:p w:rsidR="00055886" w:rsidRPr="00B63846" w:rsidRDefault="00055886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66F03" w:rsidRPr="00B66F03" w:rsidRDefault="00055886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66F03" w:rsidRPr="00B66F03">
        <w:tab/>
        <w:t xml:space="preserve">Тексты, принятые Совместным совещанием (Проекты поправок к МПОГ, ДОПОГ и ВОПОГ для вступления </w:t>
      </w:r>
      <w:r w:rsidR="00156167">
        <w:br/>
      </w:r>
      <w:r w:rsidR="00B66F03" w:rsidRPr="00B66F03">
        <w:t xml:space="preserve">в силу 1 января 2017 года) </w:t>
      </w:r>
    </w:p>
    <w:p w:rsidR="00156167" w:rsidRPr="00156167" w:rsidRDefault="00156167" w:rsidP="001561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66F03">
        <w:tab/>
      </w:r>
      <w:r w:rsidRPr="00B66F03">
        <w:tab/>
      </w:r>
      <w:r w:rsidRPr="00B66F03">
        <w:rPr>
          <w:lang w:val="en-US"/>
        </w:rPr>
        <w:t>(</w:t>
      </w:r>
      <w:proofErr w:type="gramStart"/>
      <w:r w:rsidRPr="00B66F03">
        <w:t>см</w:t>
      </w:r>
      <w:proofErr w:type="gramEnd"/>
      <w:r w:rsidRPr="00B66F03">
        <w:rPr>
          <w:lang w:val="en-US"/>
        </w:rPr>
        <w:t>. ECE/TRANS/WP.15/AC.1/140/Add.1)</w:t>
      </w:r>
    </w:p>
    <w:p w:rsidR="00B66F03" w:rsidRPr="00B66F03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14659">
        <w:br w:type="page"/>
      </w:r>
      <w:r w:rsidRPr="00B66F03">
        <w:lastRenderedPageBreak/>
        <w:t xml:space="preserve">Приложение </w:t>
      </w:r>
      <w:r w:rsidRPr="00B66F03">
        <w:rPr>
          <w:lang w:val="en-US"/>
        </w:rPr>
        <w:t>II</w:t>
      </w:r>
    </w:p>
    <w:p w:rsidR="00B66F03" w:rsidRPr="00B63846" w:rsidRDefault="00B66F03" w:rsidP="00B63846">
      <w:pPr>
        <w:pStyle w:val="SingleTxt"/>
        <w:spacing w:after="0" w:line="120" w:lineRule="exact"/>
        <w:rPr>
          <w:b/>
          <w:bCs/>
          <w:sz w:val="10"/>
        </w:rPr>
      </w:pPr>
    </w:p>
    <w:p w:rsidR="00055886" w:rsidRPr="00B63846" w:rsidRDefault="00055886" w:rsidP="00B63846">
      <w:pPr>
        <w:pStyle w:val="SingleTxt"/>
        <w:spacing w:after="0" w:line="120" w:lineRule="exact"/>
        <w:rPr>
          <w:b/>
          <w:bCs/>
          <w:sz w:val="10"/>
        </w:rPr>
      </w:pPr>
    </w:p>
    <w:p w:rsidR="00B66F03" w:rsidRPr="00B66F03" w:rsidRDefault="00B66F03" w:rsidP="00FE7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F03">
        <w:tab/>
      </w:r>
      <w:r w:rsidRPr="00B66F03">
        <w:tab/>
        <w:t xml:space="preserve">Доклад Рабочей группы по цистернам </w:t>
      </w:r>
    </w:p>
    <w:p w:rsidR="00156167" w:rsidRPr="00156167" w:rsidRDefault="00156167" w:rsidP="001561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05155" w:rsidRPr="00B63846" w:rsidRDefault="00B66F03" w:rsidP="00B6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66F03">
        <w:tab/>
      </w:r>
      <w:r w:rsidRPr="00B66F03">
        <w:tab/>
      </w:r>
      <w:r w:rsidRPr="00B66F03">
        <w:rPr>
          <w:lang w:val="en-US"/>
        </w:rPr>
        <w:t>(</w:t>
      </w:r>
      <w:proofErr w:type="gramStart"/>
      <w:r w:rsidRPr="00B66F03">
        <w:t>см</w:t>
      </w:r>
      <w:proofErr w:type="gramEnd"/>
      <w:r w:rsidRPr="00B66F03">
        <w:rPr>
          <w:lang w:val="en-US"/>
        </w:rPr>
        <w:t>. ECE/TRANS/WP.15/AC.1/140/Add.2)</w:t>
      </w:r>
    </w:p>
    <w:p w:rsidR="00055886" w:rsidRPr="00047977" w:rsidRDefault="00055886" w:rsidP="00B6384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2AF0" wp14:editId="029B0EF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FE71C6" w:rsidRPr="00047977" w:rsidRDefault="00FE71C6">
      <w:pPr>
        <w:pStyle w:val="SingleTxt"/>
        <w:spacing w:after="0" w:line="240" w:lineRule="auto"/>
        <w:rPr>
          <w:lang w:val="en-US"/>
        </w:rPr>
      </w:pPr>
    </w:p>
    <w:sectPr w:rsidR="00FE71C6" w:rsidRPr="00047977" w:rsidSect="00D0515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53" w:rsidRDefault="00910653" w:rsidP="008A1A7A">
      <w:pPr>
        <w:spacing w:line="240" w:lineRule="auto"/>
      </w:pPr>
      <w:r>
        <w:separator/>
      </w:r>
    </w:p>
  </w:endnote>
  <w:endnote w:type="continuationSeparator" w:id="0">
    <w:p w:rsidR="00910653" w:rsidRDefault="0091065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0653" w:rsidTr="00D0515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0653" w:rsidRPr="00D05155" w:rsidRDefault="00910653" w:rsidP="00D0515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14659">
            <w:rPr>
              <w:noProof/>
            </w:rPr>
            <w:t>22</w:t>
          </w:r>
          <w:r>
            <w:fldChar w:fldCharType="end"/>
          </w:r>
          <w:r>
            <w:t>/</w:t>
          </w:r>
          <w:r w:rsidR="00314659">
            <w:fldChar w:fldCharType="begin"/>
          </w:r>
          <w:r w:rsidR="00314659">
            <w:instrText xml:space="preserve"> NUMPAGES  \* Arabic  \* MERGEFORMAT </w:instrText>
          </w:r>
          <w:r w:rsidR="00314659">
            <w:fldChar w:fldCharType="separate"/>
          </w:r>
          <w:r w:rsidR="00314659">
            <w:rPr>
              <w:noProof/>
            </w:rPr>
            <w:t>22</w:t>
          </w:r>
          <w:r w:rsidR="0031465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0653" w:rsidRPr="00D05155" w:rsidRDefault="00910653" w:rsidP="00D0515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14659">
            <w:rPr>
              <w:b w:val="0"/>
              <w:color w:val="000000"/>
              <w:sz w:val="14"/>
            </w:rPr>
            <w:t>GE.15-19019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10653" w:rsidRPr="00D05155" w:rsidRDefault="00910653" w:rsidP="00D05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10653" w:rsidTr="00D0515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10653" w:rsidRPr="00D05155" w:rsidRDefault="00910653" w:rsidP="00D0515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14659">
            <w:rPr>
              <w:b w:val="0"/>
              <w:color w:val="000000"/>
              <w:sz w:val="14"/>
            </w:rPr>
            <w:t>GE.15-19019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0653" w:rsidRPr="00D05155" w:rsidRDefault="00910653" w:rsidP="00D0515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14659">
            <w:rPr>
              <w:noProof/>
            </w:rPr>
            <w:t>21</w:t>
          </w:r>
          <w:r>
            <w:fldChar w:fldCharType="end"/>
          </w:r>
          <w:r>
            <w:t>/</w:t>
          </w:r>
          <w:r w:rsidR="00314659">
            <w:fldChar w:fldCharType="begin"/>
          </w:r>
          <w:r w:rsidR="00314659">
            <w:instrText xml:space="preserve"> NUMPAGES  \* Arabic  \* MERGEFORMAT </w:instrText>
          </w:r>
          <w:r w:rsidR="00314659">
            <w:fldChar w:fldCharType="separate"/>
          </w:r>
          <w:r w:rsidR="00314659">
            <w:rPr>
              <w:noProof/>
            </w:rPr>
            <w:t>22</w:t>
          </w:r>
          <w:r w:rsidR="00314659">
            <w:rPr>
              <w:noProof/>
            </w:rPr>
            <w:fldChar w:fldCharType="end"/>
          </w:r>
        </w:p>
      </w:tc>
    </w:tr>
  </w:tbl>
  <w:p w:rsidR="00910653" w:rsidRPr="00D05155" w:rsidRDefault="00910653" w:rsidP="00D05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10653" w:rsidTr="00D05155">
      <w:tc>
        <w:tcPr>
          <w:tcW w:w="3873" w:type="dxa"/>
        </w:tcPr>
        <w:p w:rsidR="00910653" w:rsidRDefault="00910653" w:rsidP="00FE71C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CF1F69C" wp14:editId="298E8F3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4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4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GE.15-19019 (R)</w:t>
          </w:r>
          <w:r>
            <w:rPr>
              <w:color w:val="010000"/>
            </w:rPr>
            <w:t xml:space="preserve">    301115    </w:t>
          </w:r>
          <w:r>
            <w:rPr>
              <w:color w:val="010000"/>
              <w:lang w:val="en-US"/>
            </w:rPr>
            <w:t>0</w:t>
          </w:r>
          <w:r>
            <w:rPr>
              <w:color w:val="010000"/>
            </w:rPr>
            <w:t>11215</w:t>
          </w:r>
        </w:p>
        <w:p w:rsidR="00910653" w:rsidRPr="00D05155" w:rsidRDefault="00910653" w:rsidP="00D0515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*1519019*</w:t>
          </w:r>
        </w:p>
      </w:tc>
      <w:tc>
        <w:tcPr>
          <w:tcW w:w="5127" w:type="dxa"/>
        </w:tcPr>
        <w:p w:rsidR="00910653" w:rsidRDefault="00910653" w:rsidP="00D0515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FC0505" wp14:editId="3E5988C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0653" w:rsidRPr="00D05155" w:rsidRDefault="00910653" w:rsidP="00D0515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53" w:rsidRPr="00FE71C6" w:rsidRDefault="00910653" w:rsidP="00FE71C6">
      <w:pPr>
        <w:pStyle w:val="Footer"/>
        <w:spacing w:after="80"/>
        <w:ind w:left="792"/>
        <w:rPr>
          <w:sz w:val="16"/>
        </w:rPr>
      </w:pPr>
      <w:r w:rsidRPr="00FE71C6">
        <w:rPr>
          <w:sz w:val="16"/>
        </w:rPr>
        <w:t>__________________</w:t>
      </w:r>
    </w:p>
  </w:footnote>
  <w:footnote w:type="continuationSeparator" w:id="0">
    <w:p w:rsidR="00910653" w:rsidRPr="00FE71C6" w:rsidRDefault="00910653" w:rsidP="00FE71C6">
      <w:pPr>
        <w:pStyle w:val="Footer"/>
        <w:spacing w:after="80"/>
        <w:ind w:left="792"/>
        <w:rPr>
          <w:sz w:val="16"/>
        </w:rPr>
      </w:pPr>
      <w:r w:rsidRPr="00FE71C6">
        <w:rPr>
          <w:sz w:val="16"/>
        </w:rPr>
        <w:t>__________________</w:t>
      </w:r>
    </w:p>
  </w:footnote>
  <w:footnote w:type="continuationNotice" w:id="1">
    <w:p w:rsidR="00910653" w:rsidRPr="00FE71C6" w:rsidRDefault="00910653" w:rsidP="00FE71C6">
      <w:pPr>
        <w:pStyle w:val="Footer"/>
      </w:pPr>
    </w:p>
  </w:footnote>
  <w:footnote w:id="2">
    <w:p w:rsidR="00910653" w:rsidRPr="00FE71C6" w:rsidRDefault="00910653" w:rsidP="00FE71C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FE71C6">
        <w:tab/>
      </w:r>
      <w:r w:rsidRPr="00A46DC4"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 w:rsidRPr="00A46DC4">
        <w:rPr>
          <w:lang w:val="en-US"/>
        </w:rPr>
        <w:t>OTIF</w:t>
      </w:r>
      <w:r w:rsidRPr="00A46DC4">
        <w:t>/</w:t>
      </w:r>
      <w:r w:rsidRPr="00A46DC4">
        <w:rPr>
          <w:lang w:val="en-US"/>
        </w:rPr>
        <w:t>RID</w:t>
      </w:r>
      <w:r w:rsidRPr="00A46DC4">
        <w:t>/</w:t>
      </w:r>
      <w:r w:rsidRPr="00A46DC4">
        <w:rPr>
          <w:lang w:val="en-US"/>
        </w:rPr>
        <w:t>RC</w:t>
      </w:r>
      <w:r w:rsidRPr="00A46DC4">
        <w:t>/201</w:t>
      </w:r>
      <w:r>
        <w:t>5</w:t>
      </w:r>
      <w:r w:rsidRPr="00A46DC4">
        <w:t>-</w:t>
      </w:r>
      <w:r w:rsidRPr="00A46DC4">
        <w:rPr>
          <w:lang w:val="en-US"/>
        </w:rPr>
        <w:t>B</w:t>
      </w:r>
      <w:r w:rsidRPr="00A46DC4">
        <w:t xml:space="preserve">. Если не указано иное, то другие документы, упоминаемые в настоящем докладе и имеющие условное обозначение </w:t>
      </w:r>
      <w:r w:rsidRPr="00A46DC4">
        <w:rPr>
          <w:lang w:val="en-US"/>
        </w:rPr>
        <w:t>ECE</w:t>
      </w:r>
      <w:r w:rsidRPr="00A46DC4">
        <w:t>/</w:t>
      </w:r>
      <w:r w:rsidRPr="00A46DC4">
        <w:rPr>
          <w:lang w:val="en-US"/>
        </w:rPr>
        <w:t>TRANS</w:t>
      </w:r>
      <w:r w:rsidRPr="00A46DC4">
        <w:t>/</w:t>
      </w:r>
      <w:r w:rsidRPr="00A46DC4">
        <w:rPr>
          <w:lang w:val="en-US"/>
        </w:rPr>
        <w:t>WP</w:t>
      </w:r>
      <w:r w:rsidRPr="00A46DC4">
        <w:t>.15/</w:t>
      </w:r>
      <w:r w:rsidRPr="00A46DC4">
        <w:rPr>
          <w:lang w:val="en-US"/>
        </w:rPr>
        <w:t>AC</w:t>
      </w:r>
      <w:r w:rsidRPr="00A46DC4">
        <w:t xml:space="preserve">.1/, после которого указаны год и порядковый номер, были распространены ОТИФ под условным обозначением </w:t>
      </w:r>
      <w:r w:rsidRPr="00A46DC4">
        <w:rPr>
          <w:lang w:val="en-US"/>
        </w:rPr>
        <w:t>OTIF</w:t>
      </w:r>
      <w:r w:rsidRPr="00A46DC4">
        <w:t>/</w:t>
      </w:r>
      <w:r w:rsidRPr="00A46DC4">
        <w:rPr>
          <w:lang w:val="en-US"/>
        </w:rPr>
        <w:t>RID</w:t>
      </w:r>
      <w:r w:rsidRPr="00A46DC4">
        <w:t>/</w:t>
      </w:r>
      <w:r w:rsidRPr="00A46DC4">
        <w:rPr>
          <w:lang w:val="en-US"/>
        </w:rPr>
        <w:t>RC</w:t>
      </w:r>
      <w:r w:rsidRPr="00A46DC4">
        <w:t>/, после которого указаны год и тот же порядковый номер.</w:t>
      </w:r>
    </w:p>
  </w:footnote>
  <w:footnote w:id="3">
    <w:p w:rsidR="00910653" w:rsidRPr="00FE71C6" w:rsidRDefault="00910653" w:rsidP="00FE71C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047977">
        <w:tab/>
      </w:r>
      <w:r>
        <w:rPr>
          <w:rStyle w:val="FootnoteReference"/>
        </w:rPr>
        <w:footnoteRef/>
      </w:r>
      <w:r w:rsidRPr="00FE71C6">
        <w:tab/>
      </w:r>
      <w:r w:rsidRPr="008B242A">
        <w:t>По соображениям практического характера приложение I опубликовано в виде добавления под условным обозначением ECE/TRANS/WP.15/AC.1/1</w:t>
      </w:r>
      <w:r>
        <w:t>40</w:t>
      </w:r>
      <w:r w:rsidRPr="008B242A">
        <w:t>/Add.1.</w:t>
      </w:r>
    </w:p>
  </w:footnote>
  <w:footnote w:id="4">
    <w:p w:rsidR="00910653" w:rsidRPr="00FE71C6" w:rsidRDefault="00910653" w:rsidP="00FE71C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047977">
        <w:tab/>
      </w:r>
      <w:r>
        <w:rPr>
          <w:rStyle w:val="FootnoteReference"/>
        </w:rPr>
        <w:footnoteRef/>
      </w:r>
      <w:r w:rsidRPr="00FE71C6">
        <w:tab/>
      </w:r>
      <w:r w:rsidRPr="008B242A">
        <w:t>По соображениям практического характера приложение II опубликовано в виде добавления под условным обозначением ECE/TRANS/WP.15/AC.1/1</w:t>
      </w:r>
      <w:r>
        <w:t>40</w:t>
      </w:r>
      <w:r w:rsidRPr="008B242A">
        <w:t>/Add.</w:t>
      </w:r>
      <w:r>
        <w:t>2</w:t>
      </w:r>
      <w:r w:rsidRPr="008B242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0653" w:rsidTr="00D0515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0653" w:rsidRPr="00D05155" w:rsidRDefault="00910653" w:rsidP="00D0515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14659">
            <w:rPr>
              <w:b/>
            </w:rPr>
            <w:t>ECE/TRANS/WP.15/AC.1/140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10653" w:rsidRDefault="00910653" w:rsidP="00D05155">
          <w:pPr>
            <w:pStyle w:val="Header"/>
          </w:pPr>
        </w:p>
      </w:tc>
    </w:tr>
  </w:tbl>
  <w:p w:rsidR="00910653" w:rsidRPr="00D05155" w:rsidRDefault="00910653" w:rsidP="00D05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10653" w:rsidTr="00D0515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10653" w:rsidRDefault="00910653" w:rsidP="00D0515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10653" w:rsidRPr="00D05155" w:rsidRDefault="00910653" w:rsidP="00D0515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14659">
            <w:rPr>
              <w:b/>
            </w:rPr>
            <w:t>ECE/TRANS/WP.15/AC.1/140</w:t>
          </w:r>
          <w:r>
            <w:rPr>
              <w:b/>
            </w:rPr>
            <w:fldChar w:fldCharType="end"/>
          </w:r>
        </w:p>
      </w:tc>
    </w:tr>
  </w:tbl>
  <w:p w:rsidR="00910653" w:rsidRPr="00D05155" w:rsidRDefault="00910653" w:rsidP="00D05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10653" w:rsidTr="00D0515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10653" w:rsidRPr="00D05155" w:rsidRDefault="00910653" w:rsidP="00D0515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0653" w:rsidRDefault="00910653" w:rsidP="00D0515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10653" w:rsidRPr="00D05155" w:rsidRDefault="00910653" w:rsidP="00D0515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/TRANS/WP.15/AC.1/140</w:t>
          </w:r>
        </w:p>
      </w:tc>
    </w:tr>
    <w:tr w:rsidR="00910653" w:rsidRPr="00314659" w:rsidTr="00D0515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0653" w:rsidRPr="00D05155" w:rsidRDefault="00910653" w:rsidP="00D0515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ABC1D9" wp14:editId="2438759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0653" w:rsidRPr="00D05155" w:rsidRDefault="00910653" w:rsidP="00D0515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0653" w:rsidRPr="00D05155" w:rsidRDefault="00910653" w:rsidP="00D0515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0653" w:rsidRPr="00B66F03" w:rsidRDefault="00910653" w:rsidP="00D05155">
          <w:pPr>
            <w:pStyle w:val="Distribution"/>
            <w:rPr>
              <w:color w:val="000000"/>
              <w:lang w:val="en-US"/>
            </w:rPr>
          </w:pPr>
          <w:r w:rsidRPr="00B66F03">
            <w:rPr>
              <w:color w:val="000000"/>
              <w:lang w:val="en-US"/>
            </w:rPr>
            <w:t>Distr.: General</w:t>
          </w:r>
        </w:p>
        <w:p w:rsidR="00910653" w:rsidRPr="00B66F03" w:rsidRDefault="00910653" w:rsidP="00D05155">
          <w:pPr>
            <w:pStyle w:val="Publication"/>
            <w:rPr>
              <w:color w:val="000000"/>
              <w:lang w:val="en-US"/>
            </w:rPr>
          </w:pPr>
          <w:r w:rsidRPr="00B66F03">
            <w:rPr>
              <w:color w:val="000000"/>
              <w:lang w:val="en-US"/>
            </w:rPr>
            <w:t>4 November 2015</w:t>
          </w:r>
        </w:p>
        <w:p w:rsidR="00910653" w:rsidRPr="00B66F03" w:rsidRDefault="00910653" w:rsidP="00D05155">
          <w:pPr>
            <w:rPr>
              <w:color w:val="000000"/>
              <w:lang w:val="en-US"/>
            </w:rPr>
          </w:pPr>
          <w:r w:rsidRPr="00B66F03">
            <w:rPr>
              <w:color w:val="000000"/>
              <w:lang w:val="en-US"/>
            </w:rPr>
            <w:t>Russian</w:t>
          </w:r>
        </w:p>
        <w:p w:rsidR="00910653" w:rsidRPr="00B66F03" w:rsidRDefault="00910653" w:rsidP="00B66F03">
          <w:pPr>
            <w:pStyle w:val="Original"/>
            <w:rPr>
              <w:color w:val="000000"/>
              <w:lang w:val="en-US"/>
            </w:rPr>
          </w:pPr>
          <w:r w:rsidRPr="00B66F03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</w:t>
          </w:r>
          <w:r w:rsidRPr="00B66F03">
            <w:rPr>
              <w:color w:val="000000"/>
              <w:lang w:val="en-US"/>
            </w:rPr>
            <w:t>French</w:t>
          </w:r>
        </w:p>
        <w:p w:rsidR="00910653" w:rsidRPr="00B66F03" w:rsidRDefault="00910653" w:rsidP="00D05155">
          <w:pPr>
            <w:rPr>
              <w:lang w:val="en-US"/>
            </w:rPr>
          </w:pPr>
        </w:p>
      </w:tc>
    </w:tr>
  </w:tbl>
  <w:p w:rsidR="00910653" w:rsidRPr="00B66F03" w:rsidRDefault="00910653" w:rsidP="00D0515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0BF68F7"/>
    <w:multiLevelType w:val="multilevel"/>
    <w:tmpl w:val="154C5D4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019*"/>
    <w:docVar w:name="CreationDt" w:val="11/30/2015 2:17: PM"/>
    <w:docVar w:name="DocCategory" w:val="Doc"/>
    <w:docVar w:name="DocType" w:val="Final"/>
    <w:docVar w:name="DutyStation" w:val="Geneva"/>
    <w:docVar w:name="FooterJN" w:val="GE.15-19019"/>
    <w:docVar w:name="jobn" w:val="GE.15-19019 (R)"/>
    <w:docVar w:name="jobnDT" w:val="GE.15-19019 (R)   301115"/>
    <w:docVar w:name="jobnDTDT" w:val="GE.15-19019 (R)   301115   301115"/>
    <w:docVar w:name="JobNo" w:val="GE.1519019R"/>
    <w:docVar w:name="JobNo2" w:val="1525015R"/>
    <w:docVar w:name="LocalDrive" w:val="0"/>
    <w:docVar w:name="OandT" w:val=" "/>
    <w:docVar w:name="PaperSize" w:val="A4"/>
    <w:docVar w:name="sss1" w:val="ECE/TRANS/WP.15/AC.1/140"/>
    <w:docVar w:name="sss2" w:val="-"/>
    <w:docVar w:name="Symbol1" w:val="ECE/TRANS/WP.15/AC.1/140"/>
    <w:docVar w:name="Symbol2" w:val="-"/>
  </w:docVars>
  <w:rsids>
    <w:rsidRoot w:val="00200C88"/>
    <w:rsid w:val="00004615"/>
    <w:rsid w:val="00004756"/>
    <w:rsid w:val="00005D42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7977"/>
    <w:rsid w:val="000513EF"/>
    <w:rsid w:val="0005420D"/>
    <w:rsid w:val="00055886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0469"/>
    <w:rsid w:val="000F1ACD"/>
    <w:rsid w:val="000F5D07"/>
    <w:rsid w:val="00105B0E"/>
    <w:rsid w:val="00113678"/>
    <w:rsid w:val="001235FD"/>
    <w:rsid w:val="00124DF1"/>
    <w:rsid w:val="00137078"/>
    <w:rsid w:val="0014308F"/>
    <w:rsid w:val="001444A3"/>
    <w:rsid w:val="00153645"/>
    <w:rsid w:val="00153E04"/>
    <w:rsid w:val="00153E8C"/>
    <w:rsid w:val="00156167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0561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0C88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4D23"/>
    <w:rsid w:val="002F5C45"/>
    <w:rsid w:val="002F6149"/>
    <w:rsid w:val="002F7D25"/>
    <w:rsid w:val="00310EA4"/>
    <w:rsid w:val="00310ED4"/>
    <w:rsid w:val="00314659"/>
    <w:rsid w:val="00325C10"/>
    <w:rsid w:val="00326F5F"/>
    <w:rsid w:val="00331A16"/>
    <w:rsid w:val="00332D90"/>
    <w:rsid w:val="00333B06"/>
    <w:rsid w:val="00337D91"/>
    <w:rsid w:val="00340BCA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2545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17457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09F5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5B60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10CA"/>
    <w:rsid w:val="006F3683"/>
    <w:rsid w:val="00700738"/>
    <w:rsid w:val="007042EA"/>
    <w:rsid w:val="007043B9"/>
    <w:rsid w:val="00705549"/>
    <w:rsid w:val="0071210D"/>
    <w:rsid w:val="00716BC5"/>
    <w:rsid w:val="007170E5"/>
    <w:rsid w:val="0072295C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0E34"/>
    <w:rsid w:val="0077374B"/>
    <w:rsid w:val="007746A3"/>
    <w:rsid w:val="007755CA"/>
    <w:rsid w:val="007766E6"/>
    <w:rsid w:val="00781ACA"/>
    <w:rsid w:val="00785F8F"/>
    <w:rsid w:val="00786957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3B5F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0653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47E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50D9D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6BA2"/>
    <w:rsid w:val="00AD12DB"/>
    <w:rsid w:val="00AD6322"/>
    <w:rsid w:val="00AD6752"/>
    <w:rsid w:val="00AD78B1"/>
    <w:rsid w:val="00AF0B91"/>
    <w:rsid w:val="00AF1A65"/>
    <w:rsid w:val="00AF3B70"/>
    <w:rsid w:val="00B03D42"/>
    <w:rsid w:val="00B10AEF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3846"/>
    <w:rsid w:val="00B666EC"/>
    <w:rsid w:val="00B66F03"/>
    <w:rsid w:val="00B77560"/>
    <w:rsid w:val="00B77FC0"/>
    <w:rsid w:val="00B908E1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155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36AD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4B06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76775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71C6"/>
    <w:rsid w:val="00FF07F5"/>
    <w:rsid w:val="00FF125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Footnote Reference/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05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5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5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MGR">
    <w:name w:val="_ H __M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66F0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rsid w:val="00B66F0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B66F0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B66F0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B66F0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B66F0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B66F03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B66F03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B66F03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PageNumber">
    <w:name w:val="page number"/>
    <w:aliases w:val="7_GR"/>
    <w:basedOn w:val="DefaultParagraphFont"/>
    <w:rsid w:val="00B66F03"/>
    <w:rPr>
      <w:rFonts w:ascii="Times New Roman" w:hAnsi="Times New Roman"/>
      <w:b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03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03"/>
    <w:pPr>
      <w:spacing w:line="240" w:lineRule="auto"/>
    </w:pPr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Footnote Reference/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05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5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5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5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MGR">
    <w:name w:val="_ H __M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66F0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66F0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rsid w:val="00B66F0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B66F0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B66F0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B66F0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B66F0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B66F03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B66F03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B66F03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PageNumber">
    <w:name w:val="page number"/>
    <w:aliases w:val="7_GR"/>
    <w:basedOn w:val="DefaultParagraphFont"/>
    <w:rsid w:val="00B66F03"/>
    <w:rPr>
      <w:rFonts w:ascii="Times New Roman" w:hAnsi="Times New Roman"/>
      <w:b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03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03"/>
    <w:pPr>
      <w:spacing w:line="240" w:lineRule="auto"/>
    </w:pPr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C3BD-C5E6-41D8-AD91-7C23F30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barrio-champeau</cp:lastModifiedBy>
  <cp:revision>3</cp:revision>
  <cp:lastPrinted>2015-12-07T14:08:00Z</cp:lastPrinted>
  <dcterms:created xsi:type="dcterms:W3CDTF">2015-12-07T14:08:00Z</dcterms:created>
  <dcterms:modified xsi:type="dcterms:W3CDTF">2015-12-07T14:09:00Z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1519019R</vt:lpwstr>
  </property>
  <property fmtid="{D5CDD505-2E9C-101B-9397-08002B2CF9AE}" pid="3" name="ODSRefJobNo">
    <vt:lpwstr>1525015R</vt:lpwstr>
  </property>
  <property fmtid="{D5CDD505-2E9C-101B-9397-08002B2CF9AE}" pid="4" name="Symbol1">
    <vt:lpwstr>ECE/TRANS/WP.15/AC.1/140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November 2015</vt:lpwstr>
  </property>
  <property fmtid="{D5CDD505-2E9C-101B-9397-08002B2CF9AE}" pid="12" name="Original">
    <vt:lpwstr>English/French</vt:lpwstr>
  </property>
  <property fmtid="{D5CDD505-2E9C-101B-9397-08002B2CF9AE}" pid="13" name="Release Date">
    <vt:lpwstr>301115</vt:lpwstr>
  </property>
</Properties>
</file>