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00" w:rsidRPr="00D900AD" w:rsidRDefault="00BC7300" w:rsidP="00BC7300">
      <w:pPr>
        <w:spacing w:line="240" w:lineRule="auto"/>
        <w:rPr>
          <w:sz w:val="2"/>
          <w:lang w:val="fr-CH"/>
        </w:rPr>
        <w:sectPr w:rsidR="00BC7300" w:rsidRPr="00D900AD" w:rsidSect="00BC730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900AD">
        <w:rPr>
          <w:rStyle w:val="CommentReference"/>
          <w:lang w:val="fr-CH"/>
        </w:rPr>
        <w:commentReference w:id="0"/>
      </w:r>
      <w:bookmarkStart w:id="1" w:name="_GoBack"/>
      <w:bookmarkEnd w:id="1"/>
    </w:p>
    <w:p w:rsidR="00BC7300" w:rsidRPr="00D900AD" w:rsidRDefault="00BC7300" w:rsidP="00BC7300">
      <w:pPr>
        <w:pStyle w:val="H1"/>
        <w:spacing w:after="120"/>
        <w:rPr>
          <w:sz w:val="28"/>
          <w:lang w:val="fr-CH"/>
        </w:rPr>
      </w:pPr>
      <w:r w:rsidRPr="00D900AD">
        <w:rPr>
          <w:sz w:val="28"/>
          <w:lang w:val="fr-CH"/>
        </w:rPr>
        <w:lastRenderedPageBreak/>
        <w:t>Commission économique pour l’Europe</w:t>
      </w:r>
    </w:p>
    <w:p w:rsidR="00BC7300" w:rsidRPr="00D900AD" w:rsidRDefault="00BC7300" w:rsidP="00BC7300">
      <w:pPr>
        <w:pStyle w:val="H1"/>
        <w:spacing w:after="120" w:line="300" w:lineRule="exact"/>
        <w:rPr>
          <w:b w:val="0"/>
          <w:sz w:val="28"/>
          <w:lang w:val="fr-CH"/>
        </w:rPr>
      </w:pPr>
      <w:r w:rsidRPr="00D900AD">
        <w:rPr>
          <w:b w:val="0"/>
          <w:sz w:val="28"/>
          <w:lang w:val="fr-CH"/>
        </w:rPr>
        <w:t>Comité des transports intérieurs</w:t>
      </w:r>
    </w:p>
    <w:p w:rsidR="00D351AD" w:rsidRPr="00D900AD" w:rsidRDefault="00D351AD" w:rsidP="00DD03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D900AD">
        <w:rPr>
          <w:lang w:val="fr-CH"/>
        </w:rPr>
        <w:t>Groupe de travail des transports</w:t>
      </w:r>
      <w:r w:rsidRPr="00D900AD">
        <w:rPr>
          <w:lang w:val="fr-CH"/>
        </w:rPr>
        <w:br/>
        <w:t>de marchandises dangereuses</w:t>
      </w:r>
    </w:p>
    <w:p w:rsidR="00DD0372" w:rsidRPr="00D900AD" w:rsidRDefault="00DD0372" w:rsidP="00DD0372">
      <w:pPr>
        <w:pStyle w:val="SingleTxt"/>
        <w:spacing w:after="0" w:line="120" w:lineRule="exact"/>
        <w:rPr>
          <w:b/>
          <w:sz w:val="10"/>
          <w:lang w:val="fr-CH"/>
        </w:rPr>
      </w:pPr>
    </w:p>
    <w:p w:rsidR="00D351AD" w:rsidRPr="00D900AD" w:rsidRDefault="00D351AD" w:rsidP="00DD0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D900AD">
        <w:rPr>
          <w:lang w:val="fr-CH"/>
        </w:rPr>
        <w:t>Réunion commune de la Commission d’experts</w:t>
      </w:r>
      <w:r w:rsidRPr="00D900AD">
        <w:rPr>
          <w:lang w:val="fr-CH"/>
        </w:rPr>
        <w:br/>
        <w:t>du RID et du Groupe de travail des transports</w:t>
      </w:r>
      <w:r w:rsidRPr="00D900AD">
        <w:rPr>
          <w:lang w:val="fr-CH"/>
        </w:rPr>
        <w:br/>
        <w:t>de marchandises dangereuses</w:t>
      </w:r>
    </w:p>
    <w:p w:rsidR="00DD0372" w:rsidRPr="00D900AD" w:rsidRDefault="00DD0372" w:rsidP="00DD0372">
      <w:pPr>
        <w:pStyle w:val="SingleTxt"/>
        <w:spacing w:after="0" w:line="120" w:lineRule="exact"/>
        <w:rPr>
          <w:b/>
          <w:sz w:val="10"/>
          <w:lang w:val="fr-CH"/>
        </w:rPr>
      </w:pPr>
    </w:p>
    <w:p w:rsidR="00DD0372" w:rsidRPr="00D900AD" w:rsidRDefault="00DD0372" w:rsidP="00DD0372">
      <w:pPr>
        <w:pStyle w:val="SingleTxt"/>
        <w:spacing w:after="0" w:line="120" w:lineRule="exact"/>
        <w:rPr>
          <w:b/>
          <w:sz w:val="10"/>
          <w:lang w:val="fr-CH"/>
        </w:rPr>
      </w:pPr>
    </w:p>
    <w:p w:rsidR="00DD0372" w:rsidRPr="00D900AD" w:rsidRDefault="00DD0372" w:rsidP="00DD0372">
      <w:pPr>
        <w:pStyle w:val="SingleTxt"/>
        <w:spacing w:after="0" w:line="120" w:lineRule="exact"/>
        <w:rPr>
          <w:b/>
          <w:sz w:val="10"/>
          <w:lang w:val="fr-CH"/>
        </w:rPr>
      </w:pPr>
    </w:p>
    <w:p w:rsidR="00D351AD" w:rsidRPr="00D900AD" w:rsidRDefault="00D351AD" w:rsidP="00DD03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Rapport de la Réunion commune de la Commission </w:t>
      </w:r>
      <w:r w:rsidR="00DD0372" w:rsidRPr="00D900AD">
        <w:rPr>
          <w:lang w:val="fr-CH"/>
        </w:rPr>
        <w:br/>
      </w:r>
      <w:r w:rsidRPr="00D900AD">
        <w:rPr>
          <w:lang w:val="fr-CH"/>
        </w:rPr>
        <w:t xml:space="preserve">d’experts du RID et du Groupe de travail des transports </w:t>
      </w:r>
      <w:r w:rsidR="00DD0372" w:rsidRPr="00D900AD">
        <w:rPr>
          <w:lang w:val="fr-CH"/>
        </w:rPr>
        <w:br/>
      </w:r>
      <w:r w:rsidRPr="00D900AD">
        <w:rPr>
          <w:lang w:val="fr-CH"/>
        </w:rPr>
        <w:t>de marchandises dange</w:t>
      </w:r>
      <w:r w:rsidR="00DD0372" w:rsidRPr="00D900AD">
        <w:rPr>
          <w:lang w:val="fr-CH"/>
        </w:rPr>
        <w:t xml:space="preserve">reuses sur sa session d’automne </w:t>
      </w:r>
      <w:r w:rsidR="00DD0372" w:rsidRPr="00D900AD">
        <w:rPr>
          <w:lang w:val="fr-CH"/>
        </w:rPr>
        <w:br/>
      </w:r>
      <w:r w:rsidR="009E12D9" w:rsidRPr="00D900AD">
        <w:rPr>
          <w:lang w:val="fr-CH"/>
        </w:rPr>
        <w:t>de 2015</w:t>
      </w:r>
      <w:r w:rsidR="009E12D9" w:rsidRPr="00D900AD">
        <w:rPr>
          <w:rStyle w:val="FootnoteReference"/>
          <w:b w:val="0"/>
          <w:sz w:val="20"/>
          <w:szCs w:val="20"/>
          <w:lang w:val="fr-CH"/>
        </w:rPr>
        <w:footnoteReference w:id="1"/>
      </w:r>
    </w:p>
    <w:p w:rsidR="00DD0372" w:rsidRPr="00D900AD" w:rsidRDefault="00DD0372" w:rsidP="00DD0372">
      <w:pPr>
        <w:pStyle w:val="SingleTxt"/>
        <w:spacing w:after="0" w:line="120" w:lineRule="exact"/>
        <w:rPr>
          <w:sz w:val="10"/>
          <w:lang w:val="fr-CH"/>
        </w:rPr>
      </w:pPr>
    </w:p>
    <w:p w:rsidR="00DD0372" w:rsidRPr="00D900AD" w:rsidRDefault="00DD0372" w:rsidP="00DD0372">
      <w:pPr>
        <w:pStyle w:val="SingleTxt"/>
        <w:spacing w:after="0" w:line="120" w:lineRule="exact"/>
        <w:rPr>
          <w:sz w:val="10"/>
          <w:lang w:val="fr-CH"/>
        </w:rPr>
      </w:pPr>
    </w:p>
    <w:p w:rsidR="00D351AD" w:rsidRPr="00D900AD" w:rsidRDefault="00D351AD" w:rsidP="00DD037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r>
      <w:r w:rsidR="005C74E8" w:rsidRPr="00D900AD">
        <w:rPr>
          <w:lang w:val="fr-CH"/>
        </w:rPr>
        <w:t>Tenue à Genève du 15 au 25 </w:t>
      </w:r>
      <w:r w:rsidRPr="00D900AD">
        <w:rPr>
          <w:lang w:val="fr-CH"/>
        </w:rPr>
        <w:t>septembre 2015</w:t>
      </w:r>
    </w:p>
    <w:p w:rsidR="00DD0372" w:rsidRPr="00D900AD" w:rsidRDefault="00DD0372" w:rsidP="00DD0372">
      <w:pPr>
        <w:pStyle w:val="SingleTxt"/>
        <w:spacing w:after="0" w:line="120" w:lineRule="exact"/>
        <w:rPr>
          <w:b/>
          <w:sz w:val="10"/>
          <w:lang w:val="fr-CH"/>
        </w:rPr>
      </w:pPr>
    </w:p>
    <w:p w:rsidR="00DD0372" w:rsidRPr="00D900AD" w:rsidRDefault="00DD0372" w:rsidP="00DD0372">
      <w:pPr>
        <w:pStyle w:val="SingleTxt"/>
        <w:spacing w:after="0" w:line="120" w:lineRule="exact"/>
        <w:rPr>
          <w:b/>
          <w:sz w:val="10"/>
          <w:lang w:val="fr-CH"/>
        </w:rPr>
      </w:pPr>
    </w:p>
    <w:p w:rsidR="00D351AD" w:rsidRPr="00D900AD" w:rsidRDefault="00D351AD" w:rsidP="00DD0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r>
      <w:r w:rsidR="005C74E8" w:rsidRPr="00D900AD">
        <w:rPr>
          <w:lang w:val="fr-CH"/>
        </w:rPr>
        <w:t>Additif</w:t>
      </w:r>
      <w:r w:rsidRPr="00D900AD">
        <w:rPr>
          <w:rStyle w:val="FootnoteReference"/>
          <w:b w:val="0"/>
          <w:lang w:val="fr-CH"/>
        </w:rPr>
        <w:footnoteReference w:id="2"/>
      </w:r>
    </w:p>
    <w:p w:rsidR="00DD0372" w:rsidRPr="00D900AD" w:rsidRDefault="00DD0372" w:rsidP="00DD0372">
      <w:pPr>
        <w:pStyle w:val="SingleTxt"/>
        <w:spacing w:after="0" w:line="120" w:lineRule="exact"/>
        <w:rPr>
          <w:b/>
          <w:sz w:val="10"/>
          <w:lang w:val="fr-CH"/>
        </w:rPr>
      </w:pPr>
    </w:p>
    <w:p w:rsidR="00DD0372" w:rsidRPr="00D900AD" w:rsidRDefault="00DD0372" w:rsidP="00DD0372">
      <w:pPr>
        <w:pStyle w:val="SingleTxt"/>
        <w:spacing w:after="0" w:line="120" w:lineRule="exact"/>
        <w:rPr>
          <w:b/>
          <w:sz w:val="10"/>
          <w:lang w:val="fr-CH"/>
        </w:rPr>
      </w:pPr>
    </w:p>
    <w:p w:rsidR="00D351AD" w:rsidRPr="00D900AD" w:rsidRDefault="00DD0372" w:rsidP="00DD03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r>
      <w:r w:rsidR="00D351AD" w:rsidRPr="00D900AD">
        <w:rPr>
          <w:lang w:val="fr-CH"/>
        </w:rPr>
        <w:t>Annexe II</w:t>
      </w:r>
    </w:p>
    <w:p w:rsidR="00DD0372" w:rsidRPr="00D900AD" w:rsidRDefault="00DD0372" w:rsidP="00DD0372">
      <w:pPr>
        <w:pStyle w:val="SingleTxt"/>
        <w:spacing w:after="0" w:line="120" w:lineRule="exact"/>
        <w:rPr>
          <w:b/>
          <w:sz w:val="10"/>
          <w:lang w:val="fr-CH"/>
        </w:rPr>
      </w:pPr>
    </w:p>
    <w:p w:rsidR="00DD0372" w:rsidRPr="00D900AD" w:rsidRDefault="00DD0372" w:rsidP="00DD0372">
      <w:pPr>
        <w:pStyle w:val="SingleTxt"/>
        <w:spacing w:after="0" w:line="120" w:lineRule="exact"/>
        <w:rPr>
          <w:b/>
          <w:sz w:val="10"/>
          <w:lang w:val="fr-CH"/>
        </w:rPr>
      </w:pPr>
    </w:p>
    <w:p w:rsidR="00D351AD" w:rsidRPr="00D900AD" w:rsidRDefault="00DD0372" w:rsidP="00DD03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00D351AD" w:rsidRPr="00D900AD">
        <w:rPr>
          <w:lang w:val="fr-CH"/>
        </w:rPr>
        <w:tab/>
        <w:t>Rapport du Groupe de travail sur les citernes</w:t>
      </w:r>
    </w:p>
    <w:p w:rsidR="00DD0372" w:rsidRPr="00D900AD" w:rsidRDefault="00DD0372" w:rsidP="00DD0372">
      <w:pPr>
        <w:pStyle w:val="SingleTxt"/>
        <w:spacing w:after="0" w:line="120" w:lineRule="exact"/>
        <w:rPr>
          <w:sz w:val="10"/>
          <w:lang w:val="fr-CH"/>
        </w:rPr>
      </w:pPr>
    </w:p>
    <w:p w:rsidR="00DD0372" w:rsidRPr="00D900AD" w:rsidRDefault="00DD0372" w:rsidP="00DD0372">
      <w:pPr>
        <w:pStyle w:val="SingleTxt"/>
        <w:spacing w:after="0" w:line="120" w:lineRule="exact"/>
        <w:rPr>
          <w:sz w:val="10"/>
          <w:lang w:val="fr-CH"/>
        </w:rPr>
      </w:pPr>
    </w:p>
    <w:p w:rsidR="00D351AD" w:rsidRPr="00D900AD" w:rsidRDefault="00D351AD" w:rsidP="00DD0372">
      <w:pPr>
        <w:pStyle w:val="SingleTxt"/>
        <w:numPr>
          <w:ilvl w:val="0"/>
          <w:numId w:val="6"/>
        </w:numPr>
        <w:tabs>
          <w:tab w:val="clear" w:pos="475"/>
          <w:tab w:val="num" w:pos="1742"/>
        </w:tabs>
        <w:ind w:left="1267"/>
        <w:rPr>
          <w:lang w:val="fr-CH"/>
        </w:rPr>
      </w:pPr>
      <w:r w:rsidRPr="00D900AD">
        <w:rPr>
          <w:lang w:val="fr-CH"/>
        </w:rPr>
        <w:t>Le Groupe de travail sur les c</w:t>
      </w:r>
      <w:r w:rsidR="0086531C" w:rsidRPr="00D900AD">
        <w:rPr>
          <w:lang w:val="fr-CH"/>
        </w:rPr>
        <w:t>iternes s’est réuni du 21 au 23 </w:t>
      </w:r>
      <w:r w:rsidRPr="00D900AD">
        <w:rPr>
          <w:lang w:val="fr-CH"/>
        </w:rPr>
        <w:t>septembre 2015 à Genève dans le cadre du mandat qui lui avait été confié par la Réunion commune RID/AD</w:t>
      </w:r>
      <w:r w:rsidR="0086531C" w:rsidRPr="00D900AD">
        <w:rPr>
          <w:lang w:val="fr-CH"/>
        </w:rPr>
        <w:t>R/ADN, sous la présidence de M. </w:t>
      </w:r>
      <w:r w:rsidRPr="00D900AD">
        <w:rPr>
          <w:lang w:val="fr-CH"/>
        </w:rPr>
        <w:t>Arne Bale (Royaume-Uni), M.</w:t>
      </w:r>
      <w:r w:rsidR="0086531C" w:rsidRPr="00D900AD">
        <w:rPr>
          <w:lang w:val="fr-CH"/>
        </w:rPr>
        <w:t> </w:t>
      </w:r>
      <w:proofErr w:type="spellStart"/>
      <w:r w:rsidRPr="00D900AD">
        <w:rPr>
          <w:lang w:val="fr-CH"/>
        </w:rPr>
        <w:t>Kees</w:t>
      </w:r>
      <w:proofErr w:type="spellEnd"/>
      <w:r w:rsidRPr="00D900AD">
        <w:rPr>
          <w:lang w:val="fr-CH"/>
        </w:rPr>
        <w:t xml:space="preserve"> de Putter (Pays-Bas) assurant le secrétariat. Les documents pertinents ont été soumis à la session plénière et transmis au Groupe de travail pour examen.</w:t>
      </w:r>
    </w:p>
    <w:p w:rsidR="00D351AD" w:rsidRPr="00D900AD" w:rsidRDefault="00D351AD" w:rsidP="00DD0372">
      <w:pPr>
        <w:pStyle w:val="SingleTxt"/>
        <w:numPr>
          <w:ilvl w:val="0"/>
          <w:numId w:val="6"/>
        </w:numPr>
        <w:tabs>
          <w:tab w:val="clear" w:pos="475"/>
          <w:tab w:val="num" w:pos="1742"/>
        </w:tabs>
        <w:ind w:left="1267"/>
        <w:rPr>
          <w:lang w:val="fr-CH"/>
        </w:rPr>
      </w:pPr>
      <w:r w:rsidRPr="00D900AD">
        <w:rPr>
          <w:lang w:val="fr-CH"/>
        </w:rPr>
        <w:t>Le Groupe de travail sur les citernes, composé de 24 experts de 12 pays et de cinq organisations non gouvernementales, a examiné les documents officiels et informels suivants</w:t>
      </w:r>
      <w:r w:rsidR="00D900AD">
        <w:rPr>
          <w:lang w:val="fr-CH"/>
        </w:rPr>
        <w:t> :</w:t>
      </w:r>
    </w:p>
    <w:p w:rsidR="0086531C" w:rsidRPr="00D900AD" w:rsidRDefault="00D351AD" w:rsidP="0086531C">
      <w:pPr>
        <w:pStyle w:val="SingleTxt"/>
        <w:tabs>
          <w:tab w:val="clear" w:pos="3182"/>
          <w:tab w:val="left" w:pos="3330"/>
        </w:tabs>
        <w:ind w:left="3240" w:hanging="1980"/>
        <w:jc w:val="left"/>
        <w:rPr>
          <w:lang w:val="fr-CH"/>
        </w:rPr>
      </w:pPr>
      <w:r w:rsidRPr="00D900AD">
        <w:rPr>
          <w:i/>
          <w:lang w:val="fr-CH"/>
        </w:rPr>
        <w:t>Documents</w:t>
      </w:r>
      <w:r w:rsidR="0086531C" w:rsidRPr="00D900AD">
        <w:rPr>
          <w:i/>
          <w:lang w:val="fr-CH"/>
        </w:rPr>
        <w:t> </w:t>
      </w:r>
      <w:r w:rsidR="0086531C" w:rsidRPr="00D900AD">
        <w:rPr>
          <w:lang w:val="fr-CH"/>
        </w:rPr>
        <w:t>:</w:t>
      </w:r>
      <w:r w:rsidR="0086531C" w:rsidRPr="00D900AD">
        <w:rPr>
          <w:lang w:val="fr-CH"/>
        </w:rPr>
        <w:tab/>
      </w:r>
      <w:r w:rsidR="0086531C" w:rsidRPr="00D900AD">
        <w:rPr>
          <w:lang w:val="fr-CH"/>
        </w:rPr>
        <w:tab/>
      </w:r>
      <w:r w:rsidRPr="00D900AD">
        <w:rPr>
          <w:lang w:val="fr-CH"/>
        </w:rPr>
        <w:t>ECE/TRANS/WP.15/AC.1/2015/15 (Royaume-Uni)</w:t>
      </w:r>
      <w:r w:rsidR="0086531C" w:rsidRPr="00D900AD">
        <w:rPr>
          <w:lang w:val="fr-CH"/>
        </w:rPr>
        <w:t>;</w:t>
      </w:r>
      <w:r w:rsidRPr="00D900AD">
        <w:rPr>
          <w:lang w:val="fr-CH"/>
        </w:rPr>
        <w:t xml:space="preserve"> </w:t>
      </w:r>
      <w:r w:rsidR="0086531C" w:rsidRPr="00D900AD">
        <w:rPr>
          <w:lang w:val="fr-CH"/>
        </w:rPr>
        <w:br/>
      </w:r>
      <w:r w:rsidRPr="00D900AD">
        <w:rPr>
          <w:lang w:val="fr-CH"/>
        </w:rPr>
        <w:t>ECE/TRANS/WP.15/AC.1/2015/23/Add.1 (secrétariat)</w:t>
      </w:r>
      <w:r w:rsidR="0086531C" w:rsidRPr="00D900AD">
        <w:rPr>
          <w:lang w:val="fr-CH"/>
        </w:rPr>
        <w:t xml:space="preserve">; </w:t>
      </w:r>
    </w:p>
    <w:p w:rsidR="00D351AD" w:rsidRPr="00D900AD" w:rsidRDefault="0086531C" w:rsidP="004F145D">
      <w:pPr>
        <w:pStyle w:val="SingleTxt"/>
        <w:tabs>
          <w:tab w:val="clear" w:pos="3182"/>
          <w:tab w:val="left" w:pos="3312"/>
        </w:tabs>
        <w:ind w:left="3357" w:hanging="2079"/>
        <w:jc w:val="left"/>
        <w:rPr>
          <w:lang w:val="fr-CH"/>
        </w:rPr>
      </w:pPr>
      <w:r w:rsidRPr="00D900AD">
        <w:rPr>
          <w:lang w:val="fr-CH"/>
        </w:rPr>
        <w:lastRenderedPageBreak/>
        <w:tab/>
      </w:r>
      <w:r w:rsidRPr="00D900AD">
        <w:rPr>
          <w:lang w:val="fr-CH"/>
        </w:rPr>
        <w:tab/>
      </w:r>
      <w:r w:rsidRPr="00D900AD">
        <w:rPr>
          <w:lang w:val="fr-CH"/>
        </w:rPr>
        <w:tab/>
      </w:r>
      <w:r w:rsidRPr="00D900AD">
        <w:rPr>
          <w:lang w:val="fr-CH"/>
        </w:rPr>
        <w:tab/>
      </w:r>
      <w:r w:rsidR="00D351AD" w:rsidRPr="00D900AD">
        <w:rPr>
          <w:lang w:val="fr-CH"/>
        </w:rPr>
        <w:t xml:space="preserve">ECE/TRANS/WP.15/AC.1/2015/27 (Union internationale </w:t>
      </w:r>
      <w:r w:rsidR="00D351AD" w:rsidRPr="00D900AD">
        <w:rPr>
          <w:lang w:val="fr-CH"/>
        </w:rPr>
        <w:br/>
        <w:t>des chemins de fer, UIC)</w:t>
      </w:r>
      <w:r w:rsidRPr="00D900AD">
        <w:rPr>
          <w:lang w:val="fr-CH"/>
        </w:rPr>
        <w:t xml:space="preserve">; </w:t>
      </w:r>
      <w:r w:rsidRPr="00D900AD">
        <w:rPr>
          <w:lang w:val="fr-CH"/>
        </w:rPr>
        <w:br/>
      </w:r>
      <w:r w:rsidR="00D351AD" w:rsidRPr="00D900AD">
        <w:rPr>
          <w:spacing w:val="3"/>
          <w:lang w:val="fr-CH"/>
        </w:rPr>
        <w:t>ECE/TRANS/W</w:t>
      </w:r>
      <w:r w:rsidRPr="00D900AD">
        <w:rPr>
          <w:spacing w:val="3"/>
          <w:lang w:val="fr-CH"/>
        </w:rPr>
        <w:t xml:space="preserve">P.15/AC.1/2015/30 (Organisation </w:t>
      </w:r>
      <w:r w:rsidR="00D351AD" w:rsidRPr="00D900AD">
        <w:rPr>
          <w:spacing w:val="3"/>
          <w:lang w:val="fr-CH"/>
        </w:rPr>
        <w:t xml:space="preserve">intergouvernementale pour les transports internationaux </w:t>
      </w:r>
      <w:r w:rsidRPr="00D900AD">
        <w:rPr>
          <w:spacing w:val="3"/>
          <w:lang w:val="fr-CH"/>
        </w:rPr>
        <w:br/>
      </w:r>
      <w:r w:rsidR="00D351AD" w:rsidRPr="00D900AD">
        <w:rPr>
          <w:spacing w:val="3"/>
          <w:lang w:val="fr-CH"/>
        </w:rPr>
        <w:t>ferroviaires, OTIF)</w:t>
      </w:r>
      <w:r w:rsidRPr="00D900AD">
        <w:rPr>
          <w:lang w:val="fr-CH"/>
        </w:rPr>
        <w:t xml:space="preserve">; </w:t>
      </w:r>
      <w:r w:rsidRPr="00D900AD">
        <w:rPr>
          <w:lang w:val="fr-CH"/>
        </w:rPr>
        <w:br/>
      </w:r>
      <w:r w:rsidR="00D351AD" w:rsidRPr="00D900AD">
        <w:rPr>
          <w:lang w:val="fr-CH"/>
        </w:rPr>
        <w:t>ECE/TRANS/WP.15/AC.1/2015/31 (Lettonie)</w:t>
      </w:r>
      <w:r w:rsidRPr="00D900AD">
        <w:rPr>
          <w:lang w:val="fr-CH"/>
        </w:rPr>
        <w:t xml:space="preserve">; </w:t>
      </w:r>
      <w:r w:rsidRPr="00D900AD">
        <w:rPr>
          <w:lang w:val="fr-CH"/>
        </w:rPr>
        <w:br/>
      </w:r>
      <w:r w:rsidR="00D351AD" w:rsidRPr="00D900AD">
        <w:rPr>
          <w:lang w:val="fr-CH"/>
        </w:rPr>
        <w:t>ECE/TRANS/WP.15/AC.1/2015/39 (Norvège)</w:t>
      </w:r>
      <w:r w:rsidRPr="00D900AD">
        <w:rPr>
          <w:lang w:val="fr-CH"/>
        </w:rPr>
        <w:t xml:space="preserve">; </w:t>
      </w:r>
      <w:r w:rsidRPr="00D900AD">
        <w:rPr>
          <w:lang w:val="fr-CH"/>
        </w:rPr>
        <w:br/>
      </w:r>
      <w:r w:rsidR="00D351AD" w:rsidRPr="00D900AD">
        <w:rPr>
          <w:lang w:val="fr-CH"/>
        </w:rPr>
        <w:t>ECE/TRANS/WP.15/AC.1/2015/51 (Pays-Bas)</w:t>
      </w:r>
      <w:r w:rsidRPr="00D900AD">
        <w:rPr>
          <w:lang w:val="fr-CH"/>
        </w:rPr>
        <w:t>;</w:t>
      </w:r>
      <w:r w:rsidRPr="00D900AD">
        <w:rPr>
          <w:lang w:val="fr-CH"/>
        </w:rPr>
        <w:br/>
      </w:r>
      <w:r w:rsidR="00D351AD" w:rsidRPr="00D900AD">
        <w:rPr>
          <w:lang w:val="fr-CH"/>
        </w:rPr>
        <w:t>ECE/TRANS/WP.15/AC.1/2015/54 (Pays-Bas)</w:t>
      </w:r>
      <w:r w:rsidRPr="00D900AD">
        <w:rPr>
          <w:lang w:val="fr-CH"/>
        </w:rPr>
        <w:t>.</w:t>
      </w:r>
    </w:p>
    <w:p w:rsidR="00D351AD" w:rsidRPr="00D900AD" w:rsidRDefault="00D351AD" w:rsidP="004F145D">
      <w:pPr>
        <w:pStyle w:val="SingleTxt"/>
        <w:tabs>
          <w:tab w:val="clear" w:pos="3182"/>
          <w:tab w:val="clear" w:pos="3658"/>
          <w:tab w:val="left" w:pos="3240"/>
          <w:tab w:val="left" w:pos="3384"/>
        </w:tabs>
        <w:ind w:left="3384" w:hanging="2088"/>
        <w:jc w:val="left"/>
        <w:rPr>
          <w:lang w:val="fr-CH"/>
        </w:rPr>
      </w:pPr>
      <w:r w:rsidRPr="00D900AD">
        <w:rPr>
          <w:i/>
          <w:lang w:val="fr-CH"/>
        </w:rPr>
        <w:t>Documents informels</w:t>
      </w:r>
      <w:r w:rsidR="0086531C" w:rsidRPr="00D900AD">
        <w:rPr>
          <w:i/>
          <w:lang w:val="fr-CH"/>
        </w:rPr>
        <w:t> </w:t>
      </w:r>
      <w:r w:rsidR="0086531C" w:rsidRPr="00D900AD">
        <w:rPr>
          <w:lang w:val="fr-CH"/>
        </w:rPr>
        <w:t>:</w:t>
      </w:r>
      <w:r w:rsidR="004F145D" w:rsidRPr="00D900AD">
        <w:rPr>
          <w:lang w:val="fr-CH"/>
        </w:rPr>
        <w:tab/>
      </w:r>
      <w:r w:rsidRPr="00D900AD">
        <w:rPr>
          <w:lang w:val="fr-CH"/>
        </w:rPr>
        <w:t>INF.4 (Comité européen de normalisation, CEN)</w:t>
      </w:r>
      <w:r w:rsidR="004F145D" w:rsidRPr="00D900AD">
        <w:rPr>
          <w:lang w:val="fr-CH"/>
        </w:rPr>
        <w:t>;</w:t>
      </w:r>
      <w:r w:rsidR="004F145D" w:rsidRPr="00D900AD">
        <w:rPr>
          <w:lang w:val="fr-CH"/>
        </w:rPr>
        <w:br/>
      </w:r>
      <w:r w:rsidRPr="00D900AD">
        <w:rPr>
          <w:lang w:val="fr-CH"/>
        </w:rPr>
        <w:t>INF. 10 (Royaume-Uni)</w:t>
      </w:r>
      <w:r w:rsidR="004F145D" w:rsidRPr="00D900AD">
        <w:rPr>
          <w:lang w:val="fr-CH"/>
        </w:rPr>
        <w:t xml:space="preserve">; </w:t>
      </w:r>
      <w:r w:rsidR="004F145D" w:rsidRPr="00D900AD">
        <w:rPr>
          <w:lang w:val="fr-CH"/>
        </w:rPr>
        <w:br/>
      </w:r>
      <w:r w:rsidRPr="00D900AD">
        <w:rPr>
          <w:lang w:val="fr-CH"/>
        </w:rPr>
        <w:t>INF. 17 (Allemagne)</w:t>
      </w:r>
      <w:r w:rsidR="004F145D" w:rsidRPr="00D900AD">
        <w:rPr>
          <w:lang w:val="fr-CH"/>
        </w:rPr>
        <w:t xml:space="preserve">; </w:t>
      </w:r>
      <w:r w:rsidR="004F145D" w:rsidRPr="00D900AD">
        <w:rPr>
          <w:lang w:val="fr-CH"/>
        </w:rPr>
        <w:br/>
      </w:r>
      <w:r w:rsidRPr="00D900AD">
        <w:rPr>
          <w:lang w:val="fr-CH"/>
        </w:rPr>
        <w:t>INF. 22 (Suisse)</w:t>
      </w:r>
      <w:r w:rsidR="004F145D" w:rsidRPr="00D900AD">
        <w:rPr>
          <w:lang w:val="fr-CH"/>
        </w:rPr>
        <w:t xml:space="preserve">; </w:t>
      </w:r>
      <w:r w:rsidR="004F145D" w:rsidRPr="00D900AD">
        <w:rPr>
          <w:lang w:val="fr-CH"/>
        </w:rPr>
        <w:br/>
      </w:r>
      <w:r w:rsidRPr="00D900AD">
        <w:rPr>
          <w:lang w:val="fr-CH"/>
        </w:rPr>
        <w:t>INF. 23 (France)</w:t>
      </w:r>
      <w:r w:rsidR="004F145D" w:rsidRPr="00D900AD">
        <w:rPr>
          <w:lang w:val="fr-CH"/>
        </w:rPr>
        <w:t xml:space="preserve">; </w:t>
      </w:r>
      <w:r w:rsidR="004F145D" w:rsidRPr="00D900AD">
        <w:rPr>
          <w:lang w:val="fr-CH"/>
        </w:rPr>
        <w:br/>
      </w:r>
      <w:r w:rsidRPr="00D900AD">
        <w:rPr>
          <w:lang w:val="fr-CH"/>
        </w:rPr>
        <w:t>INF. 24 (CEN)</w:t>
      </w:r>
      <w:r w:rsidR="004F145D" w:rsidRPr="00D900AD">
        <w:rPr>
          <w:lang w:val="fr-CH"/>
        </w:rPr>
        <w:t xml:space="preserve">; </w:t>
      </w:r>
      <w:r w:rsidR="004F145D" w:rsidRPr="00D900AD">
        <w:rPr>
          <w:lang w:val="fr-CH"/>
        </w:rPr>
        <w:br/>
      </w:r>
      <w:r w:rsidRPr="00D900AD">
        <w:rPr>
          <w:lang w:val="fr-CH"/>
        </w:rPr>
        <w:t>INF. 28 (Belgique)</w:t>
      </w:r>
      <w:r w:rsidR="004F145D" w:rsidRPr="00D900AD">
        <w:rPr>
          <w:lang w:val="fr-CH"/>
        </w:rPr>
        <w:t xml:space="preserve">; </w:t>
      </w:r>
      <w:r w:rsidR="004F145D" w:rsidRPr="00D900AD">
        <w:rPr>
          <w:lang w:val="fr-CH"/>
        </w:rPr>
        <w:br/>
      </w:r>
      <w:r w:rsidRPr="00D900AD">
        <w:rPr>
          <w:lang w:val="fr-CH"/>
        </w:rPr>
        <w:t>INF. 29 (Royaume-Uni)</w:t>
      </w:r>
      <w:r w:rsidR="004F145D" w:rsidRPr="00D900AD">
        <w:rPr>
          <w:lang w:val="fr-CH"/>
        </w:rPr>
        <w:t>.</w:t>
      </w:r>
    </w:p>
    <w:p w:rsidR="004F145D" w:rsidRPr="00D900AD" w:rsidRDefault="004F145D" w:rsidP="004F145D">
      <w:pPr>
        <w:pStyle w:val="SingleTxt"/>
        <w:spacing w:after="0" w:line="120" w:lineRule="exact"/>
        <w:rPr>
          <w:b/>
          <w:sz w:val="10"/>
          <w:lang w:val="fr-CH"/>
        </w:rPr>
      </w:pPr>
    </w:p>
    <w:p w:rsidR="00D351AD" w:rsidRPr="00D900AD" w:rsidRDefault="004F145D" w:rsidP="004F1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1 </w:t>
      </w:r>
      <w:r w:rsidRPr="00D900AD">
        <w:rPr>
          <w:lang w:val="fr-CH"/>
        </w:rPr>
        <w:br/>
      </w:r>
      <w:r w:rsidR="00D351AD" w:rsidRPr="00D900AD">
        <w:rPr>
          <w:lang w:val="fr-CH"/>
        </w:rPr>
        <w:t xml:space="preserve">ECE/TRANS/WP.15/AC.1/2015/15 (Royaume-Uni) </w:t>
      </w:r>
      <w:r w:rsidRPr="00D900AD">
        <w:rPr>
          <w:lang w:val="fr-CH"/>
        </w:rPr>
        <w:t xml:space="preserve">– Citernes et normes : </w:t>
      </w:r>
      <w:r w:rsidRPr="00D900AD">
        <w:rPr>
          <w:lang w:val="fr-CH"/>
        </w:rPr>
        <w:br/>
      </w:r>
      <w:r w:rsidR="00D351AD" w:rsidRPr="00D900AD">
        <w:rPr>
          <w:lang w:val="fr-CH"/>
        </w:rPr>
        <w:t xml:space="preserve">norme EN 12972:2014 Citernes destinées au transport des matières dangereuses. Épreuve, contrôle et marquage des citernes métalliques + INF 36 </w:t>
      </w:r>
      <w:r w:rsidRPr="00D900AD">
        <w:rPr>
          <w:lang w:val="fr-CH"/>
        </w:rPr>
        <w:br/>
        <w:t>(session de mars 2015)</w:t>
      </w:r>
    </w:p>
    <w:p w:rsidR="004F145D" w:rsidRPr="00D900AD" w:rsidRDefault="004F145D" w:rsidP="004F145D">
      <w:pPr>
        <w:pStyle w:val="SingleTxt"/>
        <w:spacing w:after="0" w:line="120" w:lineRule="exact"/>
        <w:rPr>
          <w:sz w:val="10"/>
          <w:lang w:val="fr-CH"/>
        </w:rPr>
      </w:pPr>
    </w:p>
    <w:p w:rsidR="00D351AD" w:rsidRPr="00D900AD" w:rsidRDefault="00D351AD" w:rsidP="004F145D">
      <w:pPr>
        <w:pStyle w:val="SingleTxt"/>
        <w:numPr>
          <w:ilvl w:val="0"/>
          <w:numId w:val="6"/>
        </w:numPr>
        <w:tabs>
          <w:tab w:val="clear" w:pos="475"/>
          <w:tab w:val="num" w:pos="1742"/>
        </w:tabs>
        <w:ind w:left="1267"/>
        <w:rPr>
          <w:lang w:val="fr-CH"/>
        </w:rPr>
      </w:pPr>
      <w:r w:rsidRPr="00D900AD">
        <w:rPr>
          <w:lang w:val="fr-CH"/>
        </w:rPr>
        <w:t>Il a été rappelé qu’un consultant du CEN assisterait à la prochaine session de la Réunion conjointe et que le document susvisé serait examiné à la session de printemps de 2016 de la Réunion conjointe par le Groupe de travail sur les normes. Il a été noté que les remarques formulées dans ces documents étaient actuellement débattues par le groupe de travail compétent du CEN.</w:t>
      </w:r>
    </w:p>
    <w:p w:rsidR="004F145D" w:rsidRPr="00D900AD" w:rsidRDefault="004F145D" w:rsidP="004F1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351AD" w:rsidRPr="00D900AD" w:rsidRDefault="004F145D" w:rsidP="004F14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2 </w:t>
      </w:r>
      <w:r w:rsidRPr="00D900AD">
        <w:rPr>
          <w:lang w:val="fr-CH"/>
        </w:rPr>
        <w:br/>
      </w:r>
      <w:r w:rsidR="00D351AD" w:rsidRPr="00D900AD">
        <w:rPr>
          <w:lang w:val="fr-CH"/>
        </w:rPr>
        <w:t>ECE</w:t>
      </w:r>
      <w:r w:rsidR="00D900AD">
        <w:rPr>
          <w:lang w:val="fr-CH"/>
        </w:rPr>
        <w:t>/TRANS/WP.15/AC.1/2015/23/Add.1</w:t>
      </w:r>
      <w:r w:rsidR="00D351AD" w:rsidRPr="00D900AD">
        <w:rPr>
          <w:lang w:val="fr-CH"/>
        </w:rPr>
        <w:t xml:space="preserve"> (secrétariat) </w:t>
      </w:r>
      <w:r w:rsidRPr="00D900AD">
        <w:rPr>
          <w:lang w:val="fr-CH"/>
        </w:rPr>
        <w:t xml:space="preserve">– Rapport du </w:t>
      </w:r>
      <w:r w:rsidR="00D351AD" w:rsidRPr="00D900AD">
        <w:rPr>
          <w:lang w:val="fr-CH"/>
        </w:rPr>
        <w:t xml:space="preserve">Groupe </w:t>
      </w:r>
      <w:r w:rsidRPr="00D900AD">
        <w:rPr>
          <w:lang w:val="fr-CH"/>
        </w:rPr>
        <w:br/>
      </w:r>
      <w:r w:rsidR="00D351AD" w:rsidRPr="00D900AD">
        <w:rPr>
          <w:lang w:val="fr-CH"/>
        </w:rPr>
        <w:t xml:space="preserve">de travail spécial de l’harmonisation des Règlements RID/ADR/ADN </w:t>
      </w:r>
      <w:r w:rsidRPr="00D900AD">
        <w:rPr>
          <w:lang w:val="fr-CH"/>
        </w:rPr>
        <w:br/>
      </w:r>
      <w:r w:rsidR="00D351AD" w:rsidRPr="00D900AD">
        <w:rPr>
          <w:lang w:val="fr-CH"/>
        </w:rPr>
        <w:t xml:space="preserve">avec les Recommandations de l’ONU relatives au transport </w:t>
      </w:r>
      <w:r w:rsidRPr="00D900AD">
        <w:rPr>
          <w:lang w:val="fr-CH"/>
        </w:rPr>
        <w:br/>
      </w:r>
      <w:r w:rsidR="00D351AD" w:rsidRPr="00D900AD">
        <w:rPr>
          <w:lang w:val="fr-CH"/>
        </w:rPr>
        <w:t>des marchandises dangereuses</w:t>
      </w:r>
    </w:p>
    <w:p w:rsidR="004F145D" w:rsidRPr="00D900AD" w:rsidRDefault="004F145D" w:rsidP="004F145D">
      <w:pPr>
        <w:pStyle w:val="SingleTxt"/>
        <w:spacing w:after="0" w:line="120" w:lineRule="exact"/>
        <w:rPr>
          <w:sz w:val="10"/>
          <w:lang w:val="fr-CH"/>
        </w:rPr>
      </w:pPr>
    </w:p>
    <w:p w:rsidR="00D351AD" w:rsidRPr="00D900AD" w:rsidRDefault="00D351AD" w:rsidP="004F145D">
      <w:pPr>
        <w:pStyle w:val="SingleTxt"/>
        <w:numPr>
          <w:ilvl w:val="0"/>
          <w:numId w:val="6"/>
        </w:numPr>
        <w:tabs>
          <w:tab w:val="clear" w:pos="475"/>
          <w:tab w:val="num" w:pos="1742"/>
        </w:tabs>
        <w:ind w:left="1267"/>
        <w:rPr>
          <w:lang w:val="fr-CH"/>
        </w:rPr>
      </w:pPr>
      <w:r w:rsidRPr="00D900AD">
        <w:rPr>
          <w:lang w:val="fr-CH"/>
        </w:rPr>
        <w:t>Le Groupe de travail a été prié de vérifier les codes citernes et dispositions spéciales affectés aux quatre nouvelles rubriques du tableau A du chapitre 3.2. Il a été confirmé que les codes citernes et la disposition spéciale TU30 concernant le taux de remplissage affectés à ces nouvelles rubr</w:t>
      </w:r>
      <w:r w:rsidR="004F145D" w:rsidRPr="00D900AD">
        <w:rPr>
          <w:lang w:val="fr-CH"/>
        </w:rPr>
        <w:t>iques, à savoir les numéros ONU </w:t>
      </w:r>
      <w:r w:rsidRPr="00D900AD">
        <w:rPr>
          <w:lang w:val="fr-CH"/>
        </w:rPr>
        <w:t>3531, 3532, 3533 et 3534, étaient appropriés. Cependant, en comparaison des dispositions spéciales applicables au transport en citernes mobiles, il a été estimé qu’il manquait une disposition spéciale équivalant à TP6. La disposition spéciale TE11 a été jugée appropriée et mise entre crochets en vue d’une vérification à la session suivante.</w:t>
      </w:r>
    </w:p>
    <w:p w:rsidR="004F145D" w:rsidRPr="00D900AD" w:rsidRDefault="004F145D" w:rsidP="004F145D">
      <w:pPr>
        <w:pStyle w:val="SingleTxt"/>
        <w:spacing w:after="0" w:line="120" w:lineRule="exact"/>
        <w:rPr>
          <w:b/>
          <w:sz w:val="10"/>
          <w:lang w:val="fr-CH"/>
        </w:rPr>
      </w:pPr>
    </w:p>
    <w:p w:rsidR="004F145D" w:rsidRPr="00D900AD" w:rsidRDefault="004F145D" w:rsidP="004F145D">
      <w:pPr>
        <w:pStyle w:val="SingleTxt"/>
        <w:spacing w:after="0" w:line="120" w:lineRule="exact"/>
        <w:rPr>
          <w:b/>
          <w:sz w:val="10"/>
          <w:lang w:val="fr-CH"/>
        </w:rPr>
      </w:pPr>
    </w:p>
    <w:p w:rsidR="00D351AD" w:rsidRPr="00D900AD" w:rsidRDefault="00D351AD" w:rsidP="004F1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Proposition 1</w:t>
      </w:r>
    </w:p>
    <w:p w:rsidR="004F145D" w:rsidRPr="00D900AD" w:rsidRDefault="004F145D" w:rsidP="004F145D">
      <w:pPr>
        <w:pStyle w:val="SingleTxt"/>
        <w:spacing w:after="0" w:line="120" w:lineRule="exact"/>
        <w:rPr>
          <w:sz w:val="10"/>
          <w:lang w:val="fr-CH"/>
        </w:rPr>
      </w:pPr>
    </w:p>
    <w:p w:rsidR="004F145D" w:rsidRPr="00D900AD" w:rsidRDefault="004F145D" w:rsidP="004F145D">
      <w:pPr>
        <w:pStyle w:val="SingleTxt"/>
        <w:spacing w:after="0" w:line="120" w:lineRule="exact"/>
        <w:rPr>
          <w:sz w:val="10"/>
          <w:lang w:val="fr-CH"/>
        </w:rPr>
      </w:pPr>
    </w:p>
    <w:p w:rsidR="00D351AD" w:rsidRPr="00D900AD" w:rsidRDefault="004F145D" w:rsidP="00D351AD">
      <w:pPr>
        <w:pStyle w:val="SingleTxt"/>
        <w:rPr>
          <w:lang w:val="fr-CH"/>
        </w:rPr>
      </w:pPr>
      <w:r w:rsidRPr="00D900AD">
        <w:rPr>
          <w:lang w:val="fr-CH"/>
        </w:rPr>
        <w:tab/>
      </w:r>
      <w:r w:rsidR="00D351AD" w:rsidRPr="00D900AD">
        <w:rPr>
          <w:lang w:val="fr-CH"/>
        </w:rPr>
        <w:t>Ajouter la disposition spéciale TE11 entre crochets dans la colonne 13 du tableau</w:t>
      </w:r>
      <w:r w:rsidR="00797BF9" w:rsidRPr="00D900AD">
        <w:rPr>
          <w:lang w:val="fr-CH"/>
        </w:rPr>
        <w:t> </w:t>
      </w:r>
      <w:r w:rsidR="00D351AD" w:rsidRPr="00D900AD">
        <w:rPr>
          <w:lang w:val="fr-CH"/>
        </w:rPr>
        <w:t>A du chapitr</w:t>
      </w:r>
      <w:r w:rsidRPr="00D900AD">
        <w:rPr>
          <w:lang w:val="fr-CH"/>
        </w:rPr>
        <w:t>e 3.2 aux rubriques des numéros </w:t>
      </w:r>
      <w:r w:rsidR="00D351AD" w:rsidRPr="00D900AD">
        <w:rPr>
          <w:lang w:val="fr-CH"/>
        </w:rPr>
        <w:t xml:space="preserve">ONU 3531, 3532, 3533 et 3534. </w:t>
      </w:r>
    </w:p>
    <w:p w:rsidR="00D351AD" w:rsidRPr="00D900AD" w:rsidRDefault="00D351AD" w:rsidP="004F145D">
      <w:pPr>
        <w:pStyle w:val="SingleTxt"/>
        <w:numPr>
          <w:ilvl w:val="0"/>
          <w:numId w:val="6"/>
        </w:numPr>
        <w:tabs>
          <w:tab w:val="clear" w:pos="475"/>
          <w:tab w:val="num" w:pos="1742"/>
        </w:tabs>
        <w:ind w:left="1267"/>
        <w:rPr>
          <w:lang w:val="fr-CH"/>
        </w:rPr>
      </w:pPr>
      <w:r w:rsidRPr="00D900AD">
        <w:rPr>
          <w:lang w:val="fr-CH"/>
        </w:rPr>
        <w:t>À titre d’amendement corrélatif, parce qu’un (+) a été placé après le code citerne, il convient d’ajouter les nouvelles rubriques au paragraphe 4.3.4.1.3 b).</w:t>
      </w:r>
    </w:p>
    <w:p w:rsidR="004F145D" w:rsidRPr="00D900AD" w:rsidRDefault="004F145D" w:rsidP="004F145D">
      <w:pPr>
        <w:pStyle w:val="SingleTxt"/>
        <w:spacing w:after="0" w:line="120" w:lineRule="exact"/>
        <w:rPr>
          <w:b/>
          <w:sz w:val="10"/>
          <w:lang w:val="fr-CH"/>
        </w:rPr>
      </w:pPr>
    </w:p>
    <w:p w:rsidR="004F145D" w:rsidRPr="00D900AD" w:rsidRDefault="004F145D" w:rsidP="004F145D">
      <w:pPr>
        <w:pStyle w:val="SingleTxt"/>
        <w:spacing w:after="0" w:line="120" w:lineRule="exact"/>
        <w:rPr>
          <w:b/>
          <w:sz w:val="10"/>
          <w:lang w:val="fr-CH"/>
        </w:rPr>
      </w:pPr>
    </w:p>
    <w:p w:rsidR="00D351AD" w:rsidRPr="00D900AD" w:rsidRDefault="00D351AD" w:rsidP="004F1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lastRenderedPageBreak/>
        <w:tab/>
      </w:r>
      <w:r w:rsidRPr="00D900AD">
        <w:rPr>
          <w:lang w:val="fr-CH"/>
        </w:rPr>
        <w:tab/>
      </w:r>
      <w:r w:rsidR="00D900AD">
        <w:rPr>
          <w:lang w:val="fr-CH"/>
        </w:rPr>
        <w:t>Proposition </w:t>
      </w:r>
      <w:r w:rsidRPr="00D900AD">
        <w:rPr>
          <w:lang w:val="fr-CH"/>
        </w:rPr>
        <w:t>2</w:t>
      </w:r>
    </w:p>
    <w:p w:rsidR="004F145D" w:rsidRPr="00D900AD" w:rsidRDefault="004F145D" w:rsidP="004F145D">
      <w:pPr>
        <w:pStyle w:val="SingleTxt"/>
        <w:keepNext/>
        <w:spacing w:after="0" w:line="120" w:lineRule="exact"/>
        <w:rPr>
          <w:sz w:val="10"/>
          <w:lang w:val="fr-CH"/>
        </w:rPr>
      </w:pPr>
    </w:p>
    <w:p w:rsidR="004F145D" w:rsidRPr="00D900AD" w:rsidRDefault="004F145D" w:rsidP="004F145D">
      <w:pPr>
        <w:pStyle w:val="SingleTxt"/>
        <w:keepNext/>
        <w:spacing w:after="0" w:line="120" w:lineRule="exact"/>
        <w:rPr>
          <w:sz w:val="10"/>
          <w:lang w:val="fr-CH"/>
        </w:rPr>
      </w:pPr>
    </w:p>
    <w:p w:rsidR="00D351AD" w:rsidRPr="00D900AD" w:rsidRDefault="00D351AD" w:rsidP="00D351AD">
      <w:pPr>
        <w:pStyle w:val="SingleTxt"/>
        <w:rPr>
          <w:lang w:val="fr-CH"/>
        </w:rPr>
      </w:pPr>
      <w:r w:rsidRPr="00D900AD">
        <w:rPr>
          <w:lang w:val="fr-CH"/>
        </w:rPr>
        <w:t xml:space="preserve">Paragraphe 4.3.4.1.3 b), </w:t>
      </w:r>
      <w:proofErr w:type="gramStart"/>
      <w:r w:rsidRPr="00D900AD">
        <w:rPr>
          <w:lang w:val="fr-CH"/>
        </w:rPr>
        <w:t>modifier</w:t>
      </w:r>
      <w:proofErr w:type="gramEnd"/>
      <w:r w:rsidRPr="00D900AD">
        <w:rPr>
          <w:lang w:val="fr-CH"/>
        </w:rPr>
        <w:t xml:space="preserve"> comme suit (nouveau texte </w:t>
      </w:r>
      <w:r w:rsidRPr="00D900AD">
        <w:rPr>
          <w:b/>
          <w:lang w:val="fr-CH"/>
        </w:rPr>
        <w:t>en caractères gras</w:t>
      </w:r>
      <w:r w:rsidR="004A52A3" w:rsidRPr="00D900AD">
        <w:rPr>
          <w:lang w:val="fr-CH"/>
        </w:rPr>
        <w:t>) :</w:t>
      </w:r>
    </w:p>
    <w:p w:rsidR="004A52A3" w:rsidRPr="00D900AD" w:rsidRDefault="004A52A3" w:rsidP="004A52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351AD" w:rsidRPr="00D900AD" w:rsidRDefault="004A52A3" w:rsidP="004A52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b)</w:t>
      </w:r>
      <w:r w:rsidRPr="00D900AD">
        <w:rPr>
          <w:lang w:val="fr-CH"/>
        </w:rPr>
        <w:tab/>
        <w:t>Classe 4.1</w:t>
      </w:r>
    </w:p>
    <w:p w:rsidR="004A52A3" w:rsidRPr="00D900AD" w:rsidRDefault="004A52A3" w:rsidP="004A52A3">
      <w:pPr>
        <w:pStyle w:val="SingleTxt"/>
        <w:spacing w:after="0" w:line="120" w:lineRule="exact"/>
        <w:rPr>
          <w:sz w:val="10"/>
          <w:lang w:val="fr-CH"/>
        </w:rPr>
      </w:pPr>
    </w:p>
    <w:p w:rsidR="00D351AD" w:rsidRPr="00D900AD" w:rsidRDefault="004A52A3" w:rsidP="00D351AD">
      <w:pPr>
        <w:pStyle w:val="SingleTxt"/>
        <w:rPr>
          <w:i/>
          <w:lang w:val="fr-CH"/>
        </w:rPr>
      </w:pPr>
      <w:r w:rsidRPr="00D900AD">
        <w:rPr>
          <w:i/>
          <w:lang w:val="fr-CH"/>
        </w:rPr>
        <w:tab/>
      </w:r>
      <w:r w:rsidR="00D351AD" w:rsidRPr="00D900AD">
        <w:rPr>
          <w:i/>
          <w:lang w:val="fr-CH"/>
        </w:rPr>
        <w:t>N</w:t>
      </w:r>
      <w:r w:rsidR="00D351AD" w:rsidRPr="00D900AD">
        <w:rPr>
          <w:i/>
          <w:vertAlign w:val="superscript"/>
          <w:lang w:val="fr-CH"/>
        </w:rPr>
        <w:t>o</w:t>
      </w:r>
      <w:r w:rsidR="00D351AD" w:rsidRPr="00D900AD">
        <w:rPr>
          <w:i/>
          <w:lang w:val="fr-CH"/>
        </w:rPr>
        <w:t> ONU 2448 soufre, fondu</w:t>
      </w:r>
      <w:r w:rsidR="00D900AD">
        <w:rPr>
          <w:i/>
          <w:lang w:val="fr-CH"/>
        </w:rPr>
        <w:t> :</w:t>
      </w:r>
      <w:r w:rsidR="00D351AD" w:rsidRPr="00D900AD">
        <w:rPr>
          <w:i/>
          <w:lang w:val="fr-CH"/>
        </w:rPr>
        <w:t xml:space="preserve"> code LGBV;</w:t>
      </w:r>
    </w:p>
    <w:p w:rsidR="00D351AD" w:rsidRPr="00D900AD" w:rsidRDefault="003E0861" w:rsidP="003E0861">
      <w:pPr>
        <w:pStyle w:val="SingleTxt"/>
        <w:ind w:left="1742" w:hanging="475"/>
        <w:rPr>
          <w:b/>
          <w:i/>
          <w:lang w:val="fr-CH"/>
        </w:rPr>
      </w:pPr>
      <w:r w:rsidRPr="00D900AD">
        <w:rPr>
          <w:b/>
          <w:i/>
          <w:lang w:val="fr-CH"/>
        </w:rPr>
        <w:tab/>
      </w:r>
      <w:r w:rsidR="00D351AD" w:rsidRPr="00D900AD">
        <w:rPr>
          <w:b/>
          <w:i/>
          <w:lang w:val="fr-CH"/>
        </w:rPr>
        <w:t>N</w:t>
      </w:r>
      <w:r w:rsidR="00D351AD" w:rsidRPr="00D900AD">
        <w:rPr>
          <w:b/>
          <w:i/>
          <w:vertAlign w:val="superscript"/>
          <w:lang w:val="fr-CH"/>
        </w:rPr>
        <w:t>o</w:t>
      </w:r>
      <w:r w:rsidR="00D351AD" w:rsidRPr="00D900AD">
        <w:rPr>
          <w:b/>
          <w:i/>
          <w:lang w:val="fr-CH"/>
        </w:rPr>
        <w:t xml:space="preserve"> ONU 3531 </w:t>
      </w:r>
      <w:r w:rsidR="00B02038" w:rsidRPr="00D900AD">
        <w:rPr>
          <w:b/>
          <w:i/>
          <w:lang w:val="fr-CH"/>
        </w:rPr>
        <w:t>matière solide qui polymérise, stabilisée,</w:t>
      </w:r>
      <w:r w:rsidR="00D351AD" w:rsidRPr="00D900AD">
        <w:rPr>
          <w:b/>
          <w:i/>
          <w:lang w:val="fr-CH"/>
        </w:rPr>
        <w:t xml:space="preserve"> N.S.A.; </w:t>
      </w:r>
    </w:p>
    <w:p w:rsidR="00D351AD" w:rsidRPr="00D900AD" w:rsidRDefault="00B02038" w:rsidP="003E0861">
      <w:pPr>
        <w:pStyle w:val="SingleTxt"/>
        <w:ind w:left="1742" w:hanging="475"/>
        <w:rPr>
          <w:b/>
          <w:i/>
          <w:lang w:val="fr-CH"/>
        </w:rPr>
      </w:pPr>
      <w:r w:rsidRPr="00D900AD">
        <w:rPr>
          <w:b/>
          <w:i/>
          <w:lang w:val="fr-CH"/>
        </w:rPr>
        <w:tab/>
      </w:r>
      <w:r w:rsidR="00D351AD" w:rsidRPr="00D900AD">
        <w:rPr>
          <w:b/>
          <w:i/>
          <w:lang w:val="fr-CH"/>
        </w:rPr>
        <w:t>N</w:t>
      </w:r>
      <w:r w:rsidR="00D351AD" w:rsidRPr="00D900AD">
        <w:rPr>
          <w:b/>
          <w:i/>
          <w:vertAlign w:val="superscript"/>
          <w:lang w:val="fr-CH"/>
        </w:rPr>
        <w:t>o</w:t>
      </w:r>
      <w:r w:rsidR="00D351AD" w:rsidRPr="00D900AD">
        <w:rPr>
          <w:b/>
          <w:i/>
          <w:lang w:val="fr-CH"/>
        </w:rPr>
        <w:t xml:space="preserve"> ONU 3533 </w:t>
      </w:r>
      <w:r w:rsidRPr="00D900AD">
        <w:rPr>
          <w:b/>
          <w:i/>
          <w:lang w:val="fr-CH"/>
        </w:rPr>
        <w:t>matière solide qui polymérise, avec régulation de température, N.S.A. :</w:t>
      </w:r>
      <w:r w:rsidR="00D351AD" w:rsidRPr="00D900AD">
        <w:rPr>
          <w:b/>
          <w:i/>
          <w:lang w:val="fr-CH"/>
        </w:rPr>
        <w:t xml:space="preserve"> code SGAN;</w:t>
      </w:r>
    </w:p>
    <w:p w:rsidR="00D351AD" w:rsidRPr="00D900AD" w:rsidRDefault="00B02038" w:rsidP="003E0861">
      <w:pPr>
        <w:pStyle w:val="SingleTxt"/>
        <w:ind w:left="1742" w:hanging="475"/>
        <w:rPr>
          <w:b/>
          <w:i/>
          <w:lang w:val="fr-CH"/>
        </w:rPr>
      </w:pPr>
      <w:r w:rsidRPr="00D900AD">
        <w:rPr>
          <w:b/>
          <w:i/>
          <w:lang w:val="fr-CH"/>
        </w:rPr>
        <w:tab/>
      </w:r>
      <w:r w:rsidR="00D351AD" w:rsidRPr="00D900AD">
        <w:rPr>
          <w:b/>
          <w:i/>
          <w:lang w:val="fr-CH"/>
        </w:rPr>
        <w:t>N</w:t>
      </w:r>
      <w:r w:rsidR="00D351AD" w:rsidRPr="00D900AD">
        <w:rPr>
          <w:b/>
          <w:i/>
          <w:vertAlign w:val="superscript"/>
          <w:lang w:val="fr-CH"/>
        </w:rPr>
        <w:t>o</w:t>
      </w:r>
      <w:r w:rsidR="00D351AD" w:rsidRPr="00D900AD">
        <w:rPr>
          <w:b/>
          <w:i/>
          <w:lang w:val="fr-CH"/>
        </w:rPr>
        <w:t xml:space="preserve"> ONU 3532 </w:t>
      </w:r>
      <w:r w:rsidRPr="00D900AD">
        <w:rPr>
          <w:b/>
          <w:i/>
          <w:lang w:val="fr-CH"/>
        </w:rPr>
        <w:t xml:space="preserve">matière liquide qui polymérise, stabilisée, </w:t>
      </w:r>
      <w:r w:rsidR="00D351AD" w:rsidRPr="00D900AD">
        <w:rPr>
          <w:b/>
          <w:i/>
          <w:lang w:val="fr-CH"/>
        </w:rPr>
        <w:t>N.S.A.;</w:t>
      </w:r>
    </w:p>
    <w:p w:rsidR="00D351AD" w:rsidRPr="00D900AD" w:rsidRDefault="00B02038" w:rsidP="003E0861">
      <w:pPr>
        <w:pStyle w:val="SingleTxt"/>
        <w:ind w:left="1742" w:hanging="475"/>
        <w:rPr>
          <w:b/>
          <w:i/>
          <w:lang w:val="fr-CH"/>
        </w:rPr>
      </w:pPr>
      <w:r w:rsidRPr="00D900AD">
        <w:rPr>
          <w:b/>
          <w:i/>
          <w:lang w:val="fr-CH"/>
        </w:rPr>
        <w:tab/>
      </w:r>
      <w:r w:rsidR="00D351AD" w:rsidRPr="00D900AD">
        <w:rPr>
          <w:b/>
          <w:i/>
          <w:lang w:val="fr-CH"/>
        </w:rPr>
        <w:t>N</w:t>
      </w:r>
      <w:r w:rsidR="00D351AD" w:rsidRPr="00D900AD">
        <w:rPr>
          <w:b/>
          <w:i/>
          <w:vertAlign w:val="superscript"/>
          <w:lang w:val="fr-CH"/>
        </w:rPr>
        <w:t>o</w:t>
      </w:r>
      <w:r w:rsidR="00D351AD" w:rsidRPr="00D900AD">
        <w:rPr>
          <w:b/>
          <w:i/>
          <w:lang w:val="fr-CH"/>
        </w:rPr>
        <w:t xml:space="preserve"> ONU 3534 </w:t>
      </w:r>
      <w:proofErr w:type="gramStart"/>
      <w:r w:rsidRPr="00D900AD">
        <w:rPr>
          <w:b/>
          <w:i/>
          <w:lang w:val="fr-CH"/>
        </w:rPr>
        <w:t>matière</w:t>
      </w:r>
      <w:proofErr w:type="gramEnd"/>
      <w:r w:rsidRPr="00D900AD">
        <w:rPr>
          <w:b/>
          <w:i/>
          <w:lang w:val="fr-CH"/>
        </w:rPr>
        <w:t xml:space="preserve"> liquide qui polymérise, avec régulation de température, </w:t>
      </w:r>
      <w:r w:rsidR="00D900AD">
        <w:rPr>
          <w:b/>
          <w:i/>
          <w:lang w:val="fr-CH"/>
        </w:rPr>
        <w:t>N.S.A. : code</w:t>
      </w:r>
      <w:r w:rsidR="00D351AD" w:rsidRPr="00D900AD">
        <w:rPr>
          <w:b/>
          <w:i/>
          <w:lang w:val="fr-CH"/>
        </w:rPr>
        <w:t xml:space="preserve"> L4BN.</w:t>
      </w:r>
    </w:p>
    <w:p w:rsidR="00B02038" w:rsidRPr="00D900AD" w:rsidRDefault="00B02038" w:rsidP="00B02038">
      <w:pPr>
        <w:pStyle w:val="SingleTxt"/>
        <w:spacing w:after="0" w:line="120" w:lineRule="exact"/>
        <w:rPr>
          <w:b/>
          <w:sz w:val="10"/>
          <w:lang w:val="fr-CH"/>
        </w:rPr>
      </w:pPr>
    </w:p>
    <w:p w:rsidR="00D351AD" w:rsidRPr="00D900AD" w:rsidRDefault="00B02038" w:rsidP="00B02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3 </w:t>
      </w:r>
      <w:r w:rsidRPr="00D900AD">
        <w:rPr>
          <w:lang w:val="fr-CH"/>
        </w:rPr>
        <w:br/>
      </w:r>
      <w:r w:rsidR="00D351AD" w:rsidRPr="00D900AD">
        <w:rPr>
          <w:lang w:val="fr-CH"/>
        </w:rPr>
        <w:t xml:space="preserve">ECE/TRANS/WP.15/AC.1/2015/27 (UIC) – Transport de citernes, </w:t>
      </w:r>
      <w:r w:rsidRPr="00D900AD">
        <w:rPr>
          <w:lang w:val="fr-CH"/>
        </w:rPr>
        <w:br/>
      </w:r>
      <w:r w:rsidR="00D351AD" w:rsidRPr="00D900AD">
        <w:rPr>
          <w:lang w:val="fr-CH"/>
        </w:rPr>
        <w:t xml:space="preserve">wagons-batteries/véhicules-batteries et CGEM après expiration </w:t>
      </w:r>
      <w:r w:rsidRPr="00D900AD">
        <w:rPr>
          <w:lang w:val="fr-CH"/>
        </w:rPr>
        <w:br/>
      </w:r>
      <w:r w:rsidR="00D351AD" w:rsidRPr="00D900AD">
        <w:rPr>
          <w:lang w:val="fr-CH"/>
        </w:rPr>
        <w:t>des délais de contrôles périodiques intermédiaires</w:t>
      </w:r>
    </w:p>
    <w:p w:rsidR="00B02038" w:rsidRPr="00D900AD" w:rsidRDefault="00B02038" w:rsidP="00B02038">
      <w:pPr>
        <w:pStyle w:val="SingleTxt"/>
        <w:spacing w:after="0" w:line="120" w:lineRule="exact"/>
        <w:rPr>
          <w:sz w:val="10"/>
          <w:lang w:val="fr-CH"/>
        </w:rPr>
      </w:pP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Ce sujet a déjà été débattu lors de la session de mars 2015 du Groupe de travail. L’opinion alors exprimée était que les trajets RID/ADR étaient généralement plus courts que les trajets maritimes pour les citernes mobiles et que l’allongement de l’intervalle entre les contrôles ne ferait que reporter le problème à une échéance un peu plus éloignée. Certains experts étaient pour la proposition, mais la majorité d’entre eux ne l’ont pas appuyée en l’état. L’UIC a été invitée à tenir compte des débats, à se renseigner sur les procédures appliquées dans d’autres réglementations et à apporter des arguments supplémentaires en faveur de la proposition.</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Le Groupe de travail a examiné le nouveau document dans lequel figuraient principalement deux propositions. L’une concernait la possibilité de transporter la citerne à sa destination si, après le remplissage, la date d’expiration de l’inspection avait été dépassée. L’autre proposition concernait la possibilité de renvoyer une citerne chargée après la date d’expiration aux fins d’élimination ou de recyclage de son contenu.</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Dans la première proposition, il était déclaré qu’il ne s’agissait pas principalement d’un problème technique. Il était souligné que la sécurité des citernes ne suscitait pas de préoccupations immédiates pendant une période limitée après le dépassement des dates d’inspection. Le transport après la date d’expiration était autorisé pour les grands r</w:t>
      </w:r>
      <w:r w:rsidR="00B02038" w:rsidRPr="00D900AD">
        <w:rPr>
          <w:lang w:val="fr-CH"/>
        </w:rPr>
        <w:t>écipients pour vrac au chapitre </w:t>
      </w:r>
      <w:r w:rsidRPr="00D900AD">
        <w:rPr>
          <w:lang w:val="fr-CH"/>
        </w:rPr>
        <w:t>6.5 et pour l</w:t>
      </w:r>
      <w:r w:rsidR="00B02038" w:rsidRPr="00D900AD">
        <w:rPr>
          <w:lang w:val="fr-CH"/>
        </w:rPr>
        <w:t>es citernes mobiles au chapitre </w:t>
      </w:r>
      <w:r w:rsidRPr="00D900AD">
        <w:rPr>
          <w:lang w:val="fr-CH"/>
        </w:rPr>
        <w:t>6.7, et i</w:t>
      </w:r>
      <w:r w:rsidR="00B02038" w:rsidRPr="00D900AD">
        <w:rPr>
          <w:lang w:val="fr-CH"/>
        </w:rPr>
        <w:t>l existait en outre au chapitre </w:t>
      </w:r>
      <w:r w:rsidRPr="00D900AD">
        <w:rPr>
          <w:lang w:val="fr-CH"/>
        </w:rPr>
        <w:t xml:space="preserve">6.8 une disposition prévoyant un contrôle intermédiaire à effectuer jusqu’à trois mois plus tard. </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Au cours du débat, différents points de vue ont été échangés. Certains experts ont souligné que les différences entre les procédures du chapitre</w:t>
      </w:r>
      <w:r w:rsidR="00B02038" w:rsidRPr="00D900AD">
        <w:rPr>
          <w:lang w:val="fr-CH"/>
        </w:rPr>
        <w:t> </w:t>
      </w:r>
      <w:r w:rsidRPr="00D900AD">
        <w:rPr>
          <w:lang w:val="fr-CH"/>
        </w:rPr>
        <w:t>6.7 et celles du chapitre</w:t>
      </w:r>
      <w:r w:rsidR="00B02038" w:rsidRPr="00D900AD">
        <w:rPr>
          <w:lang w:val="fr-CH"/>
        </w:rPr>
        <w:t> </w:t>
      </w:r>
      <w:r w:rsidRPr="00D900AD">
        <w:rPr>
          <w:lang w:val="fr-CH"/>
        </w:rPr>
        <w:t>6.8 pourraient susciter des confusions chez les utilisateurs et les autorités de contrôle, en particulier s’agissant de conteneurs-citernes ou de citernes mobiles à double marquage et des trajets et délais plus longs prévus sur la liaison ferroviaire Asie-Europe. Il a également été signalé que les conteneurs-citernes pouvaient être remplis sur le lieu de production en vue d’un stockage intermédiaire sans que la destination finale ni la date exacte d’expédition soit connue.</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Il a été estimé que, si une proposition venait à être adoptée, celle-ci devrait être particulière à chaque mode de transport. En ce qui concerne le transport ferroviaire, un</w:t>
      </w:r>
      <w:r w:rsidR="00B02038" w:rsidRPr="00D900AD">
        <w:rPr>
          <w:lang w:val="fr-CH"/>
        </w:rPr>
        <w:t> </w:t>
      </w:r>
      <w:r w:rsidRPr="00D900AD">
        <w:rPr>
          <w:lang w:val="fr-CH"/>
        </w:rPr>
        <w:t xml:space="preserve">délai d’un mois a été débattu. Il a également été remarqué que le libellé du </w:t>
      </w:r>
      <w:r w:rsidRPr="00D900AD">
        <w:rPr>
          <w:lang w:val="fr-CH"/>
        </w:rPr>
        <w:lastRenderedPageBreak/>
        <w:t>paragraphe</w:t>
      </w:r>
      <w:r w:rsidR="00B02038" w:rsidRPr="00D900AD">
        <w:rPr>
          <w:lang w:val="fr-CH"/>
        </w:rPr>
        <w:t> </w:t>
      </w:r>
      <w:r w:rsidRPr="00D900AD">
        <w:rPr>
          <w:lang w:val="fr-CH"/>
        </w:rPr>
        <w:t>6.8.2.4.3 concernant la variation de la période d’inspection intermédiaire devait être pris en compte lors de l’examen de toute proposition à ce sujet.</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Un modèle à durée indéterminée (sans limite de temps) n’a pas trouvé d’appui important, mais à l’occasion d’un tour de table 15</w:t>
      </w:r>
      <w:r w:rsidR="00B02038" w:rsidRPr="00D900AD">
        <w:rPr>
          <w:lang w:val="fr-CH"/>
        </w:rPr>
        <w:t> </w:t>
      </w:r>
      <w:r w:rsidRPr="00D900AD">
        <w:rPr>
          <w:lang w:val="fr-CH"/>
        </w:rPr>
        <w:t xml:space="preserve">experts ont voté en faveur d’un tel principe, </w:t>
      </w:r>
      <w:r w:rsidR="00B02038" w:rsidRPr="00D900AD">
        <w:rPr>
          <w:lang w:val="fr-CH"/>
        </w:rPr>
        <w:t>deux</w:t>
      </w:r>
      <w:r w:rsidRPr="00D900AD">
        <w:rPr>
          <w:lang w:val="fr-CH"/>
        </w:rPr>
        <w:t xml:space="preserve"> se sont abstenus et </w:t>
      </w:r>
      <w:r w:rsidR="00B02038" w:rsidRPr="00D900AD">
        <w:rPr>
          <w:lang w:val="fr-CH"/>
        </w:rPr>
        <w:t>deux</w:t>
      </w:r>
      <w:r w:rsidRPr="00D900AD">
        <w:rPr>
          <w:lang w:val="fr-CH"/>
        </w:rPr>
        <w:t xml:space="preserve"> ont voté contre. L’UIC est invitée à présenter ultérieurement une proposition révisée. </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En ce qui concerne le second aspect, il a été constaté que le renvoi d’une citerne pleine aux fins d’élimination ou de recyclage de son contenu après l’expiration de la date d’inspection posait un problème. Toutefois, le groupe de travail a estimé que l’UIC devrait présenter une argumentation appropriée pour que la question soit examinée plus avant.</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 xml:space="preserve">Sur le dernier sujet lié aux modifications des paragraphes 6.7.2.19.6, 6.7.3.15.6 et 6.7.4.14.6 en leur ajoutant la formule </w:t>
      </w:r>
      <w:r w:rsidR="00B02038" w:rsidRPr="00D900AD">
        <w:rPr>
          <w:lang w:val="fr-CH"/>
        </w:rPr>
        <w:t>« </w:t>
      </w:r>
      <w:r w:rsidRPr="00D900AD">
        <w:rPr>
          <w:i/>
          <w:lang w:val="fr-CH"/>
        </w:rPr>
        <w:t>présentés au transport et acceptés par le transporteur </w:t>
      </w:r>
      <w:r w:rsidRPr="00D900AD">
        <w:rPr>
          <w:lang w:val="fr-CH"/>
        </w:rPr>
        <w:t xml:space="preserve">», aucune voix ne s’est élevée pour affirmer qu’il s’agissait d’une question intéressant la CEE. </w:t>
      </w:r>
    </w:p>
    <w:p w:rsidR="00B02038" w:rsidRPr="00D900AD" w:rsidRDefault="00B02038" w:rsidP="00B02038">
      <w:pPr>
        <w:pStyle w:val="SingleTxt"/>
        <w:spacing w:after="0" w:line="120" w:lineRule="exact"/>
        <w:rPr>
          <w:sz w:val="10"/>
          <w:lang w:val="fr-CH"/>
        </w:rPr>
      </w:pPr>
    </w:p>
    <w:p w:rsidR="00D351AD" w:rsidRPr="00D900AD" w:rsidRDefault="00B02038" w:rsidP="00B02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rPr>
      </w:pPr>
      <w:r w:rsidRPr="00D900AD">
        <w:rPr>
          <w:lang w:val="fr-CH"/>
        </w:rPr>
        <w:tab/>
      </w:r>
      <w:r w:rsidRPr="00D900AD">
        <w:rPr>
          <w:lang w:val="fr-CH"/>
        </w:rPr>
        <w:tab/>
        <w:t xml:space="preserve">Point 4 </w:t>
      </w:r>
      <w:r w:rsidRPr="00D900AD">
        <w:rPr>
          <w:lang w:val="fr-CH"/>
        </w:rPr>
        <w:br/>
      </w:r>
      <w:r w:rsidR="00D351AD" w:rsidRPr="00D900AD">
        <w:rPr>
          <w:lang w:val="fr-CH"/>
        </w:rPr>
        <w:t>ECE/TRANS/WP.15/AC.1/2015/30 (OTIF) – Dispositions transitoires</w:t>
      </w:r>
      <w:r w:rsidRPr="00D900AD">
        <w:rPr>
          <w:lang w:val="fr-CH"/>
        </w:rPr>
        <w:t xml:space="preserve"> </w:t>
      </w:r>
      <w:r w:rsidRPr="00D900AD">
        <w:rPr>
          <w:lang w:val="fr-CH"/>
        </w:rPr>
        <w:br/>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 xml:space="preserve">Le Groupe de travail a approuvé les mesures transitoires pour les citernes proposées par le secrétariat. </w:t>
      </w:r>
    </w:p>
    <w:p w:rsidR="00B02038" w:rsidRPr="00D900AD" w:rsidRDefault="00B02038" w:rsidP="00B02038">
      <w:pPr>
        <w:pStyle w:val="SingleTxt"/>
        <w:spacing w:after="0" w:line="120" w:lineRule="exact"/>
        <w:rPr>
          <w:b/>
          <w:sz w:val="10"/>
          <w:lang w:val="fr-CH"/>
        </w:rPr>
      </w:pPr>
    </w:p>
    <w:p w:rsidR="00D351AD" w:rsidRPr="00D900AD" w:rsidRDefault="00B02038" w:rsidP="00B02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Item 5 </w:t>
      </w:r>
      <w:r w:rsidRPr="00D900AD">
        <w:rPr>
          <w:lang w:val="fr-CH"/>
        </w:rPr>
        <w:br/>
      </w:r>
      <w:r w:rsidR="00D351AD" w:rsidRPr="00D900AD">
        <w:rPr>
          <w:lang w:val="fr-CH"/>
        </w:rPr>
        <w:t xml:space="preserve">ECE/TRANS/WP.15/AC.1/2015/31 (Lettonie) – Proposition d’amendements </w:t>
      </w:r>
      <w:r w:rsidRPr="00D900AD">
        <w:rPr>
          <w:lang w:val="fr-CH"/>
        </w:rPr>
        <w:br/>
      </w:r>
      <w:r w:rsidR="00D351AD" w:rsidRPr="00D900AD">
        <w:rPr>
          <w:lang w:val="fr-CH"/>
        </w:rPr>
        <w:t>à la disposition spéciale TU21 du chapitre 4.3 du RID/ADR</w:t>
      </w:r>
    </w:p>
    <w:p w:rsidR="00B02038" w:rsidRPr="00D900AD" w:rsidRDefault="00B02038" w:rsidP="00B02038">
      <w:pPr>
        <w:pStyle w:val="SingleTxt"/>
        <w:spacing w:after="0" w:line="120" w:lineRule="exact"/>
        <w:rPr>
          <w:sz w:val="10"/>
          <w:lang w:val="fr-CH"/>
        </w:rPr>
      </w:pP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Dans le document de la Lettonie, qui a été salué par le Groupe de travail, figurait une proposition visant à éclairer et développer les conclusions du débat mené sur la disposition spéciale TU21 à la session de mars 2015. L’option 2 de la proposition a été préférée.</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Plusieurs questions ont été soulevées et débattues. Une question particulière était celle de savoir si le taux de remplissage incluait l’eau. Renseignement pris auprès de l’expert de l’industrie qui avait présenté un exposé lors de la dernière réunion, il s’est avéré que le taux de remplissage incluait l’eau.</w:t>
      </w:r>
    </w:p>
    <w:p w:rsidR="00D351AD" w:rsidRPr="00D900AD" w:rsidRDefault="00D351AD" w:rsidP="00B02038">
      <w:pPr>
        <w:pStyle w:val="SingleTxt"/>
        <w:numPr>
          <w:ilvl w:val="0"/>
          <w:numId w:val="6"/>
        </w:numPr>
        <w:tabs>
          <w:tab w:val="clear" w:pos="475"/>
          <w:tab w:val="num" w:pos="1742"/>
        </w:tabs>
        <w:ind w:left="1267"/>
        <w:rPr>
          <w:lang w:val="fr-CH"/>
        </w:rPr>
      </w:pPr>
      <w:r w:rsidRPr="00D900AD">
        <w:rPr>
          <w:lang w:val="fr-CH"/>
        </w:rPr>
        <w:t>La proposition a été encore améliorée et simplifiée. En conséquence, il a été décidé de modifier également le libellé de la disposition spéciale TU16 qui avait été adoptée lors de la session de mars.</w:t>
      </w:r>
    </w:p>
    <w:p w:rsidR="00B02038" w:rsidRPr="00D900AD" w:rsidRDefault="00B02038" w:rsidP="00B02038">
      <w:pPr>
        <w:pStyle w:val="SingleTxt"/>
        <w:spacing w:after="0" w:line="120" w:lineRule="exact"/>
        <w:rPr>
          <w:b/>
          <w:sz w:val="10"/>
          <w:lang w:val="fr-CH"/>
        </w:rPr>
      </w:pPr>
    </w:p>
    <w:p w:rsidR="00B02038" w:rsidRPr="00D900AD" w:rsidRDefault="00B02038" w:rsidP="00B02038">
      <w:pPr>
        <w:pStyle w:val="SingleTxt"/>
        <w:spacing w:after="0" w:line="120" w:lineRule="exact"/>
        <w:rPr>
          <w:b/>
          <w:sz w:val="10"/>
          <w:lang w:val="fr-CH"/>
        </w:rPr>
      </w:pPr>
    </w:p>
    <w:p w:rsidR="00D351AD" w:rsidRPr="00D900AD" w:rsidRDefault="00D351AD" w:rsidP="00B020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Proposition 3</w:t>
      </w:r>
    </w:p>
    <w:p w:rsidR="00B02038" w:rsidRPr="00D900AD" w:rsidRDefault="00B02038" w:rsidP="00B02038">
      <w:pPr>
        <w:pStyle w:val="SingleTxt"/>
        <w:spacing w:after="0" w:line="120" w:lineRule="exact"/>
        <w:rPr>
          <w:sz w:val="10"/>
          <w:lang w:val="fr-CH"/>
        </w:rPr>
      </w:pPr>
    </w:p>
    <w:p w:rsidR="00B02038" w:rsidRPr="00D900AD" w:rsidRDefault="00B02038" w:rsidP="00B02038">
      <w:pPr>
        <w:pStyle w:val="SingleTxt"/>
        <w:spacing w:after="0" w:line="120" w:lineRule="exact"/>
        <w:rPr>
          <w:sz w:val="10"/>
          <w:lang w:val="fr-CH"/>
        </w:rPr>
      </w:pPr>
    </w:p>
    <w:p w:rsidR="00D351AD" w:rsidRPr="00D900AD" w:rsidRDefault="00B02038" w:rsidP="00D351AD">
      <w:pPr>
        <w:pStyle w:val="SingleTxt"/>
        <w:rPr>
          <w:lang w:val="fr-CH"/>
        </w:rPr>
      </w:pPr>
      <w:r w:rsidRPr="00D900AD">
        <w:rPr>
          <w:lang w:val="fr-CH"/>
        </w:rPr>
        <w:tab/>
      </w:r>
      <w:r w:rsidR="00D351AD" w:rsidRPr="00D900AD">
        <w:rPr>
          <w:lang w:val="fr-CH"/>
        </w:rPr>
        <w:t>Remplacer le texte de la disposit</w:t>
      </w:r>
      <w:r w:rsidRPr="00D900AD">
        <w:rPr>
          <w:lang w:val="fr-CH"/>
        </w:rPr>
        <w:t>ion spéciale TU21 de la section 4.3.5, par le libellé suivant :</w:t>
      </w:r>
    </w:p>
    <w:p w:rsidR="00D351AD" w:rsidRPr="00D900AD" w:rsidRDefault="00D351AD" w:rsidP="00B02038">
      <w:pPr>
        <w:pStyle w:val="SingleTxt"/>
        <w:ind w:left="2218" w:hanging="951"/>
        <w:rPr>
          <w:i/>
          <w:lang w:val="fr-CH"/>
        </w:rPr>
      </w:pPr>
      <w:r w:rsidRPr="00D900AD">
        <w:rPr>
          <w:b/>
          <w:i/>
          <w:lang w:val="fr-CH"/>
        </w:rPr>
        <w:t>TU21</w:t>
      </w:r>
      <w:r w:rsidR="00B02038" w:rsidRPr="00D900AD">
        <w:rPr>
          <w:i/>
          <w:lang w:val="fr-CH"/>
        </w:rPr>
        <w:tab/>
      </w:r>
      <w:r w:rsidRPr="00D900AD">
        <w:rPr>
          <w:i/>
          <w:lang w:val="fr-CH"/>
        </w:rPr>
        <w:t>La matière doit être recouverte par un agent de protection sel</w:t>
      </w:r>
      <w:r w:rsidR="00B02038" w:rsidRPr="00D900AD">
        <w:rPr>
          <w:i/>
          <w:lang w:val="fr-CH"/>
        </w:rPr>
        <w:t>on l’une des méthodes suivantes :</w:t>
      </w:r>
    </w:p>
    <w:p w:rsidR="00D351AD" w:rsidRPr="00D900AD" w:rsidRDefault="00B02038" w:rsidP="00B02038">
      <w:pPr>
        <w:pStyle w:val="SingleTxt"/>
        <w:ind w:left="2693" w:hanging="1426"/>
        <w:rPr>
          <w:i/>
          <w:lang w:val="fr-CH"/>
        </w:rPr>
      </w:pPr>
      <w:r w:rsidRPr="00D900AD">
        <w:rPr>
          <w:i/>
          <w:lang w:val="fr-CH"/>
        </w:rPr>
        <w:tab/>
      </w:r>
      <w:r w:rsidRPr="00D900AD">
        <w:rPr>
          <w:i/>
          <w:lang w:val="fr-CH"/>
        </w:rPr>
        <w:tab/>
      </w:r>
      <w:r w:rsidR="00D351AD" w:rsidRPr="00D900AD">
        <w:rPr>
          <w:i/>
          <w:lang w:val="fr-CH"/>
        </w:rPr>
        <w:t>а)</w:t>
      </w:r>
      <w:r w:rsidR="00D351AD" w:rsidRPr="00D900AD">
        <w:rPr>
          <w:i/>
          <w:lang w:val="fr-CH"/>
        </w:rPr>
        <w:tab/>
        <w:t>Par</w:t>
      </w:r>
      <w:r w:rsidRPr="00D900AD">
        <w:rPr>
          <w:i/>
          <w:lang w:val="fr-CH"/>
        </w:rPr>
        <w:t xml:space="preserve"> une couche d’eau d’au moins 12 </w:t>
      </w:r>
      <w:r w:rsidR="00D351AD" w:rsidRPr="00D900AD">
        <w:rPr>
          <w:i/>
          <w:lang w:val="fr-CH"/>
        </w:rPr>
        <w:t>cm d’épaisseur au moment du remplissage. Le taux de remplissage de la substance et de l’eau à une température de 60 °C ne doit pas dépasser 98</w:t>
      </w:r>
      <w:r w:rsidRPr="00D900AD">
        <w:rPr>
          <w:i/>
          <w:lang w:val="fr-CH"/>
        </w:rPr>
        <w:t xml:space="preserve"> </w:t>
      </w:r>
      <w:r w:rsidR="00D351AD" w:rsidRPr="00D900AD">
        <w:rPr>
          <w:i/>
          <w:lang w:val="fr-CH"/>
        </w:rPr>
        <w:t>%; ou</w:t>
      </w:r>
    </w:p>
    <w:p w:rsidR="00D351AD" w:rsidRPr="00D900AD" w:rsidRDefault="00B02038" w:rsidP="00B02038">
      <w:pPr>
        <w:pStyle w:val="SingleTxt"/>
        <w:ind w:left="2693" w:hanging="1426"/>
        <w:rPr>
          <w:i/>
          <w:lang w:val="fr-CH"/>
        </w:rPr>
      </w:pPr>
      <w:r w:rsidRPr="00D900AD">
        <w:rPr>
          <w:i/>
          <w:lang w:val="fr-CH"/>
        </w:rPr>
        <w:tab/>
      </w:r>
      <w:r w:rsidRPr="00D900AD">
        <w:rPr>
          <w:i/>
          <w:lang w:val="fr-CH"/>
        </w:rPr>
        <w:tab/>
      </w:r>
      <w:r w:rsidR="00D351AD" w:rsidRPr="00D900AD">
        <w:rPr>
          <w:i/>
          <w:lang w:val="fr-CH"/>
        </w:rPr>
        <w:t>b)</w:t>
      </w:r>
      <w:r w:rsidR="00D351AD" w:rsidRPr="00D900AD">
        <w:rPr>
          <w:i/>
          <w:lang w:val="fr-CH"/>
        </w:rPr>
        <w:tab/>
        <w:t>Par de l’azote, auquel cas le taux de remp</w:t>
      </w:r>
      <w:r w:rsidRPr="00D900AD">
        <w:rPr>
          <w:i/>
          <w:lang w:val="fr-CH"/>
        </w:rPr>
        <w:t>lissage à une température de 60 °</w:t>
      </w:r>
      <w:r w:rsidR="00D351AD" w:rsidRPr="00D900AD">
        <w:rPr>
          <w:i/>
          <w:lang w:val="fr-CH"/>
        </w:rPr>
        <w:t>C ne doit pas dépasser 96</w:t>
      </w:r>
      <w:r w:rsidRPr="00D900AD">
        <w:rPr>
          <w:i/>
          <w:lang w:val="fr-CH"/>
        </w:rPr>
        <w:t> </w:t>
      </w:r>
      <w:r w:rsidR="00D351AD" w:rsidRPr="00D900AD">
        <w:rPr>
          <w:i/>
          <w:lang w:val="fr-CH"/>
        </w:rPr>
        <w:t>%; ou</w:t>
      </w:r>
    </w:p>
    <w:p w:rsidR="00D351AD" w:rsidRPr="00D900AD" w:rsidRDefault="00B02038" w:rsidP="00B02038">
      <w:pPr>
        <w:pStyle w:val="SingleTxt"/>
        <w:ind w:left="2693" w:hanging="1426"/>
        <w:rPr>
          <w:i/>
          <w:lang w:val="fr-CH"/>
        </w:rPr>
      </w:pPr>
      <w:r w:rsidRPr="00D900AD">
        <w:rPr>
          <w:i/>
          <w:lang w:val="fr-CH"/>
        </w:rPr>
        <w:lastRenderedPageBreak/>
        <w:tab/>
      </w:r>
      <w:r w:rsidRPr="00D900AD">
        <w:rPr>
          <w:i/>
          <w:lang w:val="fr-CH"/>
        </w:rPr>
        <w:tab/>
      </w:r>
      <w:r w:rsidR="00D351AD" w:rsidRPr="00D900AD">
        <w:rPr>
          <w:i/>
          <w:lang w:val="fr-CH"/>
        </w:rPr>
        <w:t>c)</w:t>
      </w:r>
      <w:r w:rsidR="00D351AD" w:rsidRPr="00D900AD">
        <w:rPr>
          <w:i/>
          <w:lang w:val="fr-CH"/>
        </w:rPr>
        <w:tab/>
        <w:t>Par une combinaison d’eau et d’azote, auquel cas la matière doit être recouverte d’une couche d’eau et l’espace restant rempli d’azote. Le taux de remplissage de la matière et de l’eau à une température de 60 °C ne doit pas dépasser 98</w:t>
      </w:r>
      <w:r w:rsidRPr="00D900AD">
        <w:rPr>
          <w:i/>
          <w:lang w:val="fr-CH"/>
        </w:rPr>
        <w:t> </w:t>
      </w:r>
      <w:r w:rsidR="00D351AD" w:rsidRPr="00D900AD">
        <w:rPr>
          <w:i/>
          <w:lang w:val="fr-CH"/>
        </w:rPr>
        <w:t>%.</w:t>
      </w:r>
    </w:p>
    <w:p w:rsidR="00D351AD" w:rsidRPr="00D900AD" w:rsidRDefault="00B02038" w:rsidP="00B02038">
      <w:pPr>
        <w:pStyle w:val="SingleTxt"/>
        <w:ind w:left="2218" w:hanging="951"/>
        <w:rPr>
          <w:i/>
          <w:lang w:val="fr-CH"/>
        </w:rPr>
      </w:pPr>
      <w:r w:rsidRPr="00D900AD">
        <w:rPr>
          <w:i/>
          <w:lang w:val="fr-CH"/>
        </w:rPr>
        <w:tab/>
      </w:r>
      <w:r w:rsidRPr="00D900AD">
        <w:rPr>
          <w:i/>
          <w:lang w:val="fr-CH"/>
        </w:rPr>
        <w:tab/>
      </w:r>
      <w:r w:rsidR="00D351AD" w:rsidRPr="00D900AD">
        <w:rPr>
          <w:i/>
          <w:lang w:val="fr-CH"/>
        </w:rPr>
        <w:t>Si l’eau est utilisée comme agent de protection selon les méthodes a) ou c) et que de basses températures ambiantes sont à prévoir pendant le trajet, cette eau doit renfermer suffisamment d’agent antigel pour rendre impossible le gel de l’eau au cours du transport; l’agent antigel ne doit pas exercer d’action corrosive ni être susceptible de réagir avec la substance.</w:t>
      </w:r>
    </w:p>
    <w:p w:rsidR="00D351AD" w:rsidRPr="00D900AD" w:rsidRDefault="00B02038" w:rsidP="00B02038">
      <w:pPr>
        <w:pStyle w:val="SingleTxt"/>
        <w:ind w:left="2218" w:hanging="951"/>
        <w:rPr>
          <w:i/>
          <w:lang w:val="fr-CH"/>
        </w:rPr>
      </w:pPr>
      <w:r w:rsidRPr="00D900AD">
        <w:rPr>
          <w:i/>
          <w:lang w:val="fr-CH"/>
        </w:rPr>
        <w:tab/>
      </w:r>
      <w:r w:rsidRPr="00D900AD">
        <w:rPr>
          <w:i/>
          <w:lang w:val="fr-CH"/>
        </w:rPr>
        <w:tab/>
      </w:r>
      <w:r w:rsidR="00D351AD" w:rsidRPr="00D900AD">
        <w:rPr>
          <w:i/>
          <w:lang w:val="fr-CH"/>
        </w:rPr>
        <w:t xml:space="preserve">Si l’on emploie de l’azote comme agent de protection selon les méthodes b) ou c), l’espace restant dans la citerne doit être rempli d’azote de manière que la pression ne tombe jamais au-dessous de la pression atmosphérique, même après refroidissement. La citerne doit être fermée de façon qu’il ne se produise aucune fuite de gaz. </w:t>
      </w:r>
    </w:p>
    <w:p w:rsidR="00B02038" w:rsidRPr="00D900AD" w:rsidRDefault="00B02038" w:rsidP="00B02038">
      <w:pPr>
        <w:pStyle w:val="SingleTxt"/>
        <w:spacing w:after="0" w:line="120" w:lineRule="exact"/>
        <w:rPr>
          <w:b/>
          <w:sz w:val="10"/>
          <w:lang w:val="fr-CH"/>
        </w:rPr>
      </w:pPr>
    </w:p>
    <w:p w:rsidR="00B02038" w:rsidRPr="00D900AD" w:rsidRDefault="00B02038" w:rsidP="00B02038">
      <w:pPr>
        <w:pStyle w:val="SingleTxt"/>
        <w:spacing w:after="0" w:line="120" w:lineRule="exact"/>
        <w:rPr>
          <w:b/>
          <w:sz w:val="10"/>
          <w:lang w:val="fr-CH"/>
        </w:rPr>
      </w:pPr>
    </w:p>
    <w:p w:rsidR="00D351AD" w:rsidRPr="00D900AD" w:rsidRDefault="00D351AD" w:rsidP="00B020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Proposition 4</w:t>
      </w:r>
    </w:p>
    <w:p w:rsidR="00B02038" w:rsidRPr="00D900AD" w:rsidRDefault="00B02038" w:rsidP="00B02038">
      <w:pPr>
        <w:pStyle w:val="SingleTxt"/>
        <w:spacing w:after="0" w:line="120" w:lineRule="exact"/>
        <w:rPr>
          <w:sz w:val="10"/>
          <w:lang w:val="fr-CH"/>
        </w:rPr>
      </w:pPr>
    </w:p>
    <w:p w:rsidR="00B02038" w:rsidRPr="00D900AD" w:rsidRDefault="00B02038" w:rsidP="00B02038">
      <w:pPr>
        <w:pStyle w:val="SingleTxt"/>
        <w:spacing w:after="0" w:line="120" w:lineRule="exact"/>
        <w:rPr>
          <w:sz w:val="10"/>
          <w:lang w:val="fr-CH"/>
        </w:rPr>
      </w:pPr>
    </w:p>
    <w:p w:rsidR="00D351AD" w:rsidRPr="00D900AD" w:rsidRDefault="00B02038" w:rsidP="00D351AD">
      <w:pPr>
        <w:pStyle w:val="SingleTxt"/>
        <w:rPr>
          <w:lang w:val="fr-CH"/>
        </w:rPr>
      </w:pPr>
      <w:r w:rsidRPr="00D900AD">
        <w:rPr>
          <w:lang w:val="fr-CH"/>
        </w:rPr>
        <w:tab/>
      </w:r>
      <w:r w:rsidR="00D351AD" w:rsidRPr="00D900AD">
        <w:rPr>
          <w:lang w:val="fr-CH"/>
        </w:rPr>
        <w:t>Modifier la disposition spéciale TU16 de sorte qu’elle se lise comme suit</w:t>
      </w:r>
      <w:r w:rsidR="00D900AD">
        <w:rPr>
          <w:lang w:val="fr-CH"/>
        </w:rPr>
        <w:t> :</w:t>
      </w:r>
    </w:p>
    <w:p w:rsidR="00D351AD" w:rsidRPr="00D900AD" w:rsidRDefault="00D351AD" w:rsidP="00B02038">
      <w:pPr>
        <w:pStyle w:val="SingleTxt"/>
        <w:ind w:left="2218" w:hanging="951"/>
        <w:rPr>
          <w:i/>
          <w:lang w:val="fr-CH"/>
        </w:rPr>
      </w:pPr>
      <w:r w:rsidRPr="00D900AD">
        <w:rPr>
          <w:b/>
          <w:bCs/>
          <w:i/>
          <w:lang w:val="fr-CH"/>
        </w:rPr>
        <w:t>TU16</w:t>
      </w:r>
      <w:r w:rsidRPr="00D900AD">
        <w:rPr>
          <w:i/>
          <w:lang w:val="fr-CH"/>
        </w:rPr>
        <w:tab/>
        <w:t xml:space="preserve">Les citernes vides, non nettoyées, devront, au moment </w:t>
      </w:r>
      <w:r w:rsidR="00D900AD" w:rsidRPr="00D900AD">
        <w:rPr>
          <w:i/>
          <w:lang w:val="fr-CH"/>
        </w:rPr>
        <w:t>où</w:t>
      </w:r>
      <w:r w:rsidRPr="00D900AD">
        <w:rPr>
          <w:i/>
          <w:lang w:val="fr-CH"/>
        </w:rPr>
        <w:t xml:space="preserve"> elles sero</w:t>
      </w:r>
      <w:r w:rsidR="00B02038" w:rsidRPr="00D900AD">
        <w:rPr>
          <w:i/>
          <w:lang w:val="fr-CH"/>
        </w:rPr>
        <w:t>nt remises à l’expédition, soit :</w:t>
      </w:r>
    </w:p>
    <w:p w:rsidR="00D351AD" w:rsidRPr="00D900AD" w:rsidRDefault="00B02038" w:rsidP="00597212">
      <w:pPr>
        <w:pStyle w:val="Bullet2"/>
        <w:ind w:left="2217" w:hanging="130"/>
        <w:rPr>
          <w:i/>
          <w:lang w:val="fr-CH"/>
        </w:rPr>
      </w:pPr>
      <w:r w:rsidRPr="00D900AD">
        <w:rPr>
          <w:i/>
          <w:lang w:val="fr-CH"/>
        </w:rPr>
        <w:t>Ê</w:t>
      </w:r>
      <w:r w:rsidR="00D351AD" w:rsidRPr="00D900AD">
        <w:rPr>
          <w:i/>
          <w:lang w:val="fr-CH"/>
        </w:rPr>
        <w:t xml:space="preserve">tre remplies d’azote (avec ou sans eau); ou </w:t>
      </w:r>
    </w:p>
    <w:p w:rsidR="00D351AD" w:rsidRPr="00D900AD" w:rsidRDefault="00B02038" w:rsidP="00597212">
      <w:pPr>
        <w:pStyle w:val="Bullet2"/>
        <w:ind w:left="2217" w:hanging="130"/>
        <w:rPr>
          <w:i/>
          <w:lang w:val="fr-CH"/>
        </w:rPr>
      </w:pPr>
      <w:r w:rsidRPr="00D900AD">
        <w:rPr>
          <w:i/>
          <w:lang w:val="fr-CH"/>
        </w:rPr>
        <w:t>Ê</w:t>
      </w:r>
      <w:r w:rsidR="00D351AD" w:rsidRPr="00D900AD">
        <w:rPr>
          <w:i/>
          <w:lang w:val="fr-CH"/>
        </w:rPr>
        <w:t>tre remplies d’eau, à raison de 96</w:t>
      </w:r>
      <w:r w:rsidR="00597212" w:rsidRPr="00D900AD">
        <w:rPr>
          <w:i/>
          <w:lang w:val="fr-CH"/>
        </w:rPr>
        <w:t> </w:t>
      </w:r>
      <w:r w:rsidR="00D351AD" w:rsidRPr="00D900AD">
        <w:rPr>
          <w:i/>
          <w:lang w:val="fr-CH"/>
        </w:rPr>
        <w:t>% au moins et 98</w:t>
      </w:r>
      <w:r w:rsidR="00597212" w:rsidRPr="00D900AD">
        <w:rPr>
          <w:i/>
          <w:lang w:val="fr-CH"/>
        </w:rPr>
        <w:t> </w:t>
      </w:r>
      <w:r w:rsidR="00D351AD" w:rsidRPr="00D900AD">
        <w:rPr>
          <w:i/>
          <w:lang w:val="fr-CH"/>
        </w:rPr>
        <w:t xml:space="preserve">% au plus de leur </w:t>
      </w:r>
      <w:r w:rsidR="00D900AD" w:rsidRPr="00D900AD">
        <w:rPr>
          <w:i/>
          <w:lang w:val="fr-CH"/>
        </w:rPr>
        <w:t>capacité</w:t>
      </w:r>
      <w:r w:rsidR="00D351AD" w:rsidRPr="00D900AD">
        <w:rPr>
          <w:i/>
          <w:lang w:val="fr-CH"/>
        </w:rPr>
        <w:t>́; si de basses températures ambiantes sont à prévoir pendant le trajet, cette eau doit renfermer suffisamment d’agent antigel pour rendre impossible le gel de l’eau au cours du transport; l’agent antigel ne doit pas exercer d’action corrosive ni être susceptible de réagir avec la substance.</w:t>
      </w:r>
    </w:p>
    <w:p w:rsidR="009E12D9" w:rsidRPr="00D900AD" w:rsidRDefault="009E12D9" w:rsidP="009E12D9">
      <w:pPr>
        <w:pStyle w:val="SingleTxt"/>
        <w:spacing w:after="0" w:line="120" w:lineRule="exact"/>
        <w:rPr>
          <w:b/>
          <w:sz w:val="10"/>
          <w:lang w:val="fr-CH"/>
        </w:rPr>
      </w:pPr>
    </w:p>
    <w:p w:rsidR="00D351AD" w:rsidRPr="00D900AD" w:rsidRDefault="009E12D9" w:rsidP="009E1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6 </w:t>
      </w:r>
      <w:r w:rsidRPr="00D900AD">
        <w:rPr>
          <w:lang w:val="fr-CH"/>
        </w:rPr>
        <w:br/>
      </w:r>
      <w:r w:rsidR="00D351AD" w:rsidRPr="00D900AD">
        <w:rPr>
          <w:lang w:val="fr-CH"/>
        </w:rPr>
        <w:t xml:space="preserve">ECE/TRANS/WP.15/AC.1/2015/39 (Norvège) – Transport de marchandises dangereuses dans des CGEM chargés sur un véhicule équipé </w:t>
      </w:r>
      <w:r w:rsidRPr="00D900AD">
        <w:rPr>
          <w:lang w:val="fr-CH"/>
        </w:rPr>
        <w:br/>
      </w:r>
      <w:r w:rsidR="00D351AD" w:rsidRPr="00D900AD">
        <w:rPr>
          <w:lang w:val="fr-CH"/>
        </w:rPr>
        <w:t>d’un bras de levage hydraulique à crochet</w:t>
      </w:r>
    </w:p>
    <w:p w:rsidR="009E12D9" w:rsidRPr="00D900AD" w:rsidRDefault="009E12D9" w:rsidP="009E12D9">
      <w:pPr>
        <w:pStyle w:val="SingleTxt"/>
        <w:spacing w:after="0" w:line="120" w:lineRule="exact"/>
        <w:rPr>
          <w:sz w:val="10"/>
          <w:lang w:val="fr-CH"/>
        </w:rPr>
      </w:pP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Dans l’exemple de la Norvège, le conteneur à gaz à éléments multiples (CGEM) est arrimé au véhicule au moyen du bras de levage à crochet du véhicule. Plusieurs accidents se sont produits en Norvège dans le cadre de l’utilisation de ce type de système de levage à crochet pour des marchandises non dangereuses.</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Dans son document, l</w:t>
      </w:r>
      <w:r w:rsidR="009E12D9" w:rsidRPr="00D900AD">
        <w:rPr>
          <w:lang w:val="fr-CH"/>
        </w:rPr>
        <w:t>a Norvège a posé deux questions :</w:t>
      </w:r>
    </w:p>
    <w:p w:rsidR="00D351AD" w:rsidRPr="00D900AD" w:rsidRDefault="00D351AD" w:rsidP="009E12D9">
      <w:pPr>
        <w:pStyle w:val="Bullet1"/>
        <w:rPr>
          <w:lang w:val="fr-CH"/>
        </w:rPr>
      </w:pPr>
      <w:r w:rsidRPr="00D900AD">
        <w:rPr>
          <w:lang w:val="fr-CH"/>
        </w:rPr>
        <w:t>Lors du chargement d’un CGEM sur un véhicule, les dispositions du paragraphe 7.5.7.1 relatives à l’arrimage de la cargaison sont-elles les seules à s’appliquer, ou les dispositions de la section 9.7.3 de l’ADR relatives aux moyens de fixation s’appliquent-elles également?</w:t>
      </w:r>
    </w:p>
    <w:p w:rsidR="00D351AD" w:rsidRPr="00D900AD" w:rsidRDefault="00D351AD" w:rsidP="009E12D9">
      <w:pPr>
        <w:pStyle w:val="Bullet1"/>
        <w:rPr>
          <w:lang w:val="fr-CH"/>
        </w:rPr>
      </w:pPr>
      <w:r w:rsidRPr="00D900AD">
        <w:rPr>
          <w:lang w:val="fr-CH"/>
        </w:rPr>
        <w:t xml:space="preserve">Les CGEM doivent-ils se conformer à la définition du terme </w:t>
      </w:r>
      <w:r w:rsidR="009E12D9" w:rsidRPr="00D900AD">
        <w:rPr>
          <w:lang w:val="fr-CH"/>
        </w:rPr>
        <w:t>« </w:t>
      </w:r>
      <w:r w:rsidRPr="00D900AD">
        <w:rPr>
          <w:lang w:val="fr-CH"/>
        </w:rPr>
        <w:t>conteneur »?</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 xml:space="preserve">La Norvège a demandé pourquoi aucune prescription relative aux moyens de fixation des CGEM ne figure au chapitre 6.8, alors que des prescriptions relatives aux moyens de fixation des CGEM ONU figurent au chapitre 6.7 et que des prescriptions relatives </w:t>
      </w:r>
      <w:proofErr w:type="gramStart"/>
      <w:r w:rsidRPr="00D900AD">
        <w:rPr>
          <w:lang w:val="fr-CH"/>
        </w:rPr>
        <w:t>moyens</w:t>
      </w:r>
      <w:proofErr w:type="gramEnd"/>
      <w:r w:rsidRPr="00D900AD">
        <w:rPr>
          <w:lang w:val="fr-CH"/>
        </w:rPr>
        <w:t xml:space="preserve"> de fixation des conteneurs-citernes figurent à la sous-section 6.8.2.1.</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Ce problème peut être subdivisé comme suit</w:t>
      </w:r>
      <w:r w:rsidR="00D900AD">
        <w:rPr>
          <w:lang w:val="fr-CH"/>
        </w:rPr>
        <w:t> :</w:t>
      </w:r>
      <w:r w:rsidRPr="00D900AD">
        <w:rPr>
          <w:lang w:val="fr-CH"/>
        </w:rPr>
        <w:t xml:space="preserve"> prescriptions relatives aux moyens de fixation des éléments du CGEM (6.8.3.1.5), prescriptions relatives aux moyens de fixation du CGEM (6.8), prescriptions relatives aux moyens de fixation du véhicule </w:t>
      </w:r>
      <w:r w:rsidRPr="00D900AD">
        <w:rPr>
          <w:lang w:val="fr-CH"/>
        </w:rPr>
        <w:lastRenderedPageBreak/>
        <w:t>(9.7.3) et prescriptions relatives à l’arrimage du CGEM au véhicule (7.5.7.4). Certains délégués ont proposé de modifier le paragraphe 6.8.3.1.5 de manière que celui-ci comprenne également les CGEM et leurs moyens de fixation, d’autres ont émis l’opinion qu’une modification devrait être apportée au paragraphe 6.8.2.1.2.</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Les délégués ont interprété de plusieurs façons le paragraphe 9.7.3. Certains ont estimé que la première partie s’appliquait à toutes les constructions relevant du chapitre 6.8, tandis que le reste du paragraphe s’appliquerait aux véhicules-citernes, aux véhicules-batteries et aux véhicules porteurs de citernes démontables. Selon d’autres délégations, le paragraphe 6.8.2.1.16 s’appliquerait uniquement aux véhicules-citernes, aux véhicules-batteries et aux véhicules porteurs de citernes démontables.</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Le Royaume-Uni a détecté une erreur dans le texte anglais et la correction qu’il y a apportée a contribué à éclaircir l’interprétation. Cependant, la Norvège s’est penchée sur d’éventuelles autres améliorations possibles du texte.</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 xml:space="preserve">Il a été noté que dans la définition des CGEM au paragraphe 1.2.1 ne </w:t>
      </w:r>
      <w:proofErr w:type="gramStart"/>
      <w:r w:rsidRPr="00D900AD">
        <w:rPr>
          <w:lang w:val="fr-CH"/>
        </w:rPr>
        <w:t>figurait</w:t>
      </w:r>
      <w:proofErr w:type="gramEnd"/>
      <w:r w:rsidRPr="00D900AD">
        <w:rPr>
          <w:lang w:val="fr-CH"/>
        </w:rPr>
        <w:t xml:space="preserve"> pas la formule </w:t>
      </w:r>
      <w:r w:rsidR="009E12D9" w:rsidRPr="00D900AD">
        <w:rPr>
          <w:lang w:val="fr-CH"/>
        </w:rPr>
        <w:t>« </w:t>
      </w:r>
      <w:r w:rsidRPr="00D900AD">
        <w:rPr>
          <w:lang w:val="fr-CH"/>
        </w:rPr>
        <w:t>correspondant à la définition d’un conteneur ».</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La Norvège s’est portée volontaire, avec l’aide de l’Association européenne des gaz industriels, pour présenter ultérieurement une proposition visant à résoudre ces difficultés.</w:t>
      </w:r>
    </w:p>
    <w:p w:rsidR="009E12D9" w:rsidRPr="00D900AD" w:rsidRDefault="009E12D9" w:rsidP="009E12D9">
      <w:pPr>
        <w:pStyle w:val="SingleTxt"/>
        <w:spacing w:after="0" w:line="120" w:lineRule="exact"/>
        <w:rPr>
          <w:b/>
          <w:sz w:val="10"/>
          <w:lang w:val="fr-CH"/>
        </w:rPr>
      </w:pPr>
    </w:p>
    <w:p w:rsidR="009E12D9" w:rsidRPr="00D900AD" w:rsidRDefault="009E12D9" w:rsidP="009E12D9">
      <w:pPr>
        <w:pStyle w:val="SingleTxt"/>
        <w:spacing w:after="0" w:line="120" w:lineRule="exact"/>
        <w:rPr>
          <w:b/>
          <w:sz w:val="10"/>
          <w:lang w:val="fr-CH"/>
        </w:rPr>
      </w:pPr>
    </w:p>
    <w:p w:rsidR="00D351AD" w:rsidRPr="00D900AD" w:rsidRDefault="00D351AD" w:rsidP="009E12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Proposition 5</w:t>
      </w:r>
    </w:p>
    <w:p w:rsidR="009E12D9" w:rsidRPr="00D900AD" w:rsidRDefault="009E12D9" w:rsidP="009E12D9">
      <w:pPr>
        <w:pStyle w:val="SingleTxt"/>
        <w:spacing w:after="0" w:line="120" w:lineRule="exact"/>
        <w:rPr>
          <w:i/>
          <w:sz w:val="10"/>
          <w:lang w:val="fr-CH"/>
        </w:rPr>
      </w:pPr>
    </w:p>
    <w:p w:rsidR="009E12D9" w:rsidRPr="00D900AD" w:rsidRDefault="009E12D9" w:rsidP="009E12D9">
      <w:pPr>
        <w:pStyle w:val="SingleTxt"/>
        <w:spacing w:after="0" w:line="120" w:lineRule="exact"/>
        <w:rPr>
          <w:i/>
          <w:sz w:val="10"/>
          <w:lang w:val="fr-CH"/>
        </w:rPr>
      </w:pPr>
    </w:p>
    <w:p w:rsidR="00D351AD" w:rsidRPr="00D900AD" w:rsidRDefault="00D351AD" w:rsidP="00D351AD">
      <w:pPr>
        <w:pStyle w:val="SingleTxt"/>
        <w:rPr>
          <w:i/>
          <w:lang w:val="fr-CH"/>
        </w:rPr>
      </w:pPr>
      <w:r w:rsidRPr="00D900AD">
        <w:rPr>
          <w:lang w:val="fr-CH"/>
        </w:rPr>
        <w:t>[</w:t>
      </w:r>
      <w:r w:rsidRPr="00D900AD">
        <w:rPr>
          <w:i/>
          <w:lang w:val="fr-CH"/>
        </w:rPr>
        <w:t>Concerne unique</w:t>
      </w:r>
      <w:r w:rsidR="009E12D9" w:rsidRPr="00D900AD">
        <w:rPr>
          <w:i/>
          <w:lang w:val="fr-CH"/>
        </w:rPr>
        <w:t>ment la version anglaise du paragraphe</w:t>
      </w:r>
      <w:r w:rsidRPr="00D900AD">
        <w:rPr>
          <w:i/>
          <w:lang w:val="fr-CH"/>
        </w:rPr>
        <w:t xml:space="preserve"> 9.7.3 de l’ADR</w:t>
      </w:r>
      <w:r w:rsidR="009E12D9" w:rsidRPr="00D900AD">
        <w:rPr>
          <w:i/>
          <w:lang w:val="fr-CH"/>
        </w:rPr>
        <w:t>.</w:t>
      </w:r>
      <w:r w:rsidRPr="00D900AD">
        <w:rPr>
          <w:lang w:val="fr-CH"/>
        </w:rPr>
        <w:t>]</w:t>
      </w:r>
    </w:p>
    <w:p w:rsidR="00D351AD" w:rsidRPr="00D900AD" w:rsidRDefault="00D351AD" w:rsidP="009E12D9">
      <w:pPr>
        <w:pStyle w:val="SingleTxt"/>
        <w:spacing w:after="0" w:line="120" w:lineRule="exact"/>
        <w:rPr>
          <w:i/>
          <w:sz w:val="10"/>
          <w:lang w:val="fr-CH"/>
        </w:rPr>
      </w:pPr>
    </w:p>
    <w:p w:rsidR="00D351AD" w:rsidRPr="00D900AD" w:rsidRDefault="009E12D9" w:rsidP="009E1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Point 7 </w:t>
      </w:r>
      <w:r w:rsidRPr="00D900AD">
        <w:rPr>
          <w:lang w:val="fr-CH"/>
        </w:rPr>
        <w:br/>
      </w:r>
      <w:r w:rsidR="00D351AD" w:rsidRPr="00D900AD">
        <w:rPr>
          <w:lang w:val="fr-CH"/>
        </w:rPr>
        <w:t>ECE/TRANS/WP.15/AC.1/2015/51 (Pays-Bas) – Réservoirs</w:t>
      </w:r>
      <w:r w:rsidRPr="00D900AD">
        <w:rPr>
          <w:lang w:val="fr-CH"/>
        </w:rPr>
        <w:t xml:space="preserve"> avec revêtements protecteurs + </w:t>
      </w:r>
      <w:r w:rsidR="00D351AD" w:rsidRPr="00D900AD">
        <w:rPr>
          <w:lang w:val="fr-CH"/>
        </w:rPr>
        <w:t>INF.28 (Belgique)</w:t>
      </w:r>
    </w:p>
    <w:p w:rsidR="009E12D9" w:rsidRPr="00D900AD" w:rsidRDefault="009E12D9" w:rsidP="009E12D9">
      <w:pPr>
        <w:pStyle w:val="SingleTxt"/>
        <w:spacing w:after="0" w:line="120" w:lineRule="exact"/>
        <w:rPr>
          <w:sz w:val="10"/>
          <w:lang w:val="fr-CH"/>
        </w:rPr>
      </w:pP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Le représentant des Pays-Bas a estimé qu’un incident tel que celui qui a eu lieu à l’été 2013, au cours duquel le revêtement protecteur d’une citerne chargée d’acide chlorhydrique a été endommagé, ce qui a entraîné la dissolution d’une large surface du réservoir en alliage d’aluminium et provoqué une fuite importante, n’était pas acceptable. La proposition vise à harmoniser les paragraphes 4.3.2.1.5 et 6.8.2.1.9 et, en principe, à interdire l’utilisation d’un réservoir en alliage d’aluminium avec revêtement protecteur pour transporter de l’acide chlorhydrique selon les dispositions du paragraphe 4.3.2.1.5.</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Dans</w:t>
      </w:r>
      <w:r w:rsidR="009E12D9" w:rsidRPr="00D900AD">
        <w:rPr>
          <w:lang w:val="fr-CH"/>
        </w:rPr>
        <w:t xml:space="preserve"> l’introduction du document INF</w:t>
      </w:r>
      <w:r w:rsidR="009B0A60">
        <w:rPr>
          <w:lang w:val="fr-CH"/>
        </w:rPr>
        <w:t> </w:t>
      </w:r>
      <w:r w:rsidRPr="00D900AD">
        <w:rPr>
          <w:lang w:val="fr-CH"/>
        </w:rPr>
        <w:t>2</w:t>
      </w:r>
      <w:r w:rsidR="009E12D9" w:rsidRPr="00D900AD">
        <w:rPr>
          <w:lang w:val="fr-CH"/>
        </w:rPr>
        <w:t>8</w:t>
      </w:r>
      <w:r w:rsidRPr="00D900AD">
        <w:rPr>
          <w:lang w:val="fr-CH"/>
        </w:rPr>
        <w:t xml:space="preserve">, la Belgique a déclaré qu’un grand nombre de citernes à réservoir en alliage d’aluminium avec revêtement protecteur étaient en circulation. La défectuosité du revêtement protecteur qui était la cause originelle de l’accident n’avait pas été envisagée par les Pays-Bas. Les dispositions du chapitre 6.8 relatives à l’homologation et à l’inspection des revêtements protecteurs devaient être améliorées de façon à les harmoniser avec celles du chapitre 6.7. </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Plusieurs experts ont estimé que la proposition figurant dans le document ECE/TRANS/WP.15/AC.1/2015/51 limitait l’utilisation de réservoirs d’acier munis d’un revêtement protecteur et n’était donc pas acceptable. La proposition de la Belgique a été appuyée mais des réserves ont été exprimées en ce qui concernait les inspections supplémentaires. Chaque essai augmentait le risque d’endommager la paroi. Certains experts ont suggéré une interdiction pure et simple des réservoirs en alliage d’aluminium munis d’un revêtement protecteur pour certains produits particuliers, comme cela avait été proposé dans un document antérieur.</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lastRenderedPageBreak/>
        <w:t>En conclusion, le Groupe de travail a accepté l’offre de la Belgique de collaborer avec les Pays-Bas et d’autres parties intéressées en vue de trouver une solution appropriée à ce problème, qui comprendrait des prescriptions détaillées concernant l’homologation, le contrôle et l’inspection des revêtements protecteurs.</w:t>
      </w:r>
    </w:p>
    <w:p w:rsidR="009E12D9" w:rsidRPr="00D900AD" w:rsidRDefault="009E12D9" w:rsidP="009E12D9">
      <w:pPr>
        <w:pStyle w:val="SingleTxt"/>
        <w:spacing w:after="0" w:line="120" w:lineRule="exact"/>
        <w:rPr>
          <w:b/>
          <w:sz w:val="10"/>
          <w:lang w:val="fr-CH"/>
        </w:rPr>
      </w:pPr>
    </w:p>
    <w:p w:rsidR="00D351AD" w:rsidRPr="00D900AD" w:rsidRDefault="009E12D9" w:rsidP="009E12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8 </w:t>
      </w:r>
      <w:r w:rsidRPr="00D900AD">
        <w:rPr>
          <w:lang w:val="fr-CH"/>
        </w:rPr>
        <w:br/>
      </w:r>
      <w:r w:rsidR="00D351AD" w:rsidRPr="00D900AD">
        <w:rPr>
          <w:lang w:val="fr-CH"/>
        </w:rPr>
        <w:t>ECE/TRANS/WP.15/AC.1/2015/54 (Pays-Bas) – Restrictions</w:t>
      </w:r>
      <w:r w:rsidRPr="00D900AD">
        <w:rPr>
          <w:lang w:val="fr-CH"/>
        </w:rPr>
        <w:t xml:space="preserve"> à </w:t>
      </w:r>
      <w:r w:rsidR="00D351AD" w:rsidRPr="00D900AD">
        <w:rPr>
          <w:lang w:val="fr-CH"/>
        </w:rPr>
        <w:t xml:space="preserve">l’homologation </w:t>
      </w:r>
      <w:r w:rsidRPr="00D900AD">
        <w:rPr>
          <w:lang w:val="fr-CH"/>
        </w:rPr>
        <w:br/>
      </w:r>
      <w:r w:rsidR="00D351AD" w:rsidRPr="00D900AD">
        <w:rPr>
          <w:lang w:val="fr-CH"/>
        </w:rPr>
        <w:t xml:space="preserve">des citernes isolées sous vide destinées au transport de GNL en raison </w:t>
      </w:r>
      <w:r w:rsidRPr="00D900AD">
        <w:rPr>
          <w:lang w:val="fr-CH"/>
        </w:rPr>
        <w:br/>
      </w:r>
      <w:r w:rsidR="00D351AD" w:rsidRPr="00D900AD">
        <w:rPr>
          <w:lang w:val="fr-CH"/>
        </w:rPr>
        <w:t>d’une norme de référence indirecte</w:t>
      </w:r>
    </w:p>
    <w:p w:rsidR="009E12D9" w:rsidRPr="00D900AD" w:rsidRDefault="009E12D9" w:rsidP="009E12D9">
      <w:pPr>
        <w:pStyle w:val="SingleTxt"/>
        <w:spacing w:after="0" w:line="120" w:lineRule="exact"/>
        <w:rPr>
          <w:sz w:val="10"/>
          <w:lang w:val="fr-CH"/>
        </w:rPr>
      </w:pP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 xml:space="preserve">S’agissant de la construction de moyens de rétention isolés sous vide, il est fait référence dans le RID/ADR aux normes EN 1251-2:2000 et EN 13530-2. Ces deux normes renvoient à la norme EN 1252-1:1998 qui concerne spécifiquement la ténacité des matériaux dont sont constitués les réservoirs à des températures inférieures à </w:t>
      </w:r>
      <w:r w:rsidR="009E12D9" w:rsidRPr="00D900AD">
        <w:rPr>
          <w:lang w:val="fr-CH"/>
        </w:rPr>
        <w:br/>
        <w:t>-</w:t>
      </w:r>
      <w:r w:rsidRPr="00D900AD">
        <w:rPr>
          <w:lang w:val="fr-CH"/>
        </w:rPr>
        <w:t>80 °C. Le GNL n’entre cependant pas dans le champ d’application de cette norme.</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 xml:space="preserve">Il a été estimé qu’ajouter une note dans le tableau où il est fait référence à la norme de construction serait le plus approprié pour cette information. La note telle que proposée devrait être plus précise pour la référence au chapitre 6.2. </w:t>
      </w:r>
    </w:p>
    <w:p w:rsidR="00D351AD" w:rsidRPr="00D900AD" w:rsidRDefault="00D351AD" w:rsidP="009E12D9">
      <w:pPr>
        <w:pStyle w:val="SingleTxt"/>
        <w:numPr>
          <w:ilvl w:val="0"/>
          <w:numId w:val="6"/>
        </w:numPr>
        <w:tabs>
          <w:tab w:val="clear" w:pos="475"/>
          <w:tab w:val="num" w:pos="1742"/>
        </w:tabs>
        <w:ind w:left="1267"/>
        <w:rPr>
          <w:lang w:val="fr-CH"/>
        </w:rPr>
      </w:pPr>
      <w:r w:rsidRPr="00D900AD">
        <w:rPr>
          <w:lang w:val="fr-CH"/>
        </w:rPr>
        <w:t xml:space="preserve">Il a été proposé de demander au secrétariat de demander au Comité technique 268 du Comité européen de normalisation de réviser la norme. </w:t>
      </w:r>
    </w:p>
    <w:p w:rsidR="009E12D9" w:rsidRPr="00D900AD" w:rsidRDefault="009E12D9" w:rsidP="009E12D9">
      <w:pPr>
        <w:pStyle w:val="SingleTxt"/>
        <w:spacing w:after="0" w:line="120" w:lineRule="exact"/>
        <w:rPr>
          <w:b/>
          <w:sz w:val="10"/>
          <w:lang w:val="fr-CH"/>
        </w:rPr>
      </w:pPr>
    </w:p>
    <w:p w:rsidR="009E12D9" w:rsidRPr="00D900AD" w:rsidRDefault="009E12D9" w:rsidP="009E12D9">
      <w:pPr>
        <w:pStyle w:val="SingleTxt"/>
        <w:spacing w:after="0" w:line="120" w:lineRule="exact"/>
        <w:rPr>
          <w:b/>
          <w:sz w:val="10"/>
          <w:lang w:val="fr-CH"/>
        </w:rPr>
      </w:pPr>
    </w:p>
    <w:p w:rsidR="00D351AD" w:rsidRPr="00D900AD" w:rsidRDefault="00D351AD" w:rsidP="009E12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Proposition 6 </w:t>
      </w:r>
    </w:p>
    <w:p w:rsidR="009E12D9" w:rsidRPr="00D900AD" w:rsidRDefault="009E12D9" w:rsidP="009E12D9">
      <w:pPr>
        <w:pStyle w:val="SingleTxt"/>
        <w:spacing w:after="0" w:line="120" w:lineRule="exact"/>
        <w:rPr>
          <w:sz w:val="10"/>
          <w:lang w:val="fr-CH"/>
        </w:rPr>
      </w:pPr>
    </w:p>
    <w:p w:rsidR="009E12D9" w:rsidRPr="00D900AD" w:rsidRDefault="009E12D9" w:rsidP="009E12D9">
      <w:pPr>
        <w:pStyle w:val="SingleTxt"/>
        <w:spacing w:after="0" w:line="120" w:lineRule="exact"/>
        <w:rPr>
          <w:sz w:val="10"/>
          <w:lang w:val="fr-CH"/>
        </w:rPr>
      </w:pPr>
    </w:p>
    <w:p w:rsidR="00D351AD" w:rsidRPr="00D900AD" w:rsidRDefault="009E12D9" w:rsidP="00D351AD">
      <w:pPr>
        <w:pStyle w:val="SingleTxt"/>
        <w:rPr>
          <w:lang w:val="fr-CH"/>
        </w:rPr>
      </w:pPr>
      <w:r w:rsidRPr="00D900AD">
        <w:rPr>
          <w:lang w:val="fr-CH"/>
        </w:rPr>
        <w:tab/>
      </w:r>
      <w:r w:rsidR="00D351AD" w:rsidRPr="00D900AD">
        <w:rPr>
          <w:lang w:val="fr-CH"/>
        </w:rPr>
        <w:t xml:space="preserve">Ajouter une note au tableau du paragraphe 6.2.4.1 dans la référence à la norme EN 1251-2:2000 (nouveau texte </w:t>
      </w:r>
      <w:r w:rsidR="00D351AD" w:rsidRPr="00D900AD">
        <w:rPr>
          <w:b/>
          <w:i/>
          <w:lang w:val="fr-CH"/>
        </w:rPr>
        <w:t>en caractères gras italiques</w:t>
      </w:r>
      <w:r w:rsidR="00D351AD" w:rsidRPr="00D900AD">
        <w:rPr>
          <w:lang w:val="fr-CH"/>
        </w:rPr>
        <w:t>)</w:t>
      </w:r>
      <w:r w:rsidR="00E14B67" w:rsidRPr="00D900AD">
        <w:rPr>
          <w:lang w:val="fr-CH"/>
        </w:rPr>
        <w:t> :</w:t>
      </w:r>
    </w:p>
    <w:p w:rsidR="00797BF9" w:rsidRPr="00D900AD" w:rsidRDefault="00797BF9" w:rsidP="00E14B67">
      <w:pPr>
        <w:pStyle w:val="SingleTxt"/>
        <w:spacing w:after="0" w:line="120" w:lineRule="exact"/>
        <w:rPr>
          <w:sz w:val="10"/>
          <w:lang w:val="fr-CH"/>
        </w:rPr>
      </w:pPr>
    </w:p>
    <w:tbl>
      <w:tblPr>
        <w:tblW w:w="8799" w:type="dxa"/>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2"/>
        <w:gridCol w:w="2943"/>
        <w:gridCol w:w="1260"/>
        <w:gridCol w:w="1533"/>
        <w:gridCol w:w="1411"/>
      </w:tblGrid>
      <w:tr w:rsidR="00B65419" w:rsidRPr="00D900AD" w:rsidTr="005C28C6">
        <w:tc>
          <w:tcPr>
            <w:tcW w:w="1652" w:type="dxa"/>
            <w:shd w:val="clear" w:color="auto" w:fill="auto"/>
          </w:tcPr>
          <w:p w:rsidR="00B65419" w:rsidRPr="00D900AD" w:rsidRDefault="00B65419" w:rsidP="009B0A60">
            <w:pPr>
              <w:tabs>
                <w:tab w:val="left" w:pos="288"/>
                <w:tab w:val="left" w:pos="576"/>
                <w:tab w:val="left" w:pos="864"/>
                <w:tab w:val="left" w:pos="1152"/>
              </w:tabs>
              <w:spacing w:before="60" w:after="60" w:line="240" w:lineRule="auto"/>
              <w:ind w:left="101" w:right="72"/>
              <w:rPr>
                <w:lang w:val="fr-CH"/>
              </w:rPr>
            </w:pPr>
            <w:r w:rsidRPr="00D900AD">
              <w:rPr>
                <w:lang w:val="fr-CH"/>
              </w:rPr>
              <w:t>EN 1251-2:2000</w:t>
            </w:r>
          </w:p>
        </w:tc>
        <w:tc>
          <w:tcPr>
            <w:tcW w:w="2943" w:type="dxa"/>
            <w:shd w:val="clear" w:color="auto" w:fill="auto"/>
          </w:tcPr>
          <w:p w:rsidR="00B65419" w:rsidRPr="00D900AD" w:rsidRDefault="00B65419" w:rsidP="00D900AD">
            <w:pPr>
              <w:tabs>
                <w:tab w:val="left" w:pos="288"/>
                <w:tab w:val="left" w:pos="576"/>
                <w:tab w:val="left" w:pos="864"/>
                <w:tab w:val="left" w:pos="1152"/>
              </w:tabs>
              <w:spacing w:before="60" w:after="60" w:line="240" w:lineRule="auto"/>
              <w:ind w:left="101" w:right="101"/>
              <w:rPr>
                <w:lang w:val="fr-CH"/>
              </w:rPr>
            </w:pPr>
            <w:r w:rsidRPr="00D900AD">
              <w:rPr>
                <w:lang w:val="fr-CH"/>
              </w:rPr>
              <w:t>Récipients cryogéniques − Transportables, isolés sous vide, d’un volume n’excédant pas 1 000 litres − Partie 2</w:t>
            </w:r>
            <w:r w:rsidR="00D900AD">
              <w:rPr>
                <w:lang w:val="fr-CH"/>
              </w:rPr>
              <w:t> :</w:t>
            </w:r>
            <w:r w:rsidRPr="00D900AD">
              <w:rPr>
                <w:lang w:val="fr-CH"/>
              </w:rPr>
              <w:t xml:space="preserve"> Calcul, fabrication, inspection et essai</w:t>
            </w:r>
          </w:p>
        </w:tc>
        <w:tc>
          <w:tcPr>
            <w:tcW w:w="1260" w:type="dxa"/>
            <w:vMerge w:val="restart"/>
            <w:shd w:val="clear" w:color="auto" w:fill="auto"/>
            <w:vAlign w:val="center"/>
          </w:tcPr>
          <w:p w:rsidR="00B65419" w:rsidRPr="00D900AD" w:rsidRDefault="00B65419" w:rsidP="001477B1">
            <w:pPr>
              <w:tabs>
                <w:tab w:val="left" w:pos="288"/>
                <w:tab w:val="left" w:pos="576"/>
                <w:tab w:val="left" w:pos="864"/>
                <w:tab w:val="left" w:pos="1152"/>
              </w:tabs>
              <w:spacing w:before="60" w:after="60" w:line="240" w:lineRule="auto"/>
              <w:ind w:left="101" w:right="101"/>
              <w:rPr>
                <w:lang w:val="fr-CH"/>
              </w:rPr>
            </w:pPr>
            <w:r w:rsidRPr="00D900AD">
              <w:rPr>
                <w:lang w:val="fr-CH"/>
              </w:rPr>
              <w:t xml:space="preserve">6.2.3.1 </w:t>
            </w:r>
            <w:r w:rsidRPr="00D900AD">
              <w:rPr>
                <w:lang w:val="fr-CH"/>
              </w:rPr>
              <w:br/>
              <w:t>et 6.2.3.4</w:t>
            </w:r>
          </w:p>
        </w:tc>
        <w:tc>
          <w:tcPr>
            <w:tcW w:w="1533" w:type="dxa"/>
            <w:vMerge w:val="restart"/>
            <w:shd w:val="clear" w:color="auto" w:fill="auto"/>
            <w:vAlign w:val="center"/>
          </w:tcPr>
          <w:p w:rsidR="00B65419" w:rsidRPr="00D900AD" w:rsidRDefault="00B65419" w:rsidP="001477B1">
            <w:pPr>
              <w:tabs>
                <w:tab w:val="left" w:pos="288"/>
                <w:tab w:val="left" w:pos="576"/>
                <w:tab w:val="left" w:pos="864"/>
                <w:tab w:val="left" w:pos="1152"/>
              </w:tabs>
              <w:spacing w:before="60" w:after="60" w:line="240" w:lineRule="auto"/>
              <w:ind w:left="101" w:right="101"/>
              <w:jc w:val="center"/>
              <w:rPr>
                <w:lang w:val="fr-CH"/>
              </w:rPr>
            </w:pPr>
            <w:r w:rsidRPr="00D900AD">
              <w:rPr>
                <w:lang w:val="fr-CH"/>
              </w:rPr>
              <w:t>Jusqu’à nouvel ordre</w:t>
            </w:r>
          </w:p>
        </w:tc>
        <w:tc>
          <w:tcPr>
            <w:tcW w:w="1411" w:type="dxa"/>
            <w:shd w:val="clear" w:color="auto" w:fill="auto"/>
          </w:tcPr>
          <w:p w:rsidR="00B65419" w:rsidRPr="00D900AD" w:rsidRDefault="00B65419" w:rsidP="001477B1">
            <w:pPr>
              <w:tabs>
                <w:tab w:val="left" w:pos="288"/>
                <w:tab w:val="left" w:pos="576"/>
                <w:tab w:val="left" w:pos="864"/>
                <w:tab w:val="left" w:pos="1152"/>
              </w:tabs>
              <w:spacing w:before="60" w:after="60" w:line="240" w:lineRule="auto"/>
              <w:ind w:left="101" w:right="101"/>
              <w:rPr>
                <w:lang w:val="fr-CH"/>
              </w:rPr>
            </w:pPr>
          </w:p>
        </w:tc>
      </w:tr>
      <w:tr w:rsidR="00B65419" w:rsidRPr="00D900AD" w:rsidTr="005C28C6">
        <w:tc>
          <w:tcPr>
            <w:tcW w:w="1652" w:type="dxa"/>
            <w:shd w:val="clear" w:color="auto" w:fill="auto"/>
          </w:tcPr>
          <w:p w:rsidR="00B65419" w:rsidRPr="00D900AD" w:rsidRDefault="00B65419" w:rsidP="001477B1">
            <w:pPr>
              <w:tabs>
                <w:tab w:val="left" w:pos="288"/>
                <w:tab w:val="left" w:pos="576"/>
                <w:tab w:val="left" w:pos="864"/>
                <w:tab w:val="left" w:pos="1152"/>
              </w:tabs>
              <w:spacing w:before="60" w:after="60" w:line="240" w:lineRule="auto"/>
              <w:ind w:left="101" w:right="101"/>
              <w:rPr>
                <w:lang w:val="fr-CH"/>
              </w:rPr>
            </w:pPr>
          </w:p>
        </w:tc>
        <w:tc>
          <w:tcPr>
            <w:tcW w:w="2943" w:type="dxa"/>
            <w:shd w:val="clear" w:color="auto" w:fill="auto"/>
          </w:tcPr>
          <w:p w:rsidR="00B65419" w:rsidRPr="00D900AD" w:rsidRDefault="00B65419" w:rsidP="001477B1">
            <w:pPr>
              <w:tabs>
                <w:tab w:val="left" w:pos="288"/>
                <w:tab w:val="left" w:pos="576"/>
                <w:tab w:val="left" w:pos="864"/>
                <w:tab w:val="left" w:pos="1152"/>
              </w:tabs>
              <w:spacing w:before="60" w:after="60" w:line="240" w:lineRule="auto"/>
              <w:ind w:left="101" w:right="101"/>
              <w:rPr>
                <w:b/>
                <w:i/>
                <w:lang w:val="fr-CH"/>
              </w:rPr>
            </w:pPr>
            <w:r w:rsidRPr="00D900AD">
              <w:rPr>
                <w:b/>
                <w:i/>
                <w:lang w:val="fr-CH"/>
              </w:rPr>
              <w:t xml:space="preserve">Note : La norme </w:t>
            </w:r>
            <w:r w:rsidR="005C28C6">
              <w:rPr>
                <w:b/>
                <w:i/>
                <w:lang w:val="fr-CH"/>
              </w:rPr>
              <w:br/>
            </w:r>
            <w:r w:rsidRPr="00D900AD">
              <w:rPr>
                <w:b/>
                <w:i/>
                <w:lang w:val="fr-CH"/>
              </w:rPr>
              <w:t xml:space="preserve">EN 1252-1:1998 à laquelle </w:t>
            </w:r>
            <w:r w:rsidR="005C28C6">
              <w:rPr>
                <w:b/>
                <w:i/>
                <w:lang w:val="fr-CH"/>
              </w:rPr>
              <w:br/>
            </w:r>
            <w:r w:rsidRPr="00D900AD">
              <w:rPr>
                <w:b/>
                <w:i/>
                <w:lang w:val="fr-CH"/>
              </w:rPr>
              <w:t xml:space="preserve">il est fait référence dans la présente norme est également applicable aux récipients cryogéniques fermés pour </w:t>
            </w:r>
            <w:r w:rsidR="005C28C6">
              <w:rPr>
                <w:b/>
                <w:i/>
                <w:lang w:val="fr-CH"/>
              </w:rPr>
              <w:br/>
            </w:r>
            <w:r w:rsidRPr="00D900AD">
              <w:rPr>
                <w:b/>
                <w:i/>
                <w:lang w:val="fr-CH"/>
              </w:rPr>
              <w:t>le transport du numéro ONU 1972 (GNL).</w:t>
            </w:r>
          </w:p>
        </w:tc>
        <w:tc>
          <w:tcPr>
            <w:tcW w:w="1260" w:type="dxa"/>
            <w:vMerge/>
            <w:shd w:val="clear" w:color="auto" w:fill="auto"/>
          </w:tcPr>
          <w:p w:rsidR="00B65419" w:rsidRPr="00D900AD" w:rsidRDefault="00B65419" w:rsidP="001477B1">
            <w:pPr>
              <w:tabs>
                <w:tab w:val="left" w:pos="288"/>
                <w:tab w:val="left" w:pos="576"/>
                <w:tab w:val="left" w:pos="864"/>
                <w:tab w:val="left" w:pos="1152"/>
              </w:tabs>
              <w:spacing w:before="60" w:after="60" w:line="240" w:lineRule="auto"/>
              <w:ind w:left="101" w:right="101"/>
              <w:rPr>
                <w:lang w:val="fr-CH"/>
              </w:rPr>
            </w:pPr>
          </w:p>
        </w:tc>
        <w:tc>
          <w:tcPr>
            <w:tcW w:w="1533" w:type="dxa"/>
            <w:vMerge/>
            <w:shd w:val="clear" w:color="auto" w:fill="auto"/>
          </w:tcPr>
          <w:p w:rsidR="00B65419" w:rsidRPr="00D900AD" w:rsidRDefault="00B65419" w:rsidP="001477B1">
            <w:pPr>
              <w:tabs>
                <w:tab w:val="left" w:pos="288"/>
                <w:tab w:val="left" w:pos="576"/>
                <w:tab w:val="left" w:pos="864"/>
                <w:tab w:val="left" w:pos="1152"/>
              </w:tabs>
              <w:spacing w:before="60" w:after="60" w:line="240" w:lineRule="auto"/>
              <w:ind w:left="101" w:right="101"/>
              <w:rPr>
                <w:lang w:val="fr-CH"/>
              </w:rPr>
            </w:pPr>
          </w:p>
        </w:tc>
        <w:tc>
          <w:tcPr>
            <w:tcW w:w="1411" w:type="dxa"/>
            <w:shd w:val="clear" w:color="auto" w:fill="auto"/>
          </w:tcPr>
          <w:p w:rsidR="00B65419" w:rsidRPr="00D900AD" w:rsidRDefault="00B65419" w:rsidP="001477B1">
            <w:pPr>
              <w:tabs>
                <w:tab w:val="left" w:pos="288"/>
                <w:tab w:val="left" w:pos="576"/>
                <w:tab w:val="left" w:pos="864"/>
                <w:tab w:val="left" w:pos="1152"/>
              </w:tabs>
              <w:spacing w:before="60" w:after="60" w:line="240" w:lineRule="auto"/>
              <w:ind w:left="101" w:right="101"/>
              <w:rPr>
                <w:lang w:val="fr-CH"/>
              </w:rPr>
            </w:pPr>
          </w:p>
        </w:tc>
      </w:tr>
    </w:tbl>
    <w:p w:rsidR="00B65419" w:rsidRPr="00D900AD" w:rsidRDefault="00B65419" w:rsidP="00E14B67">
      <w:pPr>
        <w:pStyle w:val="SingleTxt"/>
        <w:spacing w:after="0" w:line="120" w:lineRule="exact"/>
        <w:rPr>
          <w:sz w:val="10"/>
          <w:lang w:val="fr-CH"/>
        </w:rPr>
      </w:pPr>
    </w:p>
    <w:p w:rsidR="00E14B67" w:rsidRPr="00D900AD" w:rsidRDefault="00E14B67" w:rsidP="00E14B67">
      <w:pPr>
        <w:pStyle w:val="SingleTxt"/>
        <w:spacing w:after="0" w:line="120" w:lineRule="exact"/>
        <w:rPr>
          <w:sz w:val="10"/>
          <w:lang w:val="fr-CH"/>
        </w:rPr>
      </w:pPr>
    </w:p>
    <w:p w:rsidR="00E14B67" w:rsidRPr="00D900AD" w:rsidRDefault="00E14B67" w:rsidP="00E14B67">
      <w:pPr>
        <w:pStyle w:val="SingleTxt"/>
        <w:spacing w:after="0" w:line="120" w:lineRule="exact"/>
        <w:rPr>
          <w:sz w:val="10"/>
          <w:lang w:val="fr-CH"/>
        </w:rPr>
      </w:pPr>
    </w:p>
    <w:p w:rsidR="00D351AD" w:rsidRPr="00D900AD" w:rsidRDefault="00D351AD" w:rsidP="00E14B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Proposition 7</w:t>
      </w:r>
    </w:p>
    <w:p w:rsidR="00E14B67" w:rsidRPr="00D900AD" w:rsidRDefault="00E14B67" w:rsidP="00E14B67">
      <w:pPr>
        <w:pStyle w:val="SingleTxt"/>
        <w:spacing w:after="0" w:line="120" w:lineRule="exact"/>
        <w:rPr>
          <w:sz w:val="10"/>
          <w:lang w:val="fr-CH"/>
        </w:rPr>
      </w:pPr>
    </w:p>
    <w:p w:rsidR="00E14B67" w:rsidRPr="00D900AD" w:rsidRDefault="00E14B67" w:rsidP="00E14B67">
      <w:pPr>
        <w:pStyle w:val="SingleTxt"/>
        <w:spacing w:after="0" w:line="120" w:lineRule="exact"/>
        <w:rPr>
          <w:sz w:val="10"/>
          <w:lang w:val="fr-CH"/>
        </w:rPr>
      </w:pPr>
    </w:p>
    <w:p w:rsidR="00D351AD" w:rsidRPr="00D900AD" w:rsidRDefault="00E14B67" w:rsidP="00D351AD">
      <w:pPr>
        <w:pStyle w:val="SingleTxt"/>
        <w:rPr>
          <w:lang w:val="fr-CH"/>
        </w:rPr>
      </w:pPr>
      <w:r w:rsidRPr="00D900AD">
        <w:rPr>
          <w:lang w:val="fr-CH"/>
        </w:rPr>
        <w:tab/>
      </w:r>
      <w:r w:rsidR="00D351AD" w:rsidRPr="00D900AD">
        <w:rPr>
          <w:lang w:val="fr-CH"/>
        </w:rPr>
        <w:t xml:space="preserve">Ajouter une note au tableau du paragraphe 6.8.2.6.1 dans la référence à la norme EN 13530-2:2002 + A1:2004 (nouveau texte </w:t>
      </w:r>
      <w:r w:rsidR="00D351AD" w:rsidRPr="00D900AD">
        <w:rPr>
          <w:b/>
          <w:i/>
          <w:lang w:val="fr-CH"/>
        </w:rPr>
        <w:t>en caractères gras italiques</w:t>
      </w:r>
      <w:r w:rsidR="00D351AD" w:rsidRPr="00D900AD">
        <w:rPr>
          <w:lang w:val="fr-CH"/>
        </w:rPr>
        <w:t>)</w:t>
      </w:r>
      <w:r w:rsidRPr="00D900AD">
        <w:rPr>
          <w:lang w:val="fr-CH"/>
        </w:rPr>
        <w:t> :</w:t>
      </w:r>
    </w:p>
    <w:p w:rsidR="00E14B67" w:rsidRPr="00D900AD" w:rsidRDefault="00E14B67" w:rsidP="00E14B67">
      <w:pPr>
        <w:pStyle w:val="SingleTxt"/>
        <w:spacing w:after="0" w:line="120" w:lineRule="exact"/>
        <w:rPr>
          <w:sz w:val="10"/>
          <w:lang w:val="fr-CH"/>
        </w:rPr>
      </w:pPr>
    </w:p>
    <w:tbl>
      <w:tblPr>
        <w:tblW w:w="8799" w:type="dxa"/>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7"/>
        <w:gridCol w:w="2838"/>
        <w:gridCol w:w="1260"/>
        <w:gridCol w:w="1533"/>
        <w:gridCol w:w="1411"/>
      </w:tblGrid>
      <w:tr w:rsidR="001477B1" w:rsidRPr="00D900AD" w:rsidTr="005C28C6">
        <w:trPr>
          <w:trHeight w:val="1430"/>
        </w:trPr>
        <w:tc>
          <w:tcPr>
            <w:tcW w:w="1757" w:type="dxa"/>
            <w:tcBorders>
              <w:top w:val="single" w:sz="4" w:space="0" w:color="auto"/>
              <w:bottom w:val="single" w:sz="4" w:space="0" w:color="auto"/>
            </w:tcBorders>
            <w:shd w:val="clear" w:color="auto" w:fill="auto"/>
          </w:tcPr>
          <w:p w:rsidR="001477B1" w:rsidRPr="00D900AD" w:rsidRDefault="001477B1" w:rsidP="001477B1">
            <w:pPr>
              <w:tabs>
                <w:tab w:val="left" w:pos="288"/>
                <w:tab w:val="left" w:pos="576"/>
                <w:tab w:val="left" w:pos="864"/>
                <w:tab w:val="left" w:pos="1152"/>
              </w:tabs>
              <w:spacing w:before="60" w:after="60" w:line="240" w:lineRule="auto"/>
              <w:ind w:left="101" w:right="101"/>
              <w:rPr>
                <w:lang w:val="fr-CH"/>
              </w:rPr>
            </w:pPr>
            <w:r w:rsidRPr="00D900AD">
              <w:rPr>
                <w:lang w:val="fr-CH"/>
              </w:rPr>
              <w:t>EN 13530-2:2002</w:t>
            </w:r>
          </w:p>
        </w:tc>
        <w:tc>
          <w:tcPr>
            <w:tcW w:w="2838" w:type="dxa"/>
            <w:tcBorders>
              <w:top w:val="single" w:sz="4" w:space="0" w:color="auto"/>
              <w:bottom w:val="single" w:sz="4" w:space="0" w:color="auto"/>
            </w:tcBorders>
            <w:shd w:val="clear" w:color="auto" w:fill="auto"/>
          </w:tcPr>
          <w:p w:rsidR="001477B1" w:rsidRPr="00D900AD" w:rsidRDefault="001477B1" w:rsidP="00D900AD">
            <w:pPr>
              <w:tabs>
                <w:tab w:val="left" w:pos="288"/>
                <w:tab w:val="left" w:pos="576"/>
                <w:tab w:val="left" w:pos="864"/>
                <w:tab w:val="left" w:pos="1152"/>
              </w:tabs>
              <w:spacing w:before="60" w:after="60" w:line="240" w:lineRule="auto"/>
              <w:ind w:left="101" w:right="101"/>
              <w:rPr>
                <w:lang w:val="fr-CH"/>
              </w:rPr>
            </w:pPr>
            <w:r w:rsidRPr="00D900AD">
              <w:rPr>
                <w:lang w:val="fr-CH"/>
              </w:rPr>
              <w:t>Récipients cryogéniques − grands récipients transportables isolés sous vide − Partie 2</w:t>
            </w:r>
            <w:r w:rsidR="00D900AD">
              <w:rPr>
                <w:lang w:val="fr-CH"/>
              </w:rPr>
              <w:t> :</w:t>
            </w:r>
            <w:r w:rsidRPr="00D900AD">
              <w:rPr>
                <w:lang w:val="fr-CH"/>
              </w:rPr>
              <w:t xml:space="preserve"> conception, fabrication, inspection et essai</w:t>
            </w:r>
          </w:p>
        </w:tc>
        <w:tc>
          <w:tcPr>
            <w:tcW w:w="1260" w:type="dxa"/>
            <w:tcBorders>
              <w:top w:val="single" w:sz="4" w:space="0" w:color="auto"/>
              <w:bottom w:val="single" w:sz="4" w:space="0" w:color="auto"/>
            </w:tcBorders>
            <w:shd w:val="clear" w:color="auto" w:fill="auto"/>
            <w:vAlign w:val="center"/>
          </w:tcPr>
          <w:p w:rsidR="001477B1" w:rsidRPr="00D900AD" w:rsidRDefault="001477B1" w:rsidP="001477B1">
            <w:pPr>
              <w:tabs>
                <w:tab w:val="left" w:pos="288"/>
                <w:tab w:val="left" w:pos="576"/>
                <w:tab w:val="left" w:pos="864"/>
                <w:tab w:val="left" w:pos="1152"/>
              </w:tabs>
              <w:spacing w:before="60" w:after="60" w:line="240" w:lineRule="auto"/>
              <w:ind w:left="101" w:right="101"/>
              <w:rPr>
                <w:lang w:val="fr-CH"/>
              </w:rPr>
            </w:pPr>
            <w:r w:rsidRPr="00D900AD">
              <w:rPr>
                <w:lang w:val="fr-CH"/>
              </w:rPr>
              <w:t>6.8.2.1 (sauf 6.8.2.1.17), 6.8.2.4, 6.8.3.1 et 6.8.3.4</w:t>
            </w:r>
          </w:p>
        </w:tc>
        <w:tc>
          <w:tcPr>
            <w:tcW w:w="1533" w:type="dxa"/>
            <w:tcBorders>
              <w:top w:val="single" w:sz="4" w:space="0" w:color="auto"/>
              <w:bottom w:val="single" w:sz="4" w:space="0" w:color="auto"/>
            </w:tcBorders>
            <w:shd w:val="clear" w:color="auto" w:fill="auto"/>
            <w:vAlign w:val="center"/>
          </w:tcPr>
          <w:p w:rsidR="001477B1" w:rsidRPr="00D900AD" w:rsidRDefault="001477B1" w:rsidP="001477B1">
            <w:pPr>
              <w:tabs>
                <w:tab w:val="left" w:pos="288"/>
                <w:tab w:val="left" w:pos="576"/>
                <w:tab w:val="left" w:pos="864"/>
                <w:tab w:val="left" w:pos="1152"/>
              </w:tabs>
              <w:spacing w:before="60" w:after="60" w:line="240" w:lineRule="auto"/>
              <w:ind w:left="101" w:right="101"/>
              <w:jc w:val="center"/>
              <w:rPr>
                <w:lang w:val="fr-CH"/>
              </w:rPr>
            </w:pPr>
            <w:r w:rsidRPr="00D900AD">
              <w:rPr>
                <w:lang w:val="fr-CH"/>
              </w:rPr>
              <w:t xml:space="preserve">Entre le </w:t>
            </w:r>
            <w:r w:rsidRPr="00D900AD">
              <w:rPr>
                <w:lang w:val="fr-CH"/>
              </w:rPr>
              <w:br/>
              <w:t>1</w:t>
            </w:r>
            <w:r w:rsidRPr="00D900AD">
              <w:rPr>
                <w:vertAlign w:val="superscript"/>
                <w:lang w:val="fr-CH"/>
              </w:rPr>
              <w:t>er</w:t>
            </w:r>
            <w:r w:rsidRPr="00D900AD">
              <w:rPr>
                <w:lang w:val="fr-CH"/>
              </w:rPr>
              <w:t xml:space="preserve"> janvier 2005 </w:t>
            </w:r>
            <w:r w:rsidRPr="00D900AD">
              <w:rPr>
                <w:lang w:val="fr-CH"/>
              </w:rPr>
              <w:br/>
              <w:t>et le 30 juin 2007</w:t>
            </w:r>
          </w:p>
        </w:tc>
        <w:tc>
          <w:tcPr>
            <w:tcW w:w="1411" w:type="dxa"/>
            <w:tcBorders>
              <w:top w:val="single" w:sz="4" w:space="0" w:color="auto"/>
              <w:bottom w:val="single" w:sz="4" w:space="0" w:color="auto"/>
            </w:tcBorders>
            <w:shd w:val="clear" w:color="auto" w:fill="auto"/>
          </w:tcPr>
          <w:p w:rsidR="001477B1" w:rsidRPr="00D900AD" w:rsidRDefault="001477B1" w:rsidP="001477B1">
            <w:pPr>
              <w:tabs>
                <w:tab w:val="left" w:pos="288"/>
                <w:tab w:val="left" w:pos="576"/>
                <w:tab w:val="left" w:pos="864"/>
                <w:tab w:val="left" w:pos="1152"/>
              </w:tabs>
              <w:spacing w:before="60" w:after="60" w:line="240" w:lineRule="auto"/>
              <w:ind w:left="101" w:right="101"/>
              <w:rPr>
                <w:lang w:val="fr-CH"/>
              </w:rPr>
            </w:pPr>
          </w:p>
        </w:tc>
      </w:tr>
      <w:tr w:rsidR="00112E2F" w:rsidRPr="00D900AD" w:rsidTr="005C28C6">
        <w:tc>
          <w:tcPr>
            <w:tcW w:w="1757" w:type="dxa"/>
            <w:tcBorders>
              <w:top w:val="single" w:sz="4" w:space="0" w:color="auto"/>
            </w:tcBorders>
            <w:shd w:val="clear" w:color="auto" w:fill="auto"/>
          </w:tcPr>
          <w:p w:rsidR="00112E2F" w:rsidRPr="00D900AD" w:rsidRDefault="00112E2F" w:rsidP="00112E2F">
            <w:pPr>
              <w:keepNext/>
              <w:tabs>
                <w:tab w:val="left" w:pos="288"/>
                <w:tab w:val="left" w:pos="576"/>
                <w:tab w:val="left" w:pos="864"/>
                <w:tab w:val="left" w:pos="1152"/>
              </w:tabs>
              <w:spacing w:before="60" w:after="60" w:line="240" w:lineRule="auto"/>
              <w:ind w:left="101" w:right="101"/>
              <w:rPr>
                <w:lang w:val="fr-CH"/>
              </w:rPr>
            </w:pPr>
            <w:r w:rsidRPr="00D900AD">
              <w:rPr>
                <w:lang w:val="fr-CH"/>
              </w:rPr>
              <w:lastRenderedPageBreak/>
              <w:t>EN 13530-2:2002 + A1:2004</w:t>
            </w:r>
          </w:p>
        </w:tc>
        <w:tc>
          <w:tcPr>
            <w:tcW w:w="2838" w:type="dxa"/>
            <w:tcBorders>
              <w:top w:val="single" w:sz="4" w:space="0" w:color="auto"/>
            </w:tcBorders>
            <w:shd w:val="clear" w:color="auto" w:fill="auto"/>
          </w:tcPr>
          <w:p w:rsidR="00112E2F" w:rsidRPr="00D900AD" w:rsidRDefault="00112E2F" w:rsidP="00D900AD">
            <w:pPr>
              <w:keepNext/>
              <w:tabs>
                <w:tab w:val="left" w:pos="288"/>
                <w:tab w:val="left" w:pos="576"/>
                <w:tab w:val="left" w:pos="864"/>
                <w:tab w:val="left" w:pos="1152"/>
              </w:tabs>
              <w:spacing w:before="60" w:after="60" w:line="240" w:lineRule="auto"/>
              <w:ind w:left="101" w:right="101"/>
              <w:rPr>
                <w:b/>
                <w:i/>
                <w:lang w:val="fr-CH"/>
              </w:rPr>
            </w:pPr>
            <w:r w:rsidRPr="00D900AD">
              <w:rPr>
                <w:lang w:val="fr-CH"/>
              </w:rPr>
              <w:t>Récipients cryogéniques − grands récipients transportables isolés sous vide − Partie 2</w:t>
            </w:r>
            <w:r w:rsidR="00D900AD">
              <w:rPr>
                <w:lang w:val="fr-CH"/>
              </w:rPr>
              <w:t> :</w:t>
            </w:r>
            <w:r w:rsidRPr="00D900AD">
              <w:rPr>
                <w:lang w:val="fr-CH"/>
              </w:rPr>
              <w:t xml:space="preserve"> conception, fabrication, inspection et essai</w:t>
            </w:r>
          </w:p>
        </w:tc>
        <w:tc>
          <w:tcPr>
            <w:tcW w:w="1260" w:type="dxa"/>
            <w:tcBorders>
              <w:top w:val="single" w:sz="4" w:space="0" w:color="auto"/>
              <w:bottom w:val="nil"/>
            </w:tcBorders>
            <w:shd w:val="clear" w:color="auto" w:fill="auto"/>
          </w:tcPr>
          <w:p w:rsidR="00112E2F" w:rsidRPr="00D900AD" w:rsidRDefault="00112E2F" w:rsidP="00112E2F">
            <w:pPr>
              <w:keepNext/>
              <w:tabs>
                <w:tab w:val="left" w:pos="288"/>
                <w:tab w:val="left" w:pos="576"/>
                <w:tab w:val="left" w:pos="864"/>
                <w:tab w:val="left" w:pos="1152"/>
              </w:tabs>
              <w:spacing w:before="60" w:after="60" w:line="240" w:lineRule="auto"/>
              <w:ind w:left="101" w:right="101"/>
              <w:rPr>
                <w:lang w:val="fr-CH"/>
              </w:rPr>
            </w:pPr>
            <w:r w:rsidRPr="00D900AD">
              <w:rPr>
                <w:lang w:val="fr-CH"/>
              </w:rPr>
              <w:t>6.8.2.1 (sauf 6.8.2.1.17), 6.8.2.4, 6.8.3.1 et 6.8.3.4</w:t>
            </w:r>
          </w:p>
        </w:tc>
        <w:tc>
          <w:tcPr>
            <w:tcW w:w="1533" w:type="dxa"/>
            <w:vMerge w:val="restart"/>
            <w:tcBorders>
              <w:top w:val="single" w:sz="4" w:space="0" w:color="auto"/>
            </w:tcBorders>
            <w:shd w:val="clear" w:color="auto" w:fill="auto"/>
            <w:vAlign w:val="center"/>
          </w:tcPr>
          <w:p w:rsidR="00112E2F" w:rsidRPr="00D900AD" w:rsidRDefault="00112E2F" w:rsidP="00112E2F">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Jusqu’à nouvel ordre</w:t>
            </w:r>
          </w:p>
        </w:tc>
        <w:tc>
          <w:tcPr>
            <w:tcW w:w="1411" w:type="dxa"/>
            <w:tcBorders>
              <w:top w:val="single" w:sz="4" w:space="0" w:color="auto"/>
            </w:tcBorders>
            <w:shd w:val="clear" w:color="auto" w:fill="auto"/>
          </w:tcPr>
          <w:p w:rsidR="00112E2F" w:rsidRPr="00D900AD" w:rsidRDefault="00112E2F" w:rsidP="00112E2F">
            <w:pPr>
              <w:keepNext/>
              <w:tabs>
                <w:tab w:val="left" w:pos="288"/>
                <w:tab w:val="left" w:pos="576"/>
                <w:tab w:val="left" w:pos="864"/>
                <w:tab w:val="left" w:pos="1152"/>
              </w:tabs>
              <w:spacing w:before="60" w:after="60" w:line="240" w:lineRule="auto"/>
              <w:ind w:left="101" w:right="101"/>
              <w:rPr>
                <w:lang w:val="fr-CH"/>
              </w:rPr>
            </w:pPr>
          </w:p>
        </w:tc>
      </w:tr>
      <w:tr w:rsidR="00112E2F" w:rsidRPr="00D900AD" w:rsidTr="005C28C6">
        <w:tc>
          <w:tcPr>
            <w:tcW w:w="1757" w:type="dxa"/>
            <w:shd w:val="clear" w:color="auto" w:fill="auto"/>
          </w:tcPr>
          <w:p w:rsidR="00112E2F" w:rsidRPr="00D900AD" w:rsidRDefault="00112E2F" w:rsidP="001477B1">
            <w:pPr>
              <w:tabs>
                <w:tab w:val="left" w:pos="288"/>
                <w:tab w:val="left" w:pos="576"/>
                <w:tab w:val="left" w:pos="864"/>
                <w:tab w:val="left" w:pos="1152"/>
              </w:tabs>
              <w:spacing w:before="60" w:after="60" w:line="240" w:lineRule="auto"/>
              <w:ind w:left="101" w:right="101"/>
              <w:rPr>
                <w:lang w:val="fr-CH"/>
              </w:rPr>
            </w:pPr>
          </w:p>
        </w:tc>
        <w:tc>
          <w:tcPr>
            <w:tcW w:w="2838" w:type="dxa"/>
            <w:shd w:val="clear" w:color="auto" w:fill="auto"/>
          </w:tcPr>
          <w:p w:rsidR="00112E2F" w:rsidRPr="00D900AD" w:rsidRDefault="00112E2F" w:rsidP="005C28C6">
            <w:pPr>
              <w:tabs>
                <w:tab w:val="left" w:pos="288"/>
                <w:tab w:val="left" w:pos="576"/>
                <w:tab w:val="left" w:pos="864"/>
                <w:tab w:val="left" w:pos="1152"/>
              </w:tabs>
              <w:spacing w:before="60" w:after="60" w:line="240" w:lineRule="auto"/>
              <w:ind w:left="101" w:right="101"/>
              <w:rPr>
                <w:b/>
                <w:i/>
                <w:lang w:val="fr-CH"/>
              </w:rPr>
            </w:pPr>
            <w:r w:rsidRPr="00D900AD">
              <w:rPr>
                <w:b/>
                <w:i/>
                <w:lang w:val="fr-CH"/>
              </w:rPr>
              <w:t>Note</w:t>
            </w:r>
            <w:r w:rsidR="00D900AD">
              <w:rPr>
                <w:b/>
                <w:i/>
                <w:lang w:val="fr-CH"/>
              </w:rPr>
              <w:t> :</w:t>
            </w:r>
            <w:r w:rsidRPr="00D900AD">
              <w:rPr>
                <w:b/>
                <w:i/>
                <w:lang w:val="fr-CH"/>
              </w:rPr>
              <w:t xml:space="preserve"> La norme EN</w:t>
            </w:r>
            <w:r w:rsidR="005C28C6">
              <w:rPr>
                <w:b/>
                <w:i/>
                <w:lang w:val="fr-CH"/>
              </w:rPr>
              <w:t xml:space="preserve"> 1252-1:1998 </w:t>
            </w:r>
            <w:r w:rsidRPr="00D900AD">
              <w:rPr>
                <w:b/>
                <w:i/>
                <w:lang w:val="fr-CH"/>
              </w:rPr>
              <w:t xml:space="preserve">à laquelle il est fait référence dans la présente norme est également applicable aux récipients cryogéniques fermés pour </w:t>
            </w:r>
            <w:r w:rsidR="005C28C6">
              <w:rPr>
                <w:b/>
                <w:i/>
                <w:lang w:val="fr-CH"/>
              </w:rPr>
              <w:br/>
            </w:r>
            <w:r w:rsidRPr="00D900AD">
              <w:rPr>
                <w:b/>
                <w:i/>
                <w:lang w:val="fr-CH"/>
              </w:rPr>
              <w:t>le transport du numéro ONU 1972 (GNL).</w:t>
            </w:r>
          </w:p>
        </w:tc>
        <w:tc>
          <w:tcPr>
            <w:tcW w:w="1260" w:type="dxa"/>
            <w:tcBorders>
              <w:top w:val="nil"/>
            </w:tcBorders>
            <w:shd w:val="clear" w:color="auto" w:fill="auto"/>
          </w:tcPr>
          <w:p w:rsidR="00112E2F" w:rsidRPr="00D900AD" w:rsidRDefault="00112E2F" w:rsidP="001477B1">
            <w:pPr>
              <w:tabs>
                <w:tab w:val="left" w:pos="288"/>
                <w:tab w:val="left" w:pos="576"/>
                <w:tab w:val="left" w:pos="864"/>
                <w:tab w:val="left" w:pos="1152"/>
              </w:tabs>
              <w:spacing w:before="60" w:after="60" w:line="240" w:lineRule="auto"/>
              <w:ind w:left="101" w:right="101"/>
              <w:rPr>
                <w:lang w:val="fr-CH"/>
              </w:rPr>
            </w:pPr>
          </w:p>
        </w:tc>
        <w:tc>
          <w:tcPr>
            <w:tcW w:w="1533" w:type="dxa"/>
            <w:vMerge/>
            <w:shd w:val="clear" w:color="auto" w:fill="auto"/>
          </w:tcPr>
          <w:p w:rsidR="00112E2F" w:rsidRPr="00D900AD" w:rsidRDefault="00112E2F" w:rsidP="001477B1">
            <w:pPr>
              <w:tabs>
                <w:tab w:val="left" w:pos="288"/>
                <w:tab w:val="left" w:pos="576"/>
                <w:tab w:val="left" w:pos="864"/>
                <w:tab w:val="left" w:pos="1152"/>
              </w:tabs>
              <w:spacing w:before="60" w:after="60" w:line="240" w:lineRule="auto"/>
              <w:ind w:left="101" w:right="101"/>
              <w:rPr>
                <w:lang w:val="fr-CH"/>
              </w:rPr>
            </w:pPr>
          </w:p>
        </w:tc>
        <w:tc>
          <w:tcPr>
            <w:tcW w:w="1411" w:type="dxa"/>
            <w:shd w:val="clear" w:color="auto" w:fill="auto"/>
          </w:tcPr>
          <w:p w:rsidR="00112E2F" w:rsidRPr="00D900AD" w:rsidRDefault="00112E2F" w:rsidP="001477B1">
            <w:pPr>
              <w:tabs>
                <w:tab w:val="left" w:pos="288"/>
                <w:tab w:val="left" w:pos="576"/>
                <w:tab w:val="left" w:pos="864"/>
                <w:tab w:val="left" w:pos="1152"/>
              </w:tabs>
              <w:spacing w:before="60" w:after="60" w:line="240" w:lineRule="auto"/>
              <w:ind w:left="101" w:right="101"/>
              <w:rPr>
                <w:lang w:val="fr-CH"/>
              </w:rPr>
            </w:pPr>
          </w:p>
        </w:tc>
      </w:tr>
    </w:tbl>
    <w:p w:rsidR="00E14B67" w:rsidRPr="00D900AD" w:rsidRDefault="00E14B67" w:rsidP="00D35AD8">
      <w:pPr>
        <w:pStyle w:val="SingleTxt"/>
        <w:spacing w:after="0" w:line="120" w:lineRule="exact"/>
        <w:rPr>
          <w:sz w:val="10"/>
          <w:lang w:val="fr-CH"/>
        </w:rPr>
      </w:pPr>
    </w:p>
    <w:p w:rsidR="00D35AD8" w:rsidRPr="00D900AD" w:rsidRDefault="00D35AD8" w:rsidP="00D35AD8">
      <w:pPr>
        <w:pStyle w:val="SingleTxt"/>
        <w:spacing w:after="0" w:line="120" w:lineRule="exact"/>
        <w:rPr>
          <w:sz w:val="10"/>
          <w:lang w:val="fr-CH"/>
        </w:rPr>
      </w:pPr>
    </w:p>
    <w:p w:rsidR="00D35AD8" w:rsidRPr="00D900AD" w:rsidRDefault="00D35AD8" w:rsidP="00D35AD8">
      <w:pPr>
        <w:pStyle w:val="SingleTxt"/>
        <w:spacing w:after="0" w:line="120" w:lineRule="exact"/>
        <w:rPr>
          <w:sz w:val="10"/>
          <w:lang w:val="fr-CH"/>
        </w:rPr>
      </w:pPr>
    </w:p>
    <w:p w:rsidR="00D351AD" w:rsidRPr="00D900AD" w:rsidRDefault="00D35AD8" w:rsidP="00D35A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9 </w:t>
      </w:r>
      <w:r w:rsidRPr="00D900AD">
        <w:rPr>
          <w:lang w:val="fr-CH"/>
        </w:rPr>
        <w:br/>
      </w:r>
      <w:r w:rsidR="00D351AD" w:rsidRPr="00D900AD">
        <w:rPr>
          <w:lang w:val="fr-CH"/>
        </w:rPr>
        <w:t xml:space="preserve">INF 4 (CEN) – Demande de conseils au Groupe de travail </w:t>
      </w:r>
      <w:r w:rsidRPr="00D900AD">
        <w:rPr>
          <w:lang w:val="fr-CH"/>
        </w:rPr>
        <w:br/>
      </w:r>
      <w:r w:rsidR="00D351AD" w:rsidRPr="00D900AD">
        <w:rPr>
          <w:lang w:val="fr-CH"/>
        </w:rPr>
        <w:t>sur les citernes EN 16522:2014</w:t>
      </w:r>
    </w:p>
    <w:p w:rsidR="00D35AD8" w:rsidRPr="00D900AD" w:rsidRDefault="00D35AD8" w:rsidP="00D35AD8">
      <w:pPr>
        <w:pStyle w:val="SingleTxt"/>
        <w:spacing w:after="0" w:line="120" w:lineRule="exact"/>
        <w:rPr>
          <w:sz w:val="10"/>
          <w:lang w:val="fr-CH"/>
        </w:rPr>
      </w:pPr>
    </w:p>
    <w:p w:rsidR="00D351AD" w:rsidRPr="00D900AD" w:rsidRDefault="00D351AD" w:rsidP="00D35AD8">
      <w:pPr>
        <w:pStyle w:val="SingleTxt"/>
        <w:numPr>
          <w:ilvl w:val="0"/>
          <w:numId w:val="6"/>
        </w:numPr>
        <w:tabs>
          <w:tab w:val="clear" w:pos="475"/>
          <w:tab w:val="num" w:pos="1742"/>
        </w:tabs>
        <w:ind w:left="1267"/>
        <w:rPr>
          <w:lang w:val="fr-CH"/>
        </w:rPr>
      </w:pPr>
      <w:r w:rsidRPr="00D900AD">
        <w:rPr>
          <w:lang w:val="fr-CH"/>
        </w:rPr>
        <w:t>Étant donné que les membres du Groupe de travail n’avaient pas reçu les normes, le débat sur ce document a été reporté à la session suivante.</w:t>
      </w:r>
    </w:p>
    <w:p w:rsidR="00083A06" w:rsidRPr="00D900AD" w:rsidRDefault="00083A06" w:rsidP="00083A06">
      <w:pPr>
        <w:pStyle w:val="SingleTxt"/>
        <w:spacing w:after="0" w:line="120" w:lineRule="exact"/>
        <w:rPr>
          <w:b/>
          <w:sz w:val="10"/>
          <w:lang w:val="fr-CH"/>
        </w:rPr>
      </w:pPr>
    </w:p>
    <w:p w:rsidR="00D351AD" w:rsidRPr="00D900AD" w:rsidRDefault="00083A06" w:rsidP="00083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10 </w:t>
      </w:r>
      <w:r w:rsidRPr="00D900AD">
        <w:rPr>
          <w:lang w:val="fr-CH"/>
        </w:rPr>
        <w:br/>
      </w:r>
      <w:r w:rsidR="00D351AD" w:rsidRPr="00D900AD">
        <w:rPr>
          <w:lang w:val="fr-CH"/>
        </w:rPr>
        <w:t>INF 10 (Royaume-Uni) – Citernes</w:t>
      </w:r>
      <w:r w:rsidR="00D900AD">
        <w:rPr>
          <w:lang w:val="fr-CH"/>
        </w:rPr>
        <w:t> :</w:t>
      </w:r>
      <w:r w:rsidR="00D351AD" w:rsidRPr="00D900AD">
        <w:rPr>
          <w:lang w:val="fr-CH"/>
        </w:rPr>
        <w:t xml:space="preserve"> groupe de travail informel sur le contrôle </w:t>
      </w:r>
      <w:r w:rsidRPr="00D900AD">
        <w:rPr>
          <w:lang w:val="fr-CH"/>
        </w:rPr>
        <w:br/>
      </w:r>
      <w:r w:rsidR="00D351AD" w:rsidRPr="00D900AD">
        <w:rPr>
          <w:lang w:val="fr-CH"/>
        </w:rPr>
        <w:t>et la certification des citernes</w:t>
      </w:r>
    </w:p>
    <w:p w:rsidR="00083A06" w:rsidRPr="00D900AD" w:rsidRDefault="00083A06" w:rsidP="00083A06">
      <w:pPr>
        <w:pStyle w:val="SingleTxt"/>
        <w:spacing w:after="0" w:line="120" w:lineRule="exact"/>
        <w:rPr>
          <w:b/>
          <w:sz w:val="10"/>
          <w:lang w:val="fr-CH"/>
        </w:rPr>
      </w:pPr>
    </w:p>
    <w:p w:rsidR="00D351AD" w:rsidRPr="00D900AD" w:rsidRDefault="00D351AD" w:rsidP="00083A06">
      <w:pPr>
        <w:pStyle w:val="SingleTxt"/>
        <w:numPr>
          <w:ilvl w:val="0"/>
          <w:numId w:val="6"/>
        </w:numPr>
        <w:tabs>
          <w:tab w:val="clear" w:pos="475"/>
          <w:tab w:val="num" w:pos="1742"/>
        </w:tabs>
        <w:ind w:left="1267"/>
        <w:rPr>
          <w:lang w:val="fr-CH"/>
        </w:rPr>
      </w:pPr>
      <w:r w:rsidRPr="00D900AD">
        <w:rPr>
          <w:lang w:val="fr-CH"/>
        </w:rPr>
        <w:t>Le représentant du Royaume-Uni a mis au courant le Groupe de travail des résultats de la première session, qui avait eu lieu à Londres les 15 et 16 juin 2015. La prochaine réunion doit se tenir du 12 au 14 octobre 2015 à Londres.</w:t>
      </w:r>
    </w:p>
    <w:p w:rsidR="00083A06" w:rsidRPr="00D900AD" w:rsidRDefault="00083A06" w:rsidP="00083A06">
      <w:pPr>
        <w:pStyle w:val="SingleTxt"/>
        <w:spacing w:after="0" w:line="120" w:lineRule="exact"/>
        <w:rPr>
          <w:b/>
          <w:sz w:val="10"/>
          <w:lang w:val="fr-CH"/>
        </w:rPr>
      </w:pPr>
    </w:p>
    <w:p w:rsidR="00D351AD" w:rsidRPr="00D900AD" w:rsidRDefault="00083A06" w:rsidP="00083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11 </w:t>
      </w:r>
      <w:r w:rsidRPr="00D900AD">
        <w:rPr>
          <w:lang w:val="fr-CH"/>
        </w:rPr>
        <w:br/>
      </w:r>
      <w:r w:rsidR="00D351AD" w:rsidRPr="00D900AD">
        <w:rPr>
          <w:lang w:val="fr-CH"/>
        </w:rPr>
        <w:t>INF 17 (Allemagne) – Prescriptions auxquelles doivent satisfaire les CGEM lorsqu’il s’agit de récipients à pression non ONU</w:t>
      </w:r>
    </w:p>
    <w:p w:rsidR="00083A06" w:rsidRPr="00D900AD" w:rsidRDefault="00083A06" w:rsidP="00083A06">
      <w:pPr>
        <w:pStyle w:val="SingleTxt"/>
        <w:spacing w:after="0" w:line="120" w:lineRule="exact"/>
        <w:rPr>
          <w:b/>
          <w:sz w:val="10"/>
          <w:lang w:val="fr-CH"/>
        </w:rPr>
      </w:pPr>
    </w:p>
    <w:p w:rsidR="00D351AD" w:rsidRPr="00D900AD" w:rsidRDefault="00D351AD" w:rsidP="00083A06">
      <w:pPr>
        <w:pStyle w:val="SingleTxt"/>
        <w:numPr>
          <w:ilvl w:val="0"/>
          <w:numId w:val="6"/>
        </w:numPr>
        <w:tabs>
          <w:tab w:val="clear" w:pos="475"/>
          <w:tab w:val="num" w:pos="1742"/>
        </w:tabs>
        <w:ind w:left="1267"/>
        <w:rPr>
          <w:lang w:val="fr-CH"/>
        </w:rPr>
      </w:pPr>
      <w:r w:rsidRPr="00D900AD">
        <w:rPr>
          <w:lang w:val="fr-CH"/>
        </w:rPr>
        <w:t>Il n’est f</w:t>
      </w:r>
      <w:r w:rsidR="00083A06" w:rsidRPr="00D900AD">
        <w:rPr>
          <w:lang w:val="fr-CH"/>
        </w:rPr>
        <w:t>ait nulle part dans le chapitre </w:t>
      </w:r>
      <w:r w:rsidRPr="00D900AD">
        <w:rPr>
          <w:lang w:val="fr-CH"/>
        </w:rPr>
        <w:t>6.8 référence à des normes relatives à la construction des CGEM. Étant donné qu’aucun code supplémentaire n’est disponible, il est proposé d’appliquer à cet effet les par</w:t>
      </w:r>
      <w:r w:rsidR="00083A06" w:rsidRPr="00D900AD">
        <w:rPr>
          <w:lang w:val="fr-CH"/>
        </w:rPr>
        <w:t>ties pertinentes de la norme EN </w:t>
      </w:r>
      <w:r w:rsidRPr="00D900AD">
        <w:rPr>
          <w:lang w:val="fr-CH"/>
        </w:rPr>
        <w:t>13807. Le champ d’application de la norme est actuellement limité aux véhicules-batteries.</w:t>
      </w:r>
    </w:p>
    <w:p w:rsidR="00D351AD" w:rsidRPr="00D900AD" w:rsidRDefault="00D351AD" w:rsidP="00083A06">
      <w:pPr>
        <w:pStyle w:val="SingleTxt"/>
        <w:numPr>
          <w:ilvl w:val="0"/>
          <w:numId w:val="6"/>
        </w:numPr>
        <w:tabs>
          <w:tab w:val="clear" w:pos="475"/>
          <w:tab w:val="num" w:pos="1742"/>
        </w:tabs>
        <w:ind w:left="1267"/>
        <w:rPr>
          <w:lang w:val="fr-CH"/>
        </w:rPr>
      </w:pPr>
      <w:r w:rsidRPr="00D900AD">
        <w:rPr>
          <w:lang w:val="fr-CH"/>
        </w:rPr>
        <w:t>Le document a été débattu et il</w:t>
      </w:r>
      <w:r w:rsidR="00083A06" w:rsidRPr="00D900AD">
        <w:rPr>
          <w:lang w:val="fr-CH"/>
        </w:rPr>
        <w:t xml:space="preserve"> a été confirmé que la norme EN </w:t>
      </w:r>
      <w:r w:rsidRPr="00D900AD">
        <w:rPr>
          <w:lang w:val="fr-CH"/>
        </w:rPr>
        <w:t xml:space="preserve">13807 était en cours de révision et que son champ d’application serait modifié de manière à y inclure les CGEM. La note a été modifiée de manière à permettre l’utilisation de récipients à pression ONU, ainsi qu’en dispose le paragraphe 6.8.3.1.4. </w:t>
      </w:r>
    </w:p>
    <w:p w:rsidR="00083A06" w:rsidRPr="00D900AD" w:rsidRDefault="00083A06" w:rsidP="00083A06">
      <w:pPr>
        <w:pStyle w:val="SingleTxt"/>
        <w:spacing w:after="0" w:line="120" w:lineRule="exact"/>
        <w:rPr>
          <w:b/>
          <w:sz w:val="10"/>
          <w:lang w:val="fr-CH"/>
        </w:rPr>
      </w:pPr>
    </w:p>
    <w:p w:rsidR="00083A06" w:rsidRPr="00D900AD" w:rsidRDefault="00083A06" w:rsidP="00083A06">
      <w:pPr>
        <w:pStyle w:val="SingleTxt"/>
        <w:spacing w:after="0" w:line="120" w:lineRule="exact"/>
        <w:rPr>
          <w:b/>
          <w:sz w:val="10"/>
          <w:lang w:val="fr-CH"/>
        </w:rPr>
      </w:pPr>
    </w:p>
    <w:p w:rsidR="00D351AD" w:rsidRPr="00D900AD" w:rsidRDefault="00D351AD" w:rsidP="00083A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Proposition</w:t>
      </w:r>
      <w:r w:rsidRPr="00D900AD">
        <w:rPr>
          <w:bCs/>
          <w:lang w:val="fr-CH"/>
        </w:rPr>
        <w:t xml:space="preserve"> 8</w:t>
      </w:r>
    </w:p>
    <w:p w:rsidR="00083A06" w:rsidRPr="00D900AD" w:rsidRDefault="00083A06" w:rsidP="00083A06">
      <w:pPr>
        <w:pStyle w:val="SingleTxt"/>
        <w:spacing w:after="0" w:line="120" w:lineRule="exact"/>
        <w:rPr>
          <w:sz w:val="10"/>
          <w:lang w:val="fr-CH"/>
        </w:rPr>
      </w:pPr>
    </w:p>
    <w:p w:rsidR="00083A06" w:rsidRPr="00D900AD" w:rsidRDefault="00083A06" w:rsidP="00083A06">
      <w:pPr>
        <w:pStyle w:val="SingleTxt"/>
        <w:spacing w:after="0" w:line="120" w:lineRule="exact"/>
        <w:rPr>
          <w:sz w:val="10"/>
          <w:lang w:val="fr-CH"/>
        </w:rPr>
      </w:pPr>
    </w:p>
    <w:p w:rsidR="00D351AD" w:rsidRPr="00D900AD" w:rsidRDefault="00083A06" w:rsidP="00D351AD">
      <w:pPr>
        <w:pStyle w:val="SingleTxt"/>
        <w:rPr>
          <w:lang w:val="fr-CH"/>
        </w:rPr>
      </w:pPr>
      <w:r w:rsidRPr="00D900AD">
        <w:rPr>
          <w:lang w:val="fr-CH"/>
        </w:rPr>
        <w:tab/>
      </w:r>
      <w:r w:rsidR="00D351AD" w:rsidRPr="00D900AD">
        <w:rPr>
          <w:lang w:val="fr-CH"/>
        </w:rPr>
        <w:t>En ce qui concerne le RID</w:t>
      </w:r>
      <w:r w:rsidR="00D900AD">
        <w:rPr>
          <w:lang w:val="fr-CH"/>
        </w:rPr>
        <w:t> :</w:t>
      </w:r>
      <w:r w:rsidR="00D351AD" w:rsidRPr="00D900AD">
        <w:rPr>
          <w:lang w:val="fr-CH"/>
        </w:rPr>
        <w:t xml:space="preserve"> remplacer la formulation actuelle du paragraphe 6.8.3.6 du RID </w:t>
      </w:r>
      <w:r w:rsidRPr="00D900AD">
        <w:rPr>
          <w:lang w:val="fr-CH"/>
        </w:rPr>
        <w:t>« </w:t>
      </w:r>
      <w:r w:rsidR="00D351AD" w:rsidRPr="00D900AD">
        <w:rPr>
          <w:lang w:val="fr-CH"/>
        </w:rPr>
        <w:t>(ré</w:t>
      </w:r>
      <w:r w:rsidR="00D900AD">
        <w:rPr>
          <w:lang w:val="fr-CH"/>
        </w:rPr>
        <w:t>servé) » par le libellé suivant </w:t>
      </w:r>
      <w:r w:rsidR="00D351AD" w:rsidRPr="00D900AD">
        <w:rPr>
          <w:lang w:val="fr-CH"/>
        </w:rPr>
        <w:t>:</w:t>
      </w:r>
    </w:p>
    <w:p w:rsidR="00D351AD" w:rsidRPr="00D900AD" w:rsidRDefault="00D351AD" w:rsidP="00D351AD">
      <w:pPr>
        <w:pStyle w:val="SingleTxt"/>
        <w:rPr>
          <w:lang w:val="fr-CH"/>
        </w:rPr>
      </w:pPr>
      <w:r w:rsidRPr="00D900AD">
        <w:rPr>
          <w:b/>
          <w:bCs/>
          <w:i/>
          <w:iCs/>
          <w:lang w:val="fr-CH"/>
        </w:rPr>
        <w:t>NOTE</w:t>
      </w:r>
      <w:r w:rsidR="00083A06" w:rsidRPr="00D900AD">
        <w:rPr>
          <w:b/>
          <w:bCs/>
          <w:i/>
          <w:iCs/>
          <w:lang w:val="fr-CH"/>
        </w:rPr>
        <w:t> </w:t>
      </w:r>
      <w:r w:rsidR="00083A06" w:rsidRPr="00D900AD">
        <w:rPr>
          <w:bCs/>
          <w:i/>
          <w:iCs/>
          <w:lang w:val="fr-CH"/>
        </w:rPr>
        <w:t>:</w:t>
      </w:r>
      <w:r w:rsidRPr="00D900AD">
        <w:rPr>
          <w:lang w:val="fr-CH"/>
        </w:rPr>
        <w:t xml:space="preserve"> </w:t>
      </w:r>
      <w:r w:rsidRPr="00D900AD">
        <w:rPr>
          <w:bCs/>
          <w:i/>
          <w:iCs/>
          <w:lang w:val="fr-CH"/>
        </w:rPr>
        <w:t>Les personnes et organismes identifiés dans les normes comme ayant des responsabilités selon les règlements RID doivent se conformer aux prescriptions desdits règlements</w:t>
      </w:r>
      <w:r w:rsidRPr="00D900AD">
        <w:rPr>
          <w:lang w:val="fr-CH"/>
        </w:rPr>
        <w:t>.</w:t>
      </w:r>
    </w:p>
    <w:p w:rsidR="00D351AD" w:rsidRPr="00D900AD" w:rsidRDefault="00083A06" w:rsidP="00D351AD">
      <w:pPr>
        <w:pStyle w:val="SingleTxt"/>
        <w:rPr>
          <w:lang w:val="fr-CH"/>
        </w:rPr>
      </w:pPr>
      <w:r w:rsidRPr="00D900AD">
        <w:rPr>
          <w:lang w:val="fr-CH"/>
        </w:rPr>
        <w:tab/>
      </w:r>
      <w:r w:rsidR="00D351AD" w:rsidRPr="00D900AD">
        <w:rPr>
          <w:lang w:val="fr-CH"/>
        </w:rPr>
        <w:t>Les certificats d’agrément de type doivent être déli</w:t>
      </w:r>
      <w:r w:rsidRPr="00D900AD">
        <w:rPr>
          <w:lang w:val="fr-CH"/>
        </w:rPr>
        <w:t>vrés conformément au paragraphe </w:t>
      </w:r>
      <w:r w:rsidR="00D351AD" w:rsidRPr="00D900AD">
        <w:rPr>
          <w:lang w:val="fr-CH"/>
        </w:rPr>
        <w:t xml:space="preserve">1.8.7. Les normes citées en référence dans le tableau </w:t>
      </w:r>
      <w:proofErr w:type="spellStart"/>
      <w:r w:rsidR="00D351AD" w:rsidRPr="00D900AD">
        <w:rPr>
          <w:lang w:val="fr-CH"/>
        </w:rPr>
        <w:t>ci-après</w:t>
      </w:r>
      <w:proofErr w:type="spellEnd"/>
      <w:r w:rsidR="00D351AD" w:rsidRPr="00D900AD">
        <w:rPr>
          <w:lang w:val="fr-CH"/>
        </w:rPr>
        <w:t xml:space="preserve"> doivent être appliquées pour la délivrance des agréments de type</w:t>
      </w:r>
      <w:r w:rsidRPr="00D900AD">
        <w:rPr>
          <w:lang w:val="fr-CH"/>
        </w:rPr>
        <w:t xml:space="preserve"> comme indiqué dans la </w:t>
      </w:r>
      <w:r w:rsidRPr="00D900AD">
        <w:rPr>
          <w:lang w:val="fr-CH"/>
        </w:rPr>
        <w:lastRenderedPageBreak/>
        <w:t>colonne (</w:t>
      </w:r>
      <w:r w:rsidR="00D351AD" w:rsidRPr="00D900AD">
        <w:rPr>
          <w:lang w:val="fr-CH"/>
        </w:rPr>
        <w:t>4) pour satisfaire aux prescriptions du chapi</w:t>
      </w:r>
      <w:r w:rsidRPr="00D900AD">
        <w:rPr>
          <w:lang w:val="fr-CH"/>
        </w:rPr>
        <w:t>tre 6.8 citées dans la colonne (</w:t>
      </w:r>
      <w:r w:rsidR="00D351AD" w:rsidRPr="00D900AD">
        <w:rPr>
          <w:lang w:val="fr-CH"/>
        </w:rPr>
        <w:t>3). Les normes doivent être appliquées conformément au par</w:t>
      </w:r>
      <w:r w:rsidRPr="00D900AD">
        <w:rPr>
          <w:lang w:val="fr-CH"/>
        </w:rPr>
        <w:t>agraphe 1.1.5. La colonne (</w:t>
      </w:r>
      <w:r w:rsidR="00D351AD" w:rsidRPr="00D900AD">
        <w:rPr>
          <w:lang w:val="fr-CH"/>
        </w:rPr>
        <w:t>5) indique la date ultime à laquelle les agréments de type existants doive</w:t>
      </w:r>
      <w:r w:rsidR="009B0A60">
        <w:rPr>
          <w:lang w:val="fr-CH"/>
        </w:rPr>
        <w:t>nt être retirés conformément au paragraphe</w:t>
      </w:r>
      <w:r w:rsidR="00D351AD" w:rsidRPr="00D900AD">
        <w:rPr>
          <w:lang w:val="fr-CH"/>
        </w:rPr>
        <w:t xml:space="preserve"> 1.8.7.2.4; si aucune date n’est indiquée, l’agrément de type demeure valide jusqu’à sa date d’expiration.</w:t>
      </w:r>
    </w:p>
    <w:p w:rsidR="00D351AD" w:rsidRPr="00D900AD" w:rsidRDefault="00D351AD" w:rsidP="00D351AD">
      <w:pPr>
        <w:pStyle w:val="SingleTxt"/>
        <w:rPr>
          <w:lang w:val="fr-CH"/>
        </w:rPr>
      </w:pPr>
      <w:r w:rsidRPr="00D900AD">
        <w:rPr>
          <w:lang w:val="fr-CH"/>
        </w:rPr>
        <w:tab/>
        <w:t>Depuis le 1</w:t>
      </w:r>
      <w:r w:rsidRPr="00D900AD">
        <w:rPr>
          <w:vertAlign w:val="superscript"/>
          <w:lang w:val="fr-CH"/>
        </w:rPr>
        <w:t>er</w:t>
      </w:r>
      <w:r w:rsidRPr="00D900AD">
        <w:rPr>
          <w:lang w:val="fr-CH"/>
        </w:rPr>
        <w:t> janvier 2009, l’application des normes citées en référence est devenue obligatoire. Les exceptions sont traitées au paragraphe 6.8.3.7.</w:t>
      </w:r>
    </w:p>
    <w:p w:rsidR="00D351AD" w:rsidRPr="00D900AD" w:rsidRDefault="00D351AD" w:rsidP="00D351AD">
      <w:pPr>
        <w:pStyle w:val="SingleTxt"/>
        <w:rPr>
          <w:lang w:val="fr-CH"/>
        </w:rPr>
      </w:pPr>
      <w:r w:rsidRPr="00D900AD">
        <w:rPr>
          <w:lang w:val="fr-CH"/>
        </w:rPr>
        <w:tab/>
        <w:t>Si plus d’une norme est citée en référence pour l’application des mêmes prescriptions, seule l’une d’entre elles doit être appliquée, mais dans sa totalité à moins qu’il n’en soit spécifié autrement dans le tableau ci-dessous.</w:t>
      </w:r>
    </w:p>
    <w:p w:rsidR="00083A06" w:rsidRPr="00D900AD" w:rsidRDefault="00D351AD" w:rsidP="00083A06">
      <w:pPr>
        <w:pStyle w:val="SingleTxt"/>
        <w:rPr>
          <w:lang w:val="fr-CH"/>
        </w:rPr>
      </w:pPr>
      <w:r w:rsidRPr="00D900AD">
        <w:rPr>
          <w:lang w:val="fr-CH"/>
        </w:rPr>
        <w:tab/>
        <w:t>Le champ d’application de chaque norme est défini dans la clause de champ d’application de la norme à moins qu’il n’en soit spécifié autre</w:t>
      </w:r>
      <w:r w:rsidR="00083A06" w:rsidRPr="00D900AD">
        <w:rPr>
          <w:lang w:val="fr-CH"/>
        </w:rPr>
        <w:t>ment dans le tableau ci-dessous :</w:t>
      </w:r>
    </w:p>
    <w:p w:rsidR="00083A06" w:rsidRPr="00D900AD" w:rsidRDefault="00083A06" w:rsidP="00083A06">
      <w:pPr>
        <w:pStyle w:val="SingleTxt"/>
        <w:spacing w:after="0" w:line="120" w:lineRule="exact"/>
        <w:rPr>
          <w:sz w:val="10"/>
          <w:lang w:val="fr-CH"/>
        </w:rPr>
      </w:pPr>
    </w:p>
    <w:p w:rsidR="00083A06" w:rsidRPr="00D900AD" w:rsidRDefault="00083A06" w:rsidP="00083A06">
      <w:pPr>
        <w:pStyle w:val="SingleTxt"/>
        <w:spacing w:after="0" w:line="120" w:lineRule="exact"/>
        <w:rPr>
          <w:sz w:val="10"/>
          <w:lang w:val="fr-CH"/>
        </w:rPr>
      </w:pPr>
    </w:p>
    <w:tbl>
      <w:tblPr>
        <w:tblW w:w="87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2605"/>
        <w:gridCol w:w="1440"/>
        <w:gridCol w:w="1710"/>
        <w:gridCol w:w="1418"/>
      </w:tblGrid>
      <w:tr w:rsidR="00083A06" w:rsidRPr="00D900AD" w:rsidTr="005C28C6">
        <w:trPr>
          <w:tblHeader/>
        </w:trPr>
        <w:tc>
          <w:tcPr>
            <w:tcW w:w="1625" w:type="dxa"/>
            <w:shd w:val="clear" w:color="auto" w:fill="auto"/>
            <w:vAlign w:val="center"/>
          </w:tcPr>
          <w:p w:rsidR="00083A06" w:rsidRPr="00D900AD" w:rsidRDefault="00D900AD"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Référence</w:t>
            </w:r>
          </w:p>
        </w:tc>
        <w:tc>
          <w:tcPr>
            <w:tcW w:w="2605"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Titre du document</w:t>
            </w:r>
          </w:p>
        </w:tc>
        <w:tc>
          <w:tcPr>
            <w:tcW w:w="1440" w:type="dxa"/>
            <w:shd w:val="clear" w:color="auto" w:fill="auto"/>
            <w:vAlign w:val="center"/>
          </w:tcPr>
          <w:p w:rsidR="00083A06" w:rsidRPr="00D900AD" w:rsidRDefault="00083A06" w:rsidP="005C3D87">
            <w:pPr>
              <w:keepNext/>
              <w:tabs>
                <w:tab w:val="left" w:pos="288"/>
                <w:tab w:val="left" w:pos="576"/>
                <w:tab w:val="left" w:pos="864"/>
                <w:tab w:val="left" w:pos="1152"/>
              </w:tabs>
              <w:spacing w:before="60" w:after="60" w:line="240" w:lineRule="auto"/>
              <w:ind w:left="101" w:right="72"/>
              <w:jc w:val="center"/>
              <w:rPr>
                <w:lang w:val="fr-CH"/>
              </w:rPr>
            </w:pPr>
            <w:r w:rsidRPr="00D900AD">
              <w:rPr>
                <w:lang w:val="fr-CH"/>
              </w:rPr>
              <w:t xml:space="preserve">Sous-sections </w:t>
            </w:r>
            <w:r w:rsidRPr="00D900AD">
              <w:rPr>
                <w:lang w:val="fr-CH"/>
              </w:rPr>
              <w:br/>
              <w:t>et paragraphes applicables</w:t>
            </w:r>
          </w:p>
        </w:tc>
        <w:tc>
          <w:tcPr>
            <w:tcW w:w="1710"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 xml:space="preserve">Applicable pour les nouveaux </w:t>
            </w:r>
            <w:r w:rsidR="00D900AD" w:rsidRPr="00D900AD">
              <w:rPr>
                <w:lang w:val="fr-CH"/>
              </w:rPr>
              <w:t>agréments</w:t>
            </w:r>
            <w:r w:rsidRPr="00D900AD">
              <w:rPr>
                <w:lang w:val="fr-CH"/>
              </w:rPr>
              <w:t xml:space="preserve"> de type ou pour les renouvellements</w:t>
            </w:r>
          </w:p>
        </w:tc>
        <w:tc>
          <w:tcPr>
            <w:tcW w:w="1418"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 xml:space="preserve">Date ultime de retrait des </w:t>
            </w:r>
            <w:r w:rsidR="00D900AD" w:rsidRPr="00D900AD">
              <w:rPr>
                <w:lang w:val="fr-CH"/>
              </w:rPr>
              <w:t>agréments</w:t>
            </w:r>
            <w:r w:rsidRPr="00D900AD">
              <w:rPr>
                <w:lang w:val="fr-CH"/>
              </w:rPr>
              <w:t xml:space="preserve"> de type existants</w:t>
            </w:r>
          </w:p>
        </w:tc>
      </w:tr>
      <w:tr w:rsidR="00083A06" w:rsidRPr="00D900AD" w:rsidTr="005C28C6">
        <w:trPr>
          <w:tblHeader/>
        </w:trPr>
        <w:tc>
          <w:tcPr>
            <w:tcW w:w="1625"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(1)</w:t>
            </w:r>
          </w:p>
        </w:tc>
        <w:tc>
          <w:tcPr>
            <w:tcW w:w="2605"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(2)</w:t>
            </w:r>
          </w:p>
        </w:tc>
        <w:tc>
          <w:tcPr>
            <w:tcW w:w="1440"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(3)</w:t>
            </w:r>
          </w:p>
        </w:tc>
        <w:tc>
          <w:tcPr>
            <w:tcW w:w="1710"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(4)</w:t>
            </w:r>
          </w:p>
        </w:tc>
        <w:tc>
          <w:tcPr>
            <w:tcW w:w="1418" w:type="dxa"/>
            <w:shd w:val="clear" w:color="auto" w:fill="auto"/>
            <w:vAlign w:val="center"/>
          </w:tcPr>
          <w:p w:rsidR="00083A06" w:rsidRPr="00D900AD" w:rsidRDefault="00083A06"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(5)</w:t>
            </w:r>
          </w:p>
        </w:tc>
      </w:tr>
      <w:tr w:rsidR="00347601" w:rsidRPr="00D900AD" w:rsidTr="005C28C6">
        <w:tc>
          <w:tcPr>
            <w:tcW w:w="1625" w:type="dxa"/>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r w:rsidRPr="00D900AD">
              <w:rPr>
                <w:lang w:val="fr-CH"/>
              </w:rPr>
              <w:t>EN 13807:2003</w:t>
            </w:r>
          </w:p>
        </w:tc>
        <w:tc>
          <w:tcPr>
            <w:tcW w:w="2605" w:type="dxa"/>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r w:rsidRPr="00D900AD">
              <w:rPr>
                <w:lang w:val="fr-CH"/>
              </w:rPr>
              <w:t>Bouteilles à gaz transportables − véhicules- batteries − conception, fabrication, identification et essai</w:t>
            </w:r>
          </w:p>
        </w:tc>
        <w:tc>
          <w:tcPr>
            <w:tcW w:w="1440" w:type="dxa"/>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r w:rsidRPr="00D900AD">
              <w:rPr>
                <w:lang w:val="fr-CH"/>
              </w:rPr>
              <w:t xml:space="preserve">6.8.3.1.4 et 6.8.3.1.5, 6.8.3.2.18 </w:t>
            </w:r>
            <w:r w:rsidRPr="00D900AD">
              <w:rPr>
                <w:lang w:val="fr-CH"/>
              </w:rPr>
              <w:br/>
              <w:t xml:space="preserve">à 6.8.3.2.26, 6.8.3.4.10 </w:t>
            </w:r>
            <w:r w:rsidRPr="00D900AD">
              <w:rPr>
                <w:lang w:val="fr-CH"/>
              </w:rPr>
              <w:br/>
              <w:t xml:space="preserve">à 6.8.3.4.12 </w:t>
            </w:r>
            <w:r w:rsidRPr="00D900AD">
              <w:rPr>
                <w:lang w:val="fr-CH"/>
              </w:rPr>
              <w:br/>
              <w:t xml:space="preserve">et 6.8.3.5.10 </w:t>
            </w:r>
            <w:r w:rsidRPr="00D900AD">
              <w:rPr>
                <w:lang w:val="fr-CH"/>
              </w:rPr>
              <w:br/>
              <w:t>à 6.8.3.5.13</w:t>
            </w:r>
          </w:p>
        </w:tc>
        <w:tc>
          <w:tcPr>
            <w:tcW w:w="1710" w:type="dxa"/>
            <w:vMerge w:val="restart"/>
            <w:shd w:val="clear" w:color="auto" w:fill="auto"/>
            <w:vAlign w:val="center"/>
          </w:tcPr>
          <w:p w:rsidR="00347601" w:rsidRPr="00D900AD" w:rsidRDefault="00347601" w:rsidP="00D867A6">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Jusqu’à̀ nouvel ordre</w:t>
            </w:r>
          </w:p>
        </w:tc>
        <w:tc>
          <w:tcPr>
            <w:tcW w:w="1418" w:type="dxa"/>
            <w:vMerge w:val="restart"/>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p>
        </w:tc>
      </w:tr>
      <w:tr w:rsidR="00347601" w:rsidRPr="00D900AD" w:rsidTr="005C28C6">
        <w:tc>
          <w:tcPr>
            <w:tcW w:w="1625" w:type="dxa"/>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p>
        </w:tc>
        <w:tc>
          <w:tcPr>
            <w:tcW w:w="2605" w:type="dxa"/>
            <w:shd w:val="clear" w:color="auto" w:fill="auto"/>
          </w:tcPr>
          <w:p w:rsidR="00347601" w:rsidRPr="00D900AD" w:rsidRDefault="00347601" w:rsidP="002D27B4">
            <w:pPr>
              <w:keepNext/>
              <w:tabs>
                <w:tab w:val="left" w:pos="288"/>
                <w:tab w:val="left" w:pos="576"/>
                <w:tab w:val="left" w:pos="864"/>
                <w:tab w:val="left" w:pos="1152"/>
              </w:tabs>
              <w:spacing w:before="60" w:after="60" w:line="240" w:lineRule="auto"/>
              <w:ind w:left="101" w:right="101"/>
              <w:rPr>
                <w:lang w:val="fr-CH"/>
              </w:rPr>
            </w:pPr>
            <w:r w:rsidRPr="00D900AD">
              <w:rPr>
                <w:lang w:val="fr-CH"/>
              </w:rPr>
              <w:t xml:space="preserve">Note : </w:t>
            </w:r>
            <w:r w:rsidR="002D27B4">
              <w:rPr>
                <w:lang w:val="fr-CH"/>
              </w:rPr>
              <w:t>L</w:t>
            </w:r>
            <w:r w:rsidRPr="00D900AD">
              <w:rPr>
                <w:lang w:val="fr-CH"/>
              </w:rPr>
              <w:t>e cas échéant, cette norm</w:t>
            </w:r>
            <w:r>
              <w:rPr>
                <w:lang w:val="fr-CH"/>
              </w:rPr>
              <w:t xml:space="preserve">e peut être appliquée aux CGEM qui sont des récipients </w:t>
            </w:r>
            <w:r w:rsidRPr="00D900AD">
              <w:rPr>
                <w:lang w:val="fr-CH"/>
              </w:rPr>
              <w:t>à pression</w:t>
            </w:r>
          </w:p>
        </w:tc>
        <w:tc>
          <w:tcPr>
            <w:tcW w:w="1440" w:type="dxa"/>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p>
        </w:tc>
        <w:tc>
          <w:tcPr>
            <w:tcW w:w="1710" w:type="dxa"/>
            <w:vMerge/>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p>
        </w:tc>
        <w:tc>
          <w:tcPr>
            <w:tcW w:w="1418" w:type="dxa"/>
            <w:vMerge/>
            <w:shd w:val="clear" w:color="auto" w:fill="auto"/>
          </w:tcPr>
          <w:p w:rsidR="00347601" w:rsidRPr="00D900AD" w:rsidRDefault="00347601" w:rsidP="00083A06">
            <w:pPr>
              <w:keepNext/>
              <w:tabs>
                <w:tab w:val="left" w:pos="288"/>
                <w:tab w:val="left" w:pos="576"/>
                <w:tab w:val="left" w:pos="864"/>
                <w:tab w:val="left" w:pos="1152"/>
              </w:tabs>
              <w:spacing w:before="60" w:after="60" w:line="240" w:lineRule="auto"/>
              <w:ind w:left="101" w:right="101"/>
              <w:rPr>
                <w:lang w:val="fr-CH"/>
              </w:rPr>
            </w:pPr>
          </w:p>
        </w:tc>
      </w:tr>
    </w:tbl>
    <w:p w:rsidR="00083A06" w:rsidRPr="00D900AD" w:rsidRDefault="00083A06" w:rsidP="00083A06">
      <w:pPr>
        <w:pStyle w:val="SingleTxt"/>
        <w:spacing w:after="0" w:line="120" w:lineRule="exact"/>
        <w:rPr>
          <w:sz w:val="10"/>
          <w:lang w:val="fr-CH"/>
        </w:rPr>
      </w:pPr>
    </w:p>
    <w:p w:rsidR="00083A06" w:rsidRPr="00D900AD" w:rsidRDefault="00083A06" w:rsidP="00083A06">
      <w:pPr>
        <w:pStyle w:val="SingleTxt"/>
        <w:spacing w:after="0" w:line="120" w:lineRule="exact"/>
        <w:rPr>
          <w:sz w:val="10"/>
          <w:lang w:val="fr-CH"/>
        </w:rPr>
      </w:pPr>
    </w:p>
    <w:p w:rsidR="00083A06" w:rsidRPr="00D900AD" w:rsidRDefault="00083A06" w:rsidP="00083A06">
      <w:pPr>
        <w:pStyle w:val="SingleTxt"/>
        <w:spacing w:after="0" w:line="120" w:lineRule="exact"/>
        <w:rPr>
          <w:b/>
          <w:sz w:val="10"/>
          <w:lang w:val="fr-CH"/>
        </w:rPr>
      </w:pPr>
    </w:p>
    <w:p w:rsidR="00D351AD" w:rsidRPr="00D900AD" w:rsidRDefault="00D351AD" w:rsidP="00083A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lastRenderedPageBreak/>
        <w:tab/>
      </w:r>
      <w:r w:rsidRPr="00D900AD">
        <w:rPr>
          <w:lang w:val="fr-CH"/>
        </w:rPr>
        <w:tab/>
        <w:t>Proposition 9</w:t>
      </w:r>
    </w:p>
    <w:p w:rsidR="00083A06" w:rsidRPr="00D900AD" w:rsidRDefault="00083A06" w:rsidP="0097279C">
      <w:pPr>
        <w:pStyle w:val="SingleTxt"/>
        <w:keepNext/>
        <w:spacing w:after="0" w:line="120" w:lineRule="exact"/>
        <w:rPr>
          <w:sz w:val="10"/>
          <w:lang w:val="fr-CH"/>
        </w:rPr>
      </w:pPr>
    </w:p>
    <w:p w:rsidR="00083A06" w:rsidRPr="00D900AD" w:rsidRDefault="00083A06" w:rsidP="0097279C">
      <w:pPr>
        <w:pStyle w:val="SingleTxt"/>
        <w:keepNext/>
        <w:spacing w:after="0" w:line="120" w:lineRule="exact"/>
        <w:rPr>
          <w:sz w:val="10"/>
          <w:lang w:val="fr-CH"/>
        </w:rPr>
      </w:pPr>
    </w:p>
    <w:p w:rsidR="00D351AD" w:rsidRPr="00D900AD" w:rsidRDefault="0097279C" w:rsidP="0097279C">
      <w:pPr>
        <w:pStyle w:val="SingleTxt"/>
        <w:keepNext/>
        <w:rPr>
          <w:spacing w:val="3"/>
          <w:lang w:val="fr-CH"/>
        </w:rPr>
      </w:pPr>
      <w:r w:rsidRPr="00D900AD">
        <w:rPr>
          <w:lang w:val="fr-CH"/>
        </w:rPr>
        <w:tab/>
      </w:r>
      <w:r w:rsidR="00D351AD" w:rsidRPr="00D900AD">
        <w:rPr>
          <w:spacing w:val="3"/>
          <w:lang w:val="fr-CH"/>
        </w:rPr>
        <w:t>En ce qui concerne l’ADR, ajouter une note dans la col</w:t>
      </w:r>
      <w:r w:rsidRPr="00D900AD">
        <w:rPr>
          <w:spacing w:val="3"/>
          <w:lang w:val="fr-CH"/>
        </w:rPr>
        <w:t>onne 2 du tableau du paragraphe </w:t>
      </w:r>
      <w:r w:rsidR="00D351AD" w:rsidRPr="00D900AD">
        <w:rPr>
          <w:spacing w:val="3"/>
          <w:lang w:val="fr-CH"/>
        </w:rPr>
        <w:t>6.8.3.6, libellée comme suit</w:t>
      </w:r>
      <w:r w:rsidR="00D900AD" w:rsidRPr="00D900AD">
        <w:rPr>
          <w:spacing w:val="3"/>
          <w:lang w:val="fr-CH"/>
        </w:rPr>
        <w:t> :</w:t>
      </w:r>
      <w:r w:rsidR="00D351AD" w:rsidRPr="00D900AD">
        <w:rPr>
          <w:spacing w:val="3"/>
          <w:lang w:val="fr-CH"/>
        </w:rPr>
        <w:t xml:space="preserve"> (nouveau texte </w:t>
      </w:r>
      <w:r w:rsidR="00D351AD" w:rsidRPr="00D900AD">
        <w:rPr>
          <w:b/>
          <w:i/>
          <w:spacing w:val="3"/>
          <w:lang w:val="fr-CH"/>
        </w:rPr>
        <w:t>en caractères gras italiques</w:t>
      </w:r>
      <w:r w:rsidR="00D351AD" w:rsidRPr="00D900AD">
        <w:rPr>
          <w:spacing w:val="3"/>
          <w:lang w:val="fr-CH"/>
        </w:rPr>
        <w:t>)</w:t>
      </w:r>
      <w:r w:rsidRPr="00D900AD">
        <w:rPr>
          <w:spacing w:val="3"/>
          <w:lang w:val="fr-CH"/>
        </w:rPr>
        <w:t> :</w:t>
      </w:r>
    </w:p>
    <w:p w:rsidR="0097279C" w:rsidRPr="00D900AD" w:rsidRDefault="0097279C" w:rsidP="0097279C">
      <w:pPr>
        <w:pStyle w:val="SingleTxt"/>
        <w:keepNext/>
        <w:spacing w:after="0" w:line="120" w:lineRule="exact"/>
        <w:rPr>
          <w:sz w:val="10"/>
          <w:lang w:val="fr-CH"/>
        </w:rPr>
      </w:pPr>
    </w:p>
    <w:tbl>
      <w:tblPr>
        <w:tblW w:w="876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2605"/>
        <w:gridCol w:w="1418"/>
        <w:gridCol w:w="1701"/>
        <w:gridCol w:w="1413"/>
      </w:tblGrid>
      <w:tr w:rsidR="005C3D87" w:rsidRPr="00D900AD" w:rsidTr="005C28C6">
        <w:trPr>
          <w:tblHeader/>
        </w:trPr>
        <w:tc>
          <w:tcPr>
            <w:tcW w:w="1625" w:type="dxa"/>
            <w:shd w:val="clear" w:color="auto" w:fill="auto"/>
            <w:vAlign w:val="center"/>
          </w:tcPr>
          <w:p w:rsidR="0097279C" w:rsidRPr="00D900AD" w:rsidRDefault="00D900AD"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Référence</w:t>
            </w:r>
          </w:p>
        </w:tc>
        <w:tc>
          <w:tcPr>
            <w:tcW w:w="2605"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Titre du document</w:t>
            </w:r>
          </w:p>
        </w:tc>
        <w:tc>
          <w:tcPr>
            <w:tcW w:w="1418"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 xml:space="preserve">Sous-sections </w:t>
            </w:r>
            <w:r w:rsidRPr="00D900AD">
              <w:rPr>
                <w:lang w:val="fr-CH"/>
              </w:rPr>
              <w:br/>
              <w:t>et paragraphes applicables</w:t>
            </w:r>
          </w:p>
        </w:tc>
        <w:tc>
          <w:tcPr>
            <w:tcW w:w="1701"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 xml:space="preserve">Applicable pour les nouveaux </w:t>
            </w:r>
            <w:r w:rsidR="00D900AD" w:rsidRPr="00D900AD">
              <w:rPr>
                <w:lang w:val="fr-CH"/>
              </w:rPr>
              <w:t>agréments</w:t>
            </w:r>
            <w:r w:rsidRPr="00D900AD">
              <w:rPr>
                <w:lang w:val="fr-CH"/>
              </w:rPr>
              <w:t xml:space="preserve"> de type ou pour les renouvellements</w:t>
            </w:r>
          </w:p>
        </w:tc>
        <w:tc>
          <w:tcPr>
            <w:tcW w:w="1413"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 xml:space="preserve">Date ultime de retrait des </w:t>
            </w:r>
            <w:r w:rsidR="00D900AD" w:rsidRPr="00D900AD">
              <w:rPr>
                <w:lang w:val="fr-CH"/>
              </w:rPr>
              <w:t>agréments</w:t>
            </w:r>
            <w:r w:rsidRPr="00D900AD">
              <w:rPr>
                <w:lang w:val="fr-CH"/>
              </w:rPr>
              <w:t xml:space="preserve"> de type existants</w:t>
            </w:r>
          </w:p>
        </w:tc>
      </w:tr>
      <w:tr w:rsidR="0097279C" w:rsidRPr="00D900AD" w:rsidTr="005C28C6">
        <w:trPr>
          <w:tblHeader/>
        </w:trPr>
        <w:tc>
          <w:tcPr>
            <w:tcW w:w="1625"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(1)</w:t>
            </w:r>
          </w:p>
        </w:tc>
        <w:tc>
          <w:tcPr>
            <w:tcW w:w="2605"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(2)</w:t>
            </w:r>
          </w:p>
        </w:tc>
        <w:tc>
          <w:tcPr>
            <w:tcW w:w="1418"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(3)</w:t>
            </w:r>
          </w:p>
        </w:tc>
        <w:tc>
          <w:tcPr>
            <w:tcW w:w="1701"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(4)</w:t>
            </w:r>
          </w:p>
        </w:tc>
        <w:tc>
          <w:tcPr>
            <w:tcW w:w="1413" w:type="dxa"/>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(5)</w:t>
            </w:r>
          </w:p>
        </w:tc>
      </w:tr>
      <w:tr w:rsidR="0097279C" w:rsidRPr="00D900AD" w:rsidTr="005C28C6">
        <w:tc>
          <w:tcPr>
            <w:tcW w:w="1625"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r w:rsidRPr="00D900AD">
              <w:rPr>
                <w:lang w:val="fr-CH"/>
              </w:rPr>
              <w:t>EN 13807:2003</w:t>
            </w:r>
          </w:p>
        </w:tc>
        <w:tc>
          <w:tcPr>
            <w:tcW w:w="2605"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r w:rsidRPr="00D900AD">
              <w:rPr>
                <w:lang w:val="fr-CH"/>
              </w:rPr>
              <w:t xml:space="preserve">Bouteilles à gaz transportables − </w:t>
            </w:r>
            <w:r w:rsidR="00D900AD" w:rsidRPr="00D900AD">
              <w:rPr>
                <w:lang w:val="fr-CH"/>
              </w:rPr>
              <w:t>véhicules</w:t>
            </w:r>
            <w:r w:rsidRPr="00D900AD">
              <w:rPr>
                <w:lang w:val="fr-CH"/>
              </w:rPr>
              <w:t>- batteries − conception, fabrication, identification et essai</w:t>
            </w:r>
          </w:p>
        </w:tc>
        <w:tc>
          <w:tcPr>
            <w:tcW w:w="1418"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r w:rsidRPr="00D900AD">
              <w:rPr>
                <w:lang w:val="fr-CH"/>
              </w:rPr>
              <w:t xml:space="preserve">6.8.3.1.4 et 6.8.3.1.5, 6.8.3.2.18 </w:t>
            </w:r>
            <w:r w:rsidRPr="00D900AD">
              <w:rPr>
                <w:lang w:val="fr-CH"/>
              </w:rPr>
              <w:br/>
              <w:t xml:space="preserve">à 6.8.3.2.26, 6.8.3.4.10 </w:t>
            </w:r>
            <w:r w:rsidRPr="00D900AD">
              <w:rPr>
                <w:lang w:val="fr-CH"/>
              </w:rPr>
              <w:br/>
              <w:t xml:space="preserve">à 6.8.3.4.12 </w:t>
            </w:r>
            <w:r w:rsidRPr="00D900AD">
              <w:rPr>
                <w:lang w:val="fr-CH"/>
              </w:rPr>
              <w:br/>
              <w:t xml:space="preserve">et 6.8.3.5.10 </w:t>
            </w:r>
            <w:r w:rsidRPr="00D900AD">
              <w:rPr>
                <w:lang w:val="fr-CH"/>
              </w:rPr>
              <w:br/>
              <w:t>à 6.8.3.5.13</w:t>
            </w:r>
          </w:p>
        </w:tc>
        <w:tc>
          <w:tcPr>
            <w:tcW w:w="1701" w:type="dxa"/>
            <w:vMerge w:val="restart"/>
            <w:shd w:val="clear" w:color="auto" w:fill="auto"/>
            <w:vAlign w:val="center"/>
          </w:tcPr>
          <w:p w:rsidR="0097279C" w:rsidRPr="00D900AD" w:rsidRDefault="0097279C" w:rsidP="009B0A60">
            <w:pPr>
              <w:keepNext/>
              <w:tabs>
                <w:tab w:val="left" w:pos="288"/>
                <w:tab w:val="left" w:pos="576"/>
                <w:tab w:val="left" w:pos="864"/>
                <w:tab w:val="left" w:pos="1152"/>
              </w:tabs>
              <w:spacing w:before="60" w:after="60" w:line="240" w:lineRule="auto"/>
              <w:ind w:left="101" w:right="101"/>
              <w:jc w:val="center"/>
              <w:rPr>
                <w:lang w:val="fr-CH"/>
              </w:rPr>
            </w:pPr>
            <w:r w:rsidRPr="00D900AD">
              <w:rPr>
                <w:lang w:val="fr-CH"/>
              </w:rPr>
              <w:t>Jusqu’</w:t>
            </w:r>
            <w:r w:rsidR="00D900AD" w:rsidRPr="00D900AD">
              <w:rPr>
                <w:lang w:val="fr-CH"/>
              </w:rPr>
              <w:t>à</w:t>
            </w:r>
            <w:r w:rsidRPr="00D900AD">
              <w:rPr>
                <w:lang w:val="fr-CH"/>
              </w:rPr>
              <w:t>̀ nouvel ordre</w:t>
            </w:r>
          </w:p>
        </w:tc>
        <w:tc>
          <w:tcPr>
            <w:tcW w:w="1413"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p>
        </w:tc>
      </w:tr>
      <w:tr w:rsidR="0097279C" w:rsidRPr="00D900AD" w:rsidTr="005C28C6">
        <w:tc>
          <w:tcPr>
            <w:tcW w:w="1625"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p>
        </w:tc>
        <w:tc>
          <w:tcPr>
            <w:tcW w:w="2605" w:type="dxa"/>
            <w:shd w:val="clear" w:color="auto" w:fill="auto"/>
          </w:tcPr>
          <w:p w:rsidR="0097279C" w:rsidRPr="00D900AD" w:rsidRDefault="0097279C" w:rsidP="002D27B4">
            <w:pPr>
              <w:keepNext/>
              <w:tabs>
                <w:tab w:val="left" w:pos="288"/>
                <w:tab w:val="left" w:pos="576"/>
                <w:tab w:val="left" w:pos="864"/>
                <w:tab w:val="left" w:pos="1152"/>
              </w:tabs>
              <w:spacing w:before="60" w:after="60" w:line="240" w:lineRule="auto"/>
              <w:ind w:left="101" w:right="101"/>
              <w:rPr>
                <w:b/>
                <w:i/>
                <w:lang w:val="fr-CH"/>
              </w:rPr>
            </w:pPr>
            <w:r w:rsidRPr="00D900AD">
              <w:rPr>
                <w:b/>
                <w:i/>
                <w:lang w:val="fr-CH"/>
              </w:rPr>
              <w:t xml:space="preserve">Note : </w:t>
            </w:r>
            <w:r w:rsidR="002D27B4">
              <w:rPr>
                <w:b/>
                <w:i/>
                <w:lang w:val="fr-CH"/>
              </w:rPr>
              <w:t>L</w:t>
            </w:r>
            <w:r w:rsidRPr="00D900AD">
              <w:rPr>
                <w:b/>
                <w:i/>
                <w:lang w:val="fr-CH"/>
              </w:rPr>
              <w:t>e cas échéant, cette norm</w:t>
            </w:r>
            <w:r w:rsidR="005C28C6">
              <w:rPr>
                <w:b/>
                <w:i/>
                <w:lang w:val="fr-CH"/>
              </w:rPr>
              <w:t xml:space="preserve">e peut être appliquée aux CGEM qui sont des récipients </w:t>
            </w:r>
            <w:r w:rsidRPr="00D900AD">
              <w:rPr>
                <w:b/>
                <w:i/>
                <w:lang w:val="fr-CH"/>
              </w:rPr>
              <w:t>à pression</w:t>
            </w:r>
          </w:p>
        </w:tc>
        <w:tc>
          <w:tcPr>
            <w:tcW w:w="1418"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p>
        </w:tc>
        <w:tc>
          <w:tcPr>
            <w:tcW w:w="1701" w:type="dxa"/>
            <w:vMerge/>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p>
        </w:tc>
        <w:tc>
          <w:tcPr>
            <w:tcW w:w="1413" w:type="dxa"/>
            <w:shd w:val="clear" w:color="auto" w:fill="auto"/>
          </w:tcPr>
          <w:p w:rsidR="0097279C" w:rsidRPr="00D900AD" w:rsidRDefault="0097279C" w:rsidP="009B0A60">
            <w:pPr>
              <w:keepNext/>
              <w:tabs>
                <w:tab w:val="left" w:pos="288"/>
                <w:tab w:val="left" w:pos="576"/>
                <w:tab w:val="left" w:pos="864"/>
                <w:tab w:val="left" w:pos="1152"/>
              </w:tabs>
              <w:spacing w:before="60" w:after="60" w:line="240" w:lineRule="auto"/>
              <w:ind w:left="101" w:right="101"/>
              <w:rPr>
                <w:lang w:val="fr-CH"/>
              </w:rPr>
            </w:pPr>
          </w:p>
        </w:tc>
      </w:tr>
    </w:tbl>
    <w:p w:rsidR="0097279C" w:rsidRPr="00D900AD" w:rsidRDefault="0097279C" w:rsidP="0097279C">
      <w:pPr>
        <w:pStyle w:val="SingleTxt"/>
        <w:spacing w:after="0" w:line="120" w:lineRule="exact"/>
        <w:rPr>
          <w:sz w:val="10"/>
          <w:lang w:val="fr-CH"/>
        </w:rPr>
      </w:pPr>
    </w:p>
    <w:p w:rsidR="0097279C" w:rsidRPr="00D900AD" w:rsidRDefault="0097279C" w:rsidP="0097279C">
      <w:pPr>
        <w:pStyle w:val="SingleTxt"/>
        <w:spacing w:after="0" w:line="120" w:lineRule="exact"/>
        <w:rPr>
          <w:sz w:val="10"/>
          <w:lang w:val="fr-CH"/>
        </w:rPr>
      </w:pPr>
    </w:p>
    <w:p w:rsidR="0097279C" w:rsidRPr="00D900AD" w:rsidRDefault="0097279C" w:rsidP="0097279C">
      <w:pPr>
        <w:pStyle w:val="SingleTxt"/>
        <w:spacing w:after="0" w:line="120" w:lineRule="exact"/>
        <w:rPr>
          <w:b/>
          <w:sz w:val="10"/>
          <w:lang w:val="fr-CH"/>
        </w:rPr>
      </w:pPr>
    </w:p>
    <w:p w:rsidR="00D351AD" w:rsidRPr="00D900AD" w:rsidRDefault="0097279C" w:rsidP="00972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12 </w:t>
      </w:r>
      <w:r w:rsidRPr="00D900AD">
        <w:rPr>
          <w:lang w:val="fr-CH"/>
        </w:rPr>
        <w:br/>
      </w:r>
      <w:r w:rsidR="00D351AD" w:rsidRPr="00D900AD">
        <w:rPr>
          <w:lang w:val="fr-CH"/>
        </w:rPr>
        <w:t xml:space="preserve">INF 22 (Suisse) – Définition du terme </w:t>
      </w:r>
      <w:r w:rsidRPr="00D900AD">
        <w:rPr>
          <w:lang w:val="fr-CH"/>
        </w:rPr>
        <w:t>« </w:t>
      </w:r>
      <w:r w:rsidR="00D351AD" w:rsidRPr="00D900AD">
        <w:rPr>
          <w:lang w:val="fr-CH"/>
        </w:rPr>
        <w:t>pression de fonctionnement maximale</w:t>
      </w:r>
      <w:r w:rsidRPr="00D900AD">
        <w:rPr>
          <w:lang w:val="fr-CH"/>
        </w:rPr>
        <w:t> »</w:t>
      </w:r>
      <w:r w:rsidR="00D351AD" w:rsidRPr="00D900AD">
        <w:rPr>
          <w:lang w:val="fr-CH"/>
        </w:rPr>
        <w:t xml:space="preserve"> d’une citerne</w:t>
      </w:r>
    </w:p>
    <w:p w:rsidR="0097279C" w:rsidRPr="00D900AD" w:rsidRDefault="0097279C" w:rsidP="0097279C">
      <w:pPr>
        <w:pStyle w:val="SingleTxt"/>
        <w:spacing w:after="0" w:line="120" w:lineRule="exact"/>
        <w:rPr>
          <w:sz w:val="10"/>
          <w:lang w:val="fr-CH"/>
        </w:rPr>
      </w:pP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Ce document a pour objectif de faire prendre conscience que la définition de la pression de foncti</w:t>
      </w:r>
      <w:r w:rsidR="0097279C" w:rsidRPr="00D900AD">
        <w:rPr>
          <w:lang w:val="fr-CH"/>
        </w:rPr>
        <w:t>onnement maximale au paragraphe </w:t>
      </w:r>
      <w:r w:rsidRPr="00D900AD">
        <w:rPr>
          <w:lang w:val="fr-CH"/>
        </w:rPr>
        <w:t>1.2.1 peut faire l’objet de différentes interprétations. Cela entrave notamment l’élaboration des normes au sein du Comité technique 296 du CEN.</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 xml:space="preserve">Le problème est de savoir à quel endroit de la citerne on doit relever la pression de fonctionnement maximale. Cela est particulièrement important pour les citernes traitées au paragraphe 6.8.2.1.14 a), dont la pression de calcul doit être double de la pression statique de la </w:t>
      </w:r>
      <w:r w:rsidR="00D900AD" w:rsidRPr="00D900AD">
        <w:rPr>
          <w:lang w:val="fr-CH"/>
        </w:rPr>
        <w:t>matière</w:t>
      </w:r>
      <w:r w:rsidRPr="00D900AD">
        <w:rPr>
          <w:lang w:val="fr-CH"/>
        </w:rPr>
        <w:t xml:space="preserve"> à transporter, sans </w:t>
      </w:r>
      <w:r w:rsidR="00D900AD">
        <w:rPr>
          <w:lang w:val="fr-CH"/>
        </w:rPr>
        <w:t>ê</w:t>
      </w:r>
      <w:r w:rsidR="00D900AD" w:rsidRPr="00D900AD">
        <w:rPr>
          <w:lang w:val="fr-CH"/>
        </w:rPr>
        <w:t>tre</w:t>
      </w:r>
      <w:r w:rsidRPr="00D900AD">
        <w:rPr>
          <w:lang w:val="fr-CH"/>
        </w:rPr>
        <w:t xml:space="preserve"> </w:t>
      </w:r>
      <w:r w:rsidR="00D900AD" w:rsidRPr="00D900AD">
        <w:rPr>
          <w:lang w:val="fr-CH"/>
        </w:rPr>
        <w:t>inférieure</w:t>
      </w:r>
      <w:r w:rsidRPr="00D900AD">
        <w:rPr>
          <w:lang w:val="fr-CH"/>
        </w:rPr>
        <w:t xml:space="preserve"> au double de la pression statique de l’eau, car la pression au point le plus bas de la citerne, en raison du poids de la matière transportée, est nettement plus importante que la pression d’ouverture du reniflard.</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Plusieurs experts ont salué la proposition de la Suisse de relever la pression de fonctionnement au sommet du réservoir dans l’espace de tête, mais ont souligné qu’un soin extrême devait être pris lors de la modification du libellé de la définition en raison d’éventuelles conséquences involontaires.</w:t>
      </w:r>
    </w:p>
    <w:p w:rsidR="00D351AD" w:rsidRPr="00D900AD" w:rsidRDefault="00D351AD" w:rsidP="0097279C">
      <w:pPr>
        <w:pStyle w:val="SingleTxt"/>
        <w:numPr>
          <w:ilvl w:val="0"/>
          <w:numId w:val="6"/>
        </w:numPr>
        <w:tabs>
          <w:tab w:val="clear" w:pos="475"/>
          <w:tab w:val="num" w:pos="1742"/>
        </w:tabs>
        <w:ind w:left="1267"/>
        <w:rPr>
          <w:b/>
          <w:lang w:val="fr-CH"/>
        </w:rPr>
      </w:pPr>
      <w:r w:rsidRPr="00D900AD">
        <w:rPr>
          <w:lang w:val="fr-CH"/>
        </w:rPr>
        <w:t xml:space="preserve">Il a été impossible de parvenir à une conclusion au cours de cette session sur la base du document informel. La Suisse est invitée à poursuivre l’élaboration de la proposition en tenant compte des débats, et l’Allemagne et le Royaume-Uni ont accepté de fournir des contributions écrites en temps utile pour la prochaine réunion. </w:t>
      </w:r>
    </w:p>
    <w:p w:rsidR="0097279C" w:rsidRPr="00D900AD" w:rsidRDefault="0097279C" w:rsidP="0097279C">
      <w:pPr>
        <w:pStyle w:val="SingleTxt"/>
        <w:spacing w:after="0" w:line="120" w:lineRule="exact"/>
        <w:rPr>
          <w:b/>
          <w:sz w:val="10"/>
          <w:lang w:val="fr-CH"/>
        </w:rPr>
      </w:pPr>
    </w:p>
    <w:p w:rsidR="00D351AD" w:rsidRPr="00D900AD" w:rsidRDefault="0097279C" w:rsidP="00972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lastRenderedPageBreak/>
        <w:tab/>
      </w:r>
      <w:r w:rsidRPr="00D900AD">
        <w:rPr>
          <w:lang w:val="fr-CH"/>
        </w:rPr>
        <w:tab/>
        <w:t xml:space="preserve">Point 13 </w:t>
      </w:r>
      <w:r w:rsidRPr="00D900AD">
        <w:rPr>
          <w:lang w:val="fr-CH"/>
        </w:rPr>
        <w:br/>
      </w:r>
      <w:r w:rsidR="00D351AD" w:rsidRPr="00D900AD">
        <w:rPr>
          <w:lang w:val="fr-CH"/>
        </w:rPr>
        <w:t>INF 23 (France) – Appli</w:t>
      </w:r>
      <w:r w:rsidRPr="00D900AD">
        <w:rPr>
          <w:lang w:val="fr-CH"/>
        </w:rPr>
        <w:t>cation du paragraphe 6.8.3.2.17 :</w:t>
      </w:r>
      <w:r w:rsidR="00D351AD" w:rsidRPr="00D900AD">
        <w:rPr>
          <w:lang w:val="fr-CH"/>
        </w:rPr>
        <w:t xml:space="preserve"> Ouverture </w:t>
      </w:r>
      <w:r w:rsidRPr="00D900AD">
        <w:rPr>
          <w:lang w:val="fr-CH"/>
        </w:rPr>
        <w:br/>
      </w:r>
      <w:r w:rsidR="00D351AD" w:rsidRPr="00D900AD">
        <w:rPr>
          <w:lang w:val="fr-CH"/>
        </w:rPr>
        <w:t xml:space="preserve">pour l’inspection des réservoirs destinés au transport </w:t>
      </w:r>
      <w:r w:rsidRPr="00D900AD">
        <w:rPr>
          <w:lang w:val="fr-CH"/>
        </w:rPr>
        <w:br/>
      </w:r>
      <w:r w:rsidR="00D351AD" w:rsidRPr="00D900AD">
        <w:rPr>
          <w:lang w:val="fr-CH"/>
        </w:rPr>
        <w:t xml:space="preserve">de gaz liquéfiés réfrigérés </w:t>
      </w:r>
    </w:p>
    <w:p w:rsidR="0097279C" w:rsidRPr="00D900AD" w:rsidRDefault="0097279C" w:rsidP="0097279C">
      <w:pPr>
        <w:pStyle w:val="SingleTxt"/>
        <w:spacing w:after="0" w:line="120" w:lineRule="exact"/>
        <w:rPr>
          <w:sz w:val="10"/>
          <w:lang w:val="fr-CH"/>
        </w:rPr>
      </w:pP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La France a demandé comment les autres pays interprétaient le paragraphe 6.8.3.2.17 en matière de citernes non isolées sous vide destinées au transport de gaz liquéfiés réfrigérés.</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Il a été confirmé par plusieurs experts que le paragraphe 6.8.3.2.17 devait être lu en combinaison avec les paragraphes 6.8.3.4.7 et 6.8.3</w:t>
      </w:r>
      <w:r w:rsidR="0097279C" w:rsidRPr="00D900AD">
        <w:rPr>
          <w:lang w:val="fr-CH"/>
        </w:rPr>
        <w:t>.4.8. Le paragraphe </w:t>
      </w:r>
      <w:r w:rsidRPr="00D900AD">
        <w:rPr>
          <w:lang w:val="fr-CH"/>
        </w:rPr>
        <w:t>6.8.3.2.17 dispose qu’une ouverture pour l’inspection n’est pas exigée pour les citernes destinées au transport de gaz réfrigérés, que celles-ci soient ou non isolées sous vide. À cet égard, le paragraphe 6.8.3.4.8 formule les prescriptions pour la fermeture du réservoir après qu’une ouverture a été pratiquée en vue d’une inspection interne. Le paragraphe</w:t>
      </w:r>
      <w:r w:rsidR="0097279C" w:rsidRPr="00D900AD">
        <w:rPr>
          <w:lang w:val="fr-CH"/>
        </w:rPr>
        <w:t> </w:t>
      </w:r>
      <w:r w:rsidRPr="00D900AD">
        <w:rPr>
          <w:lang w:val="fr-CH"/>
        </w:rPr>
        <w:t>6.8.3.4.7 permet de remplacer l’inspection interne par d’autres essais qui rendent inutile de pratiquer une ouverture dans un réservoir isolé sous vide.</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La conclusion est que pour les citernes non isolées sous vide, il n’est pas nécessaire qu’une ouverture d’inspection soit comprise dans la conception du réservoir, mais qu’une ouverture doit être pratiquée lors d’une inspection interne. Cette ouverture doit être refermée, par exemple par soudage d’une plaque.</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La pratique actuelle est cependant que les citernes non isolées sous vide, qui sont principalement destinées au transport de dioxyde de carbone, sont munies d’une ouverture d’inspection afin d’éviter des procédures coûteuses et complexes à utiliser.</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Étant donné qu’il relève du choix de l’utilisateur ou du fabricant d’une citerne destinée au transport de gaz réfrigérés de la munir ou non d’une ouverture d’inspection comprise dans la conception d’origine, et dans la négative de devoir pratiquer une ouverture dans la citerne lorsqu’une inspection interne est nécessaire, aucun changement n’a été jugé nécessaire.</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 xml:space="preserve">À la suite des débats, il a été estimé que le libellé des paragraphes 6.8.3.2.17, 6.8.3.4.7 et 6.8.3.4.8 pourrait bénéficier d’une révision. </w:t>
      </w:r>
    </w:p>
    <w:p w:rsidR="0097279C" w:rsidRPr="00D900AD" w:rsidRDefault="0097279C" w:rsidP="0097279C">
      <w:pPr>
        <w:pStyle w:val="SingleTxt"/>
        <w:spacing w:after="0" w:line="120" w:lineRule="exact"/>
        <w:rPr>
          <w:b/>
          <w:sz w:val="10"/>
          <w:lang w:val="fr-CH"/>
        </w:rPr>
      </w:pPr>
    </w:p>
    <w:p w:rsidR="00D351AD" w:rsidRPr="00D900AD" w:rsidRDefault="0097279C" w:rsidP="00972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Point 14 </w:t>
      </w:r>
      <w:r w:rsidRPr="00D900AD">
        <w:rPr>
          <w:lang w:val="fr-CH"/>
        </w:rPr>
        <w:br/>
        <w:t>I</w:t>
      </w:r>
      <w:r w:rsidR="00D351AD" w:rsidRPr="00D900AD">
        <w:rPr>
          <w:lang w:val="fr-CH"/>
        </w:rPr>
        <w:t>NF 24 (CEN) – Information concernant la révision de la norme EN 14025 relative à la conception et la construction des citernes métalliques</w:t>
      </w:r>
    </w:p>
    <w:p w:rsidR="0097279C" w:rsidRPr="00D900AD" w:rsidRDefault="0097279C" w:rsidP="0097279C">
      <w:pPr>
        <w:pStyle w:val="SingleTxt"/>
        <w:spacing w:after="0" w:line="120" w:lineRule="exact"/>
        <w:rPr>
          <w:b/>
          <w:sz w:val="10"/>
          <w:lang w:val="fr-CH"/>
        </w:rPr>
      </w:pP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 xml:space="preserve">Selon des renseignements provenant du CEN, la norme EN 14025 était en cours de révision afin d’y intégrer des prescriptions relatives à la </w:t>
      </w:r>
      <w:r w:rsidR="0097279C" w:rsidRPr="00D900AD">
        <w:rPr>
          <w:lang w:val="fr-CH"/>
        </w:rPr>
        <w:t>« </w:t>
      </w:r>
      <w:r w:rsidRPr="00D900AD">
        <w:rPr>
          <w:lang w:val="fr-CH"/>
        </w:rPr>
        <w:t>résistance au choc de la pression engendrée par une explosion » dans la conception des citernes. Le projet sera bientôt diffusé en vue d’un vote officiel.</w:t>
      </w: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L’UIP a exprimé sa préoccupation au sujet du calcul de B3, qui est différent de celui utilisé dans le rapport d’enquête allemand du TRT6 et de l’Institut fédéral pour la recherche et les essais des matériaux (</w:t>
      </w:r>
      <w:proofErr w:type="spellStart"/>
      <w:r w:rsidRPr="00D900AD">
        <w:rPr>
          <w:lang w:val="fr-CH"/>
        </w:rPr>
        <w:t>Bundesanstalt</w:t>
      </w:r>
      <w:proofErr w:type="spellEnd"/>
      <w:r w:rsidRPr="00D900AD">
        <w:rPr>
          <w:lang w:val="fr-CH"/>
        </w:rPr>
        <w:t xml:space="preserve"> </w:t>
      </w:r>
      <w:proofErr w:type="spellStart"/>
      <w:r w:rsidRPr="00D900AD">
        <w:rPr>
          <w:lang w:val="fr-CH"/>
        </w:rPr>
        <w:t>für</w:t>
      </w:r>
      <w:proofErr w:type="spellEnd"/>
      <w:r w:rsidRPr="00D900AD">
        <w:rPr>
          <w:lang w:val="fr-CH"/>
        </w:rPr>
        <w:t xml:space="preserve"> </w:t>
      </w:r>
      <w:proofErr w:type="spellStart"/>
      <w:r w:rsidRPr="00D900AD">
        <w:rPr>
          <w:lang w:val="fr-CH"/>
        </w:rPr>
        <w:t>Materialforschung</w:t>
      </w:r>
      <w:proofErr w:type="spellEnd"/>
      <w:r w:rsidRPr="00D900AD">
        <w:rPr>
          <w:lang w:val="fr-CH"/>
        </w:rPr>
        <w:t xml:space="preserve"> </w:t>
      </w:r>
      <w:proofErr w:type="spellStart"/>
      <w:r w:rsidRPr="00D900AD">
        <w:rPr>
          <w:lang w:val="fr-CH"/>
        </w:rPr>
        <w:t>und</w:t>
      </w:r>
      <w:proofErr w:type="spellEnd"/>
      <w:r w:rsidRPr="00D900AD">
        <w:rPr>
          <w:lang w:val="fr-CH"/>
        </w:rPr>
        <w:t xml:space="preserve"> </w:t>
      </w:r>
      <w:r w:rsidR="0097279C" w:rsidRPr="00D900AD">
        <w:rPr>
          <w:lang w:val="fr-CH"/>
        </w:rPr>
        <w:t>–</w:t>
      </w:r>
      <w:proofErr w:type="spellStart"/>
      <w:r w:rsidRPr="00D900AD">
        <w:rPr>
          <w:lang w:val="fr-CH"/>
        </w:rPr>
        <w:t>prüfung</w:t>
      </w:r>
      <w:proofErr w:type="spellEnd"/>
      <w:r w:rsidRPr="00D900AD">
        <w:rPr>
          <w:lang w:val="fr-CH"/>
        </w:rPr>
        <w:t xml:space="preserve">, BAM) et cela devrait être porté à l’attention du groupe de travail pertinent du CEN et du Groupe de travail sur les normes. </w:t>
      </w:r>
    </w:p>
    <w:p w:rsidR="0097279C" w:rsidRPr="00D900AD" w:rsidRDefault="0097279C" w:rsidP="0097279C">
      <w:pPr>
        <w:pStyle w:val="SingleTxt"/>
        <w:spacing w:after="0" w:line="120" w:lineRule="exact"/>
        <w:rPr>
          <w:b/>
          <w:sz w:val="10"/>
          <w:lang w:val="fr-CH"/>
        </w:rPr>
      </w:pPr>
    </w:p>
    <w:p w:rsidR="00D351AD" w:rsidRPr="00D900AD" w:rsidRDefault="0097279C" w:rsidP="009727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00AD">
        <w:rPr>
          <w:lang w:val="fr-CH"/>
        </w:rPr>
        <w:tab/>
      </w:r>
      <w:r w:rsidRPr="00D900AD">
        <w:rPr>
          <w:lang w:val="fr-CH"/>
        </w:rPr>
        <w:tab/>
        <w:t xml:space="preserve">Item 15 </w:t>
      </w:r>
      <w:r w:rsidRPr="00D900AD">
        <w:rPr>
          <w:lang w:val="fr-CH"/>
        </w:rPr>
        <w:br/>
      </w:r>
      <w:r w:rsidR="00D351AD" w:rsidRPr="00D900AD">
        <w:rPr>
          <w:lang w:val="fr-CH"/>
        </w:rPr>
        <w:t>INF 29 (</w:t>
      </w:r>
      <w:r w:rsidR="003815D3" w:rsidRPr="00D900AD">
        <w:rPr>
          <w:lang w:val="fr-CH"/>
        </w:rPr>
        <w:t>Royaume-Uni</w:t>
      </w:r>
      <w:r w:rsidR="00D351AD" w:rsidRPr="00D900AD">
        <w:rPr>
          <w:lang w:val="fr-CH"/>
        </w:rPr>
        <w:t>) – Citernes</w:t>
      </w:r>
      <w:r w:rsidR="00D900AD">
        <w:rPr>
          <w:lang w:val="fr-CH"/>
        </w:rPr>
        <w:t> :</w:t>
      </w:r>
      <w:r w:rsidR="00D351AD" w:rsidRPr="00D900AD">
        <w:rPr>
          <w:lang w:val="fr-CH"/>
        </w:rPr>
        <w:t xml:space="preserve"> Épreuves de pression utilisant des gaz </w:t>
      </w:r>
    </w:p>
    <w:p w:rsidR="0097279C" w:rsidRPr="00D900AD" w:rsidRDefault="0097279C" w:rsidP="0097279C">
      <w:pPr>
        <w:pStyle w:val="SingleTxt"/>
        <w:spacing w:after="0" w:line="120" w:lineRule="exact"/>
        <w:rPr>
          <w:b/>
          <w:sz w:val="10"/>
          <w:lang w:val="fr-CH"/>
        </w:rPr>
      </w:pPr>
    </w:p>
    <w:p w:rsidR="00D351AD" w:rsidRPr="00D900AD" w:rsidRDefault="00D351AD" w:rsidP="0097279C">
      <w:pPr>
        <w:pStyle w:val="SingleTxt"/>
        <w:numPr>
          <w:ilvl w:val="0"/>
          <w:numId w:val="6"/>
        </w:numPr>
        <w:tabs>
          <w:tab w:val="clear" w:pos="475"/>
          <w:tab w:val="num" w:pos="1742"/>
        </w:tabs>
        <w:ind w:left="1267"/>
        <w:rPr>
          <w:lang w:val="fr-CH"/>
        </w:rPr>
      </w:pPr>
      <w:r w:rsidRPr="00D900AD">
        <w:rPr>
          <w:lang w:val="fr-CH"/>
        </w:rPr>
        <w:t xml:space="preserve">Pour donner suite à des débats tenus au sein du groupe de travail 5 du Comité technique 296 du CEN réuni en juin 2015 à Berlin, le Royaume-Uni a proposé dans ce document informel de présenter une proposition officielle pour la session de mars 2016 en vue de débattre des épreuves de pression utilisant des gaz. </w:t>
      </w:r>
    </w:p>
    <w:p w:rsidR="00BC7300" w:rsidRPr="00D900AD" w:rsidRDefault="00D351AD" w:rsidP="00D351AD">
      <w:pPr>
        <w:pStyle w:val="SingleTxt"/>
        <w:spacing w:after="0" w:line="240" w:lineRule="auto"/>
        <w:rPr>
          <w:lang w:val="fr-CH"/>
        </w:rPr>
      </w:pPr>
      <w:r w:rsidRPr="00D900AD">
        <w:rPr>
          <w:noProof/>
          <w:w w:val="100"/>
          <w:lang w:val="en-GB" w:eastAsia="en-GB"/>
        </w:rPr>
        <mc:AlternateContent>
          <mc:Choice Requires="wps">
            <w:drawing>
              <wp:anchor distT="0" distB="0" distL="114300" distR="114300" simplePos="0" relativeHeight="251659264" behindDoc="0" locked="0" layoutInCell="1" allowOverlap="1" wp14:anchorId="70D7AAF1" wp14:editId="1CC5C53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C7300" w:rsidRPr="00D900AD" w:rsidSect="00BC730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2T08:34:00Z" w:initials="Start">
    <w:p w:rsidR="009B0A60" w:rsidRPr="00A9237F" w:rsidRDefault="009B0A60">
      <w:pPr>
        <w:pStyle w:val="CommentText"/>
        <w:rPr>
          <w:lang w:val="en-GB"/>
        </w:rPr>
      </w:pPr>
      <w:r>
        <w:fldChar w:fldCharType="begin"/>
      </w:r>
      <w:r w:rsidRPr="00A9237F">
        <w:rPr>
          <w:rStyle w:val="CommentReference"/>
          <w:lang w:val="en-GB"/>
        </w:rPr>
        <w:instrText xml:space="preserve"> </w:instrText>
      </w:r>
      <w:r w:rsidRPr="00A9237F">
        <w:rPr>
          <w:lang w:val="en-GB"/>
        </w:rPr>
        <w:instrText>PAGE \# "'Page: '#'</w:instrText>
      </w:r>
      <w:r w:rsidRPr="00A9237F">
        <w:rPr>
          <w:lang w:val="en-GB"/>
        </w:rPr>
        <w:br/>
        <w:instrText>'"</w:instrText>
      </w:r>
      <w:r w:rsidRPr="00A9237F">
        <w:rPr>
          <w:rStyle w:val="CommentReference"/>
          <w:lang w:val="en-GB"/>
        </w:rPr>
        <w:instrText xml:space="preserve"> </w:instrText>
      </w:r>
      <w:r>
        <w:fldChar w:fldCharType="end"/>
      </w:r>
      <w:r>
        <w:rPr>
          <w:rStyle w:val="CommentReference"/>
        </w:rPr>
        <w:annotationRef/>
      </w:r>
      <w:r w:rsidRPr="00A9237F">
        <w:rPr>
          <w:lang w:val="en-GB"/>
        </w:rPr>
        <w:t>&lt;&lt;ODS JOB NO&gt;&gt;N1525017F&lt;&lt;ODS JOB NO&gt;&gt;</w:t>
      </w:r>
    </w:p>
    <w:p w:rsidR="009B0A60" w:rsidRDefault="009B0A60">
      <w:pPr>
        <w:pStyle w:val="CommentText"/>
      </w:pPr>
      <w:r>
        <w:t>&lt;&lt;ODS DOC SYMBOL1&gt;&gt;ECE/TRANS/WP.15/AC.1/140/Add.2&lt;&lt;ODS DOC SYMBOL1&gt;&gt;</w:t>
      </w:r>
    </w:p>
    <w:p w:rsidR="009B0A60" w:rsidRDefault="009B0A6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60" w:rsidRDefault="009B0A60" w:rsidP="00F3330B">
      <w:pPr>
        <w:spacing w:line="240" w:lineRule="auto"/>
      </w:pPr>
      <w:r>
        <w:separator/>
      </w:r>
    </w:p>
  </w:endnote>
  <w:endnote w:type="continuationSeparator" w:id="0">
    <w:p w:rsidR="009B0A60" w:rsidRDefault="009B0A6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0A60" w:rsidTr="00BC7300">
      <w:trPr>
        <w:jc w:val="center"/>
      </w:trPr>
      <w:tc>
        <w:tcPr>
          <w:tcW w:w="5126" w:type="dxa"/>
          <w:shd w:val="clear" w:color="auto" w:fill="auto"/>
        </w:tcPr>
        <w:p w:rsidR="009B0A60" w:rsidRPr="00BC7300" w:rsidRDefault="009B0A60" w:rsidP="00BC73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7B85">
            <w:rPr>
              <w:b w:val="0"/>
              <w:w w:val="103"/>
              <w:sz w:val="14"/>
            </w:rPr>
            <w:t>GE.15-19030</w:t>
          </w:r>
          <w:r>
            <w:rPr>
              <w:b w:val="0"/>
              <w:w w:val="103"/>
              <w:sz w:val="14"/>
            </w:rPr>
            <w:fldChar w:fldCharType="end"/>
          </w:r>
        </w:p>
      </w:tc>
      <w:tc>
        <w:tcPr>
          <w:tcW w:w="5127" w:type="dxa"/>
          <w:shd w:val="clear" w:color="auto" w:fill="auto"/>
        </w:tcPr>
        <w:p w:rsidR="009B0A60" w:rsidRPr="00BC7300" w:rsidRDefault="009B0A60" w:rsidP="00BC7300">
          <w:pPr>
            <w:pStyle w:val="Footer"/>
            <w:rPr>
              <w:w w:val="103"/>
            </w:rPr>
          </w:pPr>
          <w:r>
            <w:rPr>
              <w:w w:val="103"/>
            </w:rPr>
            <w:fldChar w:fldCharType="begin"/>
          </w:r>
          <w:r>
            <w:rPr>
              <w:w w:val="103"/>
            </w:rPr>
            <w:instrText xml:space="preserve"> PAGE  \* Arabic  \* MERGEFORMAT </w:instrText>
          </w:r>
          <w:r>
            <w:rPr>
              <w:w w:val="103"/>
            </w:rPr>
            <w:fldChar w:fldCharType="separate"/>
          </w:r>
          <w:r w:rsidR="00497B85">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97B85">
            <w:rPr>
              <w:noProof/>
              <w:w w:val="103"/>
            </w:rPr>
            <w:t>11</w:t>
          </w:r>
          <w:r>
            <w:rPr>
              <w:w w:val="103"/>
            </w:rPr>
            <w:fldChar w:fldCharType="end"/>
          </w:r>
        </w:p>
      </w:tc>
    </w:tr>
  </w:tbl>
  <w:p w:rsidR="009B0A60" w:rsidRPr="00BC7300" w:rsidRDefault="009B0A60" w:rsidP="00BC7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0A60" w:rsidTr="00BC7300">
      <w:trPr>
        <w:jc w:val="center"/>
      </w:trPr>
      <w:tc>
        <w:tcPr>
          <w:tcW w:w="5126" w:type="dxa"/>
          <w:shd w:val="clear" w:color="auto" w:fill="auto"/>
        </w:tcPr>
        <w:p w:rsidR="009B0A60" w:rsidRPr="00BC7300" w:rsidRDefault="009B0A60" w:rsidP="00BC730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97B85">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97B85">
            <w:rPr>
              <w:noProof/>
              <w:w w:val="103"/>
            </w:rPr>
            <w:t>11</w:t>
          </w:r>
          <w:r>
            <w:rPr>
              <w:w w:val="103"/>
            </w:rPr>
            <w:fldChar w:fldCharType="end"/>
          </w:r>
        </w:p>
      </w:tc>
      <w:tc>
        <w:tcPr>
          <w:tcW w:w="5127" w:type="dxa"/>
          <w:shd w:val="clear" w:color="auto" w:fill="auto"/>
        </w:tcPr>
        <w:p w:rsidR="009B0A60" w:rsidRPr="00BC7300" w:rsidRDefault="009B0A60" w:rsidP="00BC73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7B85">
            <w:rPr>
              <w:b w:val="0"/>
              <w:w w:val="103"/>
              <w:sz w:val="14"/>
            </w:rPr>
            <w:t>GE.15-19030</w:t>
          </w:r>
          <w:r>
            <w:rPr>
              <w:b w:val="0"/>
              <w:w w:val="103"/>
              <w:sz w:val="14"/>
            </w:rPr>
            <w:fldChar w:fldCharType="end"/>
          </w:r>
        </w:p>
      </w:tc>
    </w:tr>
  </w:tbl>
  <w:p w:rsidR="009B0A60" w:rsidRPr="00BC7300" w:rsidRDefault="009B0A60" w:rsidP="00BC7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60" w:rsidRDefault="009B0A60">
    <w:pPr>
      <w:pStyle w:val="Footer"/>
    </w:pPr>
    <w:r>
      <w:rPr>
        <w:noProof/>
        <w:lang w:val="en-GB" w:eastAsia="en-GB"/>
      </w:rPr>
      <w:drawing>
        <wp:anchor distT="0" distB="0" distL="114300" distR="114300" simplePos="0" relativeHeight="251658240" behindDoc="0" locked="0" layoutInCell="1" allowOverlap="1" wp14:anchorId="2C0CD4BB" wp14:editId="0349D1B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140/Ad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140/Ad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B0A60" w:rsidTr="00BC7300">
      <w:tc>
        <w:tcPr>
          <w:tcW w:w="3859" w:type="dxa"/>
        </w:tcPr>
        <w:p w:rsidR="009B0A60" w:rsidRDefault="009B0A60" w:rsidP="00BC73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97B85">
            <w:rPr>
              <w:b w:val="0"/>
              <w:sz w:val="20"/>
            </w:rPr>
            <w:t>GE.15-19030 (F)</w:t>
          </w:r>
          <w:r>
            <w:rPr>
              <w:b w:val="0"/>
              <w:sz w:val="20"/>
            </w:rPr>
            <w:fldChar w:fldCharType="end"/>
          </w:r>
          <w:r>
            <w:rPr>
              <w:b w:val="0"/>
              <w:sz w:val="20"/>
            </w:rPr>
            <w:t xml:space="preserve">    011215    021215</w:t>
          </w:r>
        </w:p>
        <w:p w:rsidR="009B0A60" w:rsidRPr="00BC7300" w:rsidRDefault="009B0A60" w:rsidP="00BC73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97B85">
            <w:rPr>
              <w:rFonts w:ascii="Barcode 3 of 9 by request" w:hAnsi="Barcode 3 of 9 by request"/>
              <w:b w:val="0"/>
              <w:spacing w:val="0"/>
              <w:w w:val="100"/>
              <w:sz w:val="24"/>
            </w:rPr>
            <w:t>*1519030*</w:t>
          </w:r>
          <w:r>
            <w:rPr>
              <w:rFonts w:ascii="Barcode 3 of 9 by request" w:hAnsi="Barcode 3 of 9 by request"/>
              <w:b w:val="0"/>
              <w:spacing w:val="0"/>
              <w:w w:val="100"/>
              <w:sz w:val="24"/>
            </w:rPr>
            <w:fldChar w:fldCharType="end"/>
          </w:r>
        </w:p>
      </w:tc>
      <w:tc>
        <w:tcPr>
          <w:tcW w:w="5127" w:type="dxa"/>
        </w:tcPr>
        <w:p w:rsidR="009B0A60" w:rsidRDefault="009B0A60" w:rsidP="00BC7300">
          <w:pPr>
            <w:pStyle w:val="Footer"/>
            <w:spacing w:line="240" w:lineRule="atLeast"/>
            <w:jc w:val="right"/>
            <w:rPr>
              <w:b w:val="0"/>
              <w:sz w:val="20"/>
            </w:rPr>
          </w:pPr>
          <w:r>
            <w:rPr>
              <w:b w:val="0"/>
              <w:noProof/>
              <w:sz w:val="20"/>
              <w:lang w:val="en-GB" w:eastAsia="en-GB"/>
            </w:rPr>
            <w:drawing>
              <wp:inline distT="0" distB="0" distL="0" distR="0" wp14:anchorId="41FF33C5" wp14:editId="7671E1A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B0A60" w:rsidRPr="00BC7300" w:rsidRDefault="009B0A60" w:rsidP="00BC730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60" w:rsidRPr="009E12D9" w:rsidRDefault="009B0A60" w:rsidP="009E12D9">
      <w:pPr>
        <w:pStyle w:val="Footer"/>
        <w:spacing w:after="80"/>
        <w:ind w:left="792"/>
        <w:rPr>
          <w:sz w:val="16"/>
        </w:rPr>
      </w:pPr>
      <w:r w:rsidRPr="009E12D9">
        <w:rPr>
          <w:sz w:val="16"/>
        </w:rPr>
        <w:t>__________________</w:t>
      </w:r>
    </w:p>
  </w:footnote>
  <w:footnote w:type="continuationSeparator" w:id="0">
    <w:p w:rsidR="009B0A60" w:rsidRPr="009E12D9" w:rsidRDefault="009B0A60" w:rsidP="009E12D9">
      <w:pPr>
        <w:pStyle w:val="Footer"/>
        <w:spacing w:after="80"/>
        <w:ind w:left="792"/>
        <w:rPr>
          <w:sz w:val="16"/>
        </w:rPr>
      </w:pPr>
      <w:r w:rsidRPr="009E12D9">
        <w:rPr>
          <w:sz w:val="16"/>
        </w:rPr>
        <w:t>__________________</w:t>
      </w:r>
    </w:p>
  </w:footnote>
  <w:footnote w:id="1">
    <w:p w:rsidR="009B0A60" w:rsidRPr="009E12D9" w:rsidRDefault="009B0A60" w:rsidP="009E12D9">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DD0372">
        <w:t>Diffusé par l’Organisation intergouvernementale pour les transports internationaux ferroviaires (OTIF) sous la cote OTIF/RID/RC/201</w:t>
      </w:r>
      <w:r w:rsidRPr="00A9237F">
        <w:rPr>
          <w:lang w:val="fr-CH"/>
        </w:rPr>
        <w:t>5</w:t>
      </w:r>
      <w:r w:rsidRPr="00DD0372">
        <w:t xml:space="preserve">-B. </w:t>
      </w:r>
      <w:r w:rsidRPr="00DD0372">
        <w:rPr>
          <w:lang w:val="fr-FR"/>
        </w:rPr>
        <w:t xml:space="preserve">Sauf indication contraire, les autres documents visés dans le présent rapport sous la cote </w:t>
      </w:r>
      <w:r>
        <w:t>ECE/TRANS/WP.15/AC.1/</w:t>
      </w:r>
      <w:r w:rsidRPr="00DD0372">
        <w:t xml:space="preserve"> </w:t>
      </w:r>
      <w:r w:rsidRPr="00DD0372">
        <w:rPr>
          <w:lang w:val="fr-FR"/>
        </w:rPr>
        <w:t xml:space="preserve">suivie de l’année et d’un numéro </w:t>
      </w:r>
      <w:r>
        <w:rPr>
          <w:lang w:val="fr-FR"/>
        </w:rPr>
        <w:br/>
      </w:r>
      <w:r w:rsidRPr="00DD0372">
        <w:rPr>
          <w:lang w:val="fr-FR"/>
        </w:rPr>
        <w:t xml:space="preserve">de série ont été diffusés par l’OTIF sous la cote </w:t>
      </w:r>
      <w:r w:rsidRPr="00DD0372">
        <w:t xml:space="preserve">OTIF/RID/RC/ </w:t>
      </w:r>
      <w:r w:rsidRPr="00DD0372">
        <w:rPr>
          <w:lang w:val="fr-FR"/>
        </w:rPr>
        <w:t>suivie de l’année et du même numéro de série</w:t>
      </w:r>
      <w:r>
        <w:rPr>
          <w:lang w:val="fr-FR"/>
        </w:rPr>
        <w:t>.</w:t>
      </w:r>
    </w:p>
  </w:footnote>
  <w:footnote w:id="2">
    <w:p w:rsidR="009B0A60" w:rsidRPr="00DD0372" w:rsidRDefault="009B0A60" w:rsidP="009E12D9">
      <w:pPr>
        <w:pStyle w:val="FootnoteText"/>
        <w:tabs>
          <w:tab w:val="right" w:pos="1195"/>
          <w:tab w:val="left" w:pos="1267"/>
          <w:tab w:val="left" w:pos="1742"/>
          <w:tab w:val="left" w:pos="2218"/>
          <w:tab w:val="left" w:pos="2693"/>
        </w:tabs>
        <w:spacing w:before="2"/>
        <w:ind w:left="1267" w:right="1260" w:hanging="432"/>
      </w:pPr>
      <w:r>
        <w:tab/>
      </w:r>
      <w:r w:rsidRPr="00DD0372">
        <w:rPr>
          <w:rStyle w:val="FootnoteReference"/>
          <w:spacing w:val="4"/>
        </w:rPr>
        <w:footnoteRef/>
      </w:r>
      <w:r>
        <w:t xml:space="preserve"> </w:t>
      </w:r>
      <w:r>
        <w:tab/>
      </w:r>
      <w:r w:rsidRPr="00DD0372">
        <w:t>Diffusé par l’OTIF sous la cote OTIF/RID/RC/201</w:t>
      </w:r>
      <w:r w:rsidRPr="00A9237F">
        <w:rPr>
          <w:lang w:val="fr-CH"/>
        </w:rPr>
        <w:t>5</w:t>
      </w:r>
      <w:r w:rsidRPr="00DD0372">
        <w:t>-B/</w:t>
      </w:r>
      <w:proofErr w:type="spellStart"/>
      <w:r w:rsidRPr="00DD0372">
        <w:t>Add</w:t>
      </w:r>
      <w:proofErr w:type="spellEnd"/>
      <w:r w:rsidRPr="00DD0372">
        <w:t>.</w:t>
      </w:r>
      <w:r w:rsidRPr="00A9237F">
        <w:rPr>
          <w:lang w:val="fr-CH"/>
        </w:rPr>
        <w:t>2</w:t>
      </w:r>
      <w:r w:rsidRPr="00DD03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B0A60" w:rsidRPr="00A9237F" w:rsidTr="00BC7300">
      <w:trPr>
        <w:trHeight w:hRule="exact" w:val="864"/>
        <w:jc w:val="center"/>
      </w:trPr>
      <w:tc>
        <w:tcPr>
          <w:tcW w:w="4882" w:type="dxa"/>
          <w:shd w:val="clear" w:color="auto" w:fill="auto"/>
          <w:vAlign w:val="bottom"/>
        </w:tcPr>
        <w:p w:rsidR="009B0A60" w:rsidRPr="00BC7300" w:rsidRDefault="009B0A60" w:rsidP="00BC730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97B85">
            <w:rPr>
              <w:b/>
              <w:color w:val="000000"/>
            </w:rPr>
            <w:t>ECE/TRANS/WP.15/AC.1/140/Add.2</w:t>
          </w:r>
          <w:r>
            <w:rPr>
              <w:b/>
              <w:color w:val="000000"/>
            </w:rPr>
            <w:fldChar w:fldCharType="end"/>
          </w:r>
        </w:p>
      </w:tc>
      <w:tc>
        <w:tcPr>
          <w:tcW w:w="5127" w:type="dxa"/>
          <w:shd w:val="clear" w:color="auto" w:fill="auto"/>
          <w:vAlign w:val="bottom"/>
        </w:tcPr>
        <w:p w:rsidR="009B0A60" w:rsidRDefault="009B0A60" w:rsidP="00BC7300">
          <w:pPr>
            <w:pStyle w:val="Header"/>
          </w:pPr>
        </w:p>
      </w:tc>
    </w:tr>
  </w:tbl>
  <w:p w:rsidR="009B0A60" w:rsidRPr="00BC7300" w:rsidRDefault="009B0A60" w:rsidP="00BC730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B0A60" w:rsidRPr="00A9237F" w:rsidTr="00BC7300">
      <w:trPr>
        <w:trHeight w:hRule="exact" w:val="864"/>
        <w:jc w:val="center"/>
      </w:trPr>
      <w:tc>
        <w:tcPr>
          <w:tcW w:w="4882" w:type="dxa"/>
          <w:shd w:val="clear" w:color="auto" w:fill="auto"/>
          <w:vAlign w:val="bottom"/>
        </w:tcPr>
        <w:p w:rsidR="009B0A60" w:rsidRDefault="009B0A60" w:rsidP="00BC7300">
          <w:pPr>
            <w:pStyle w:val="Header"/>
          </w:pPr>
        </w:p>
      </w:tc>
      <w:tc>
        <w:tcPr>
          <w:tcW w:w="5127" w:type="dxa"/>
          <w:shd w:val="clear" w:color="auto" w:fill="auto"/>
          <w:vAlign w:val="bottom"/>
        </w:tcPr>
        <w:p w:rsidR="009B0A60" w:rsidRPr="00BC7300" w:rsidRDefault="009B0A60" w:rsidP="00BC730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97B85">
            <w:rPr>
              <w:b/>
              <w:color w:val="000000"/>
            </w:rPr>
            <w:t>ECE/TRANS/WP.15/AC.1/140/Add.2</w:t>
          </w:r>
          <w:r>
            <w:rPr>
              <w:b/>
              <w:color w:val="000000"/>
            </w:rPr>
            <w:fldChar w:fldCharType="end"/>
          </w:r>
        </w:p>
      </w:tc>
    </w:tr>
  </w:tbl>
  <w:p w:rsidR="009B0A60" w:rsidRPr="00BC7300" w:rsidRDefault="009B0A60" w:rsidP="00BC73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B0A60" w:rsidRPr="00A9237F" w:rsidTr="00BC7300">
      <w:trPr>
        <w:trHeight w:hRule="exact" w:val="864"/>
      </w:trPr>
      <w:tc>
        <w:tcPr>
          <w:tcW w:w="1267" w:type="dxa"/>
          <w:tcBorders>
            <w:bottom w:val="single" w:sz="4" w:space="0" w:color="auto"/>
          </w:tcBorders>
          <w:shd w:val="clear" w:color="auto" w:fill="auto"/>
          <w:vAlign w:val="bottom"/>
        </w:tcPr>
        <w:p w:rsidR="009B0A60" w:rsidRDefault="009B0A60" w:rsidP="00BC7300">
          <w:pPr>
            <w:pStyle w:val="Header"/>
            <w:spacing w:after="120"/>
          </w:pPr>
        </w:p>
      </w:tc>
      <w:tc>
        <w:tcPr>
          <w:tcW w:w="2059" w:type="dxa"/>
          <w:tcBorders>
            <w:bottom w:val="single" w:sz="4" w:space="0" w:color="auto"/>
          </w:tcBorders>
          <w:shd w:val="clear" w:color="auto" w:fill="auto"/>
          <w:vAlign w:val="bottom"/>
        </w:tcPr>
        <w:p w:rsidR="009B0A60" w:rsidRPr="00BC7300" w:rsidRDefault="009B0A60" w:rsidP="00BC730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B0A60" w:rsidRDefault="009B0A60" w:rsidP="00BC7300">
          <w:pPr>
            <w:pStyle w:val="Header"/>
            <w:spacing w:after="120"/>
          </w:pPr>
        </w:p>
      </w:tc>
      <w:tc>
        <w:tcPr>
          <w:tcW w:w="6653" w:type="dxa"/>
          <w:gridSpan w:val="4"/>
          <w:tcBorders>
            <w:bottom w:val="single" w:sz="4" w:space="0" w:color="auto"/>
          </w:tcBorders>
          <w:shd w:val="clear" w:color="auto" w:fill="auto"/>
          <w:vAlign w:val="bottom"/>
        </w:tcPr>
        <w:p w:rsidR="009B0A60" w:rsidRPr="00A9237F" w:rsidRDefault="009B0A60" w:rsidP="00BC7300">
          <w:pPr>
            <w:spacing w:after="80" w:line="240" w:lineRule="auto"/>
            <w:jc w:val="right"/>
            <w:rPr>
              <w:position w:val="-4"/>
              <w:lang w:val="en-GB"/>
            </w:rPr>
          </w:pPr>
          <w:r w:rsidRPr="00A9237F">
            <w:rPr>
              <w:position w:val="-4"/>
              <w:sz w:val="40"/>
              <w:lang w:val="en-GB"/>
            </w:rPr>
            <w:t>ECE</w:t>
          </w:r>
          <w:r w:rsidRPr="00A9237F">
            <w:rPr>
              <w:position w:val="-4"/>
              <w:lang w:val="en-GB"/>
            </w:rPr>
            <w:t>/TRANS/WP.15/AC.1/140/Add.2</w:t>
          </w:r>
        </w:p>
      </w:tc>
    </w:tr>
    <w:tr w:rsidR="009B0A60" w:rsidRPr="00BC7300" w:rsidTr="00BC7300">
      <w:trPr>
        <w:gridAfter w:val="1"/>
        <w:wAfter w:w="18" w:type="dxa"/>
        <w:trHeight w:hRule="exact" w:val="2880"/>
      </w:trPr>
      <w:tc>
        <w:tcPr>
          <w:tcW w:w="1267" w:type="dxa"/>
          <w:tcBorders>
            <w:top w:val="single" w:sz="4" w:space="0" w:color="auto"/>
            <w:bottom w:val="single" w:sz="12" w:space="0" w:color="auto"/>
          </w:tcBorders>
          <w:shd w:val="clear" w:color="auto" w:fill="auto"/>
        </w:tcPr>
        <w:p w:rsidR="009B0A60" w:rsidRPr="00BC7300" w:rsidRDefault="009B0A60" w:rsidP="00BC7300">
          <w:pPr>
            <w:pStyle w:val="Header"/>
            <w:spacing w:before="120" w:line="240" w:lineRule="auto"/>
            <w:ind w:left="-72"/>
            <w:jc w:val="center"/>
          </w:pPr>
          <w:r>
            <w:t xml:space="preserve">  </w:t>
          </w:r>
          <w:r>
            <w:rPr>
              <w:noProof/>
              <w:lang w:val="en-GB" w:eastAsia="en-GB"/>
            </w:rPr>
            <w:drawing>
              <wp:inline distT="0" distB="0" distL="0" distR="0" wp14:anchorId="7AA454CA" wp14:editId="0D55B4F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B0A60" w:rsidRPr="00BC7300" w:rsidRDefault="009B0A60" w:rsidP="00BC730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B0A60" w:rsidRPr="00BC7300" w:rsidRDefault="009B0A60" w:rsidP="00BC7300">
          <w:pPr>
            <w:pStyle w:val="Header"/>
            <w:spacing w:before="109"/>
          </w:pPr>
        </w:p>
      </w:tc>
      <w:tc>
        <w:tcPr>
          <w:tcW w:w="3280" w:type="dxa"/>
          <w:tcBorders>
            <w:top w:val="single" w:sz="4" w:space="0" w:color="auto"/>
            <w:bottom w:val="single" w:sz="12" w:space="0" w:color="auto"/>
          </w:tcBorders>
          <w:shd w:val="clear" w:color="auto" w:fill="auto"/>
        </w:tcPr>
        <w:p w:rsidR="009B0A60" w:rsidRPr="00A9237F" w:rsidRDefault="009B0A60" w:rsidP="00BC7300">
          <w:pPr>
            <w:pStyle w:val="Distribution"/>
            <w:rPr>
              <w:color w:val="000000"/>
              <w:lang w:val="fr-CH"/>
            </w:rPr>
          </w:pPr>
          <w:proofErr w:type="spellStart"/>
          <w:r w:rsidRPr="00A9237F">
            <w:rPr>
              <w:color w:val="000000"/>
              <w:lang w:val="fr-CH"/>
            </w:rPr>
            <w:t>Distr</w:t>
          </w:r>
          <w:proofErr w:type="spellEnd"/>
          <w:r w:rsidRPr="00A9237F">
            <w:rPr>
              <w:color w:val="000000"/>
              <w:lang w:val="fr-CH"/>
            </w:rPr>
            <w:t>. générale</w:t>
          </w:r>
        </w:p>
        <w:p w:rsidR="009B0A60" w:rsidRPr="00A9237F" w:rsidRDefault="009B0A60" w:rsidP="00BC7300">
          <w:pPr>
            <w:pStyle w:val="Publication"/>
            <w:rPr>
              <w:color w:val="000000"/>
              <w:lang w:val="fr-CH"/>
            </w:rPr>
          </w:pPr>
          <w:r w:rsidRPr="00A9237F">
            <w:rPr>
              <w:color w:val="000000"/>
              <w:lang w:val="fr-CH"/>
            </w:rPr>
            <w:t>4 novembre 2015</w:t>
          </w:r>
        </w:p>
        <w:p w:rsidR="009B0A60" w:rsidRPr="00A9237F" w:rsidRDefault="009B0A60" w:rsidP="00BC7300">
          <w:pPr>
            <w:rPr>
              <w:lang w:val="fr-CH"/>
            </w:rPr>
          </w:pPr>
          <w:r w:rsidRPr="00A9237F">
            <w:rPr>
              <w:lang w:val="fr-CH"/>
            </w:rPr>
            <w:t>Français</w:t>
          </w:r>
        </w:p>
        <w:p w:rsidR="009B0A60" w:rsidRPr="00A9237F" w:rsidRDefault="009B0A60" w:rsidP="00BC7300">
          <w:pPr>
            <w:pStyle w:val="Original"/>
            <w:rPr>
              <w:color w:val="000000"/>
              <w:lang w:val="fr-CH"/>
            </w:rPr>
          </w:pPr>
          <w:r w:rsidRPr="00A9237F">
            <w:rPr>
              <w:color w:val="000000"/>
              <w:lang w:val="fr-CH"/>
            </w:rPr>
            <w:t>Original : anglais</w:t>
          </w:r>
        </w:p>
      </w:tc>
    </w:tr>
  </w:tbl>
  <w:p w:rsidR="009B0A60" w:rsidRPr="00A9237F" w:rsidRDefault="009B0A60" w:rsidP="00BC730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08638"/>
    <w:lvl w:ilvl="0">
      <w:start w:val="1"/>
      <w:numFmt w:val="decimal"/>
      <w:lvlText w:val="%1."/>
      <w:lvlJc w:val="left"/>
      <w:pPr>
        <w:tabs>
          <w:tab w:val="num" w:pos="1800"/>
        </w:tabs>
        <w:ind w:left="1800" w:hanging="360"/>
      </w:pPr>
    </w:lvl>
  </w:abstractNum>
  <w:abstractNum w:abstractNumId="1">
    <w:nsid w:val="FFFFFF7D"/>
    <w:multiLevelType w:val="singleLevel"/>
    <w:tmpl w:val="B5483C5C"/>
    <w:lvl w:ilvl="0">
      <w:start w:val="1"/>
      <w:numFmt w:val="decimal"/>
      <w:lvlText w:val="%1."/>
      <w:lvlJc w:val="left"/>
      <w:pPr>
        <w:tabs>
          <w:tab w:val="num" w:pos="1440"/>
        </w:tabs>
        <w:ind w:left="1440" w:hanging="360"/>
      </w:pPr>
    </w:lvl>
  </w:abstractNum>
  <w:abstractNum w:abstractNumId="2">
    <w:nsid w:val="FFFFFF7E"/>
    <w:multiLevelType w:val="singleLevel"/>
    <w:tmpl w:val="A4F86726"/>
    <w:lvl w:ilvl="0">
      <w:start w:val="1"/>
      <w:numFmt w:val="decimal"/>
      <w:lvlText w:val="%1."/>
      <w:lvlJc w:val="left"/>
      <w:pPr>
        <w:tabs>
          <w:tab w:val="num" w:pos="1080"/>
        </w:tabs>
        <w:ind w:left="1080" w:hanging="360"/>
      </w:pPr>
    </w:lvl>
  </w:abstractNum>
  <w:abstractNum w:abstractNumId="3">
    <w:nsid w:val="FFFFFF7F"/>
    <w:multiLevelType w:val="singleLevel"/>
    <w:tmpl w:val="784A3B76"/>
    <w:lvl w:ilvl="0">
      <w:start w:val="1"/>
      <w:numFmt w:val="decimal"/>
      <w:lvlText w:val="%1."/>
      <w:lvlJc w:val="left"/>
      <w:pPr>
        <w:tabs>
          <w:tab w:val="num" w:pos="720"/>
        </w:tabs>
        <w:ind w:left="720" w:hanging="360"/>
      </w:pPr>
    </w:lvl>
  </w:abstractNum>
  <w:abstractNum w:abstractNumId="4">
    <w:nsid w:val="FFFFFF80"/>
    <w:multiLevelType w:val="singleLevel"/>
    <w:tmpl w:val="960A7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6AF1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687B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A65F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44C40C"/>
    <w:lvl w:ilvl="0">
      <w:start w:val="1"/>
      <w:numFmt w:val="decimal"/>
      <w:lvlText w:val="%1."/>
      <w:lvlJc w:val="left"/>
      <w:pPr>
        <w:tabs>
          <w:tab w:val="num" w:pos="360"/>
        </w:tabs>
        <w:ind w:left="360" w:hanging="360"/>
      </w:pPr>
    </w:lvl>
  </w:abstractNum>
  <w:abstractNum w:abstractNumId="9">
    <w:nsid w:val="FFFFFF89"/>
    <w:multiLevelType w:val="singleLevel"/>
    <w:tmpl w:val="FBEA007C"/>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03310"/>
    <w:multiLevelType w:val="singleLevel"/>
    <w:tmpl w:val="9DFA0F7A"/>
    <w:lvl w:ilvl="0">
      <w:start w:val="1"/>
      <w:numFmt w:val="decimal"/>
      <w:lvlRestart w:val="0"/>
      <w:lvlText w:val="%1."/>
      <w:lvlJc w:val="left"/>
      <w:pPr>
        <w:tabs>
          <w:tab w:val="num" w:pos="475"/>
        </w:tabs>
        <w:ind w:left="0" w:firstLine="0"/>
      </w:pPr>
      <w:rPr>
        <w:rFonts w:hint="default"/>
        <w:w w:val="100"/>
      </w:rPr>
    </w:lvl>
  </w:abstractNum>
  <w:abstractNum w:abstractNumId="15">
    <w:nsid w:val="3BC95193"/>
    <w:multiLevelType w:val="singleLevel"/>
    <w:tmpl w:val="5C9C410C"/>
    <w:lvl w:ilvl="0">
      <w:start w:val="1"/>
      <w:numFmt w:val="decimal"/>
      <w:lvlRestart w:val="0"/>
      <w:lvlText w:val="%1."/>
      <w:lvlJc w:val="left"/>
      <w:pPr>
        <w:tabs>
          <w:tab w:val="num" w:pos="475"/>
        </w:tabs>
        <w:ind w:left="0" w:firstLine="0"/>
      </w:pPr>
      <w:rPr>
        <w:rFonts w:hint="default"/>
        <w:b w:val="0"/>
        <w:w w:val="100"/>
      </w:r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6"/>
  </w:num>
  <w:num w:numId="5">
    <w:abstractNumId w:val="10"/>
  </w:num>
  <w:num w:numId="6">
    <w:abstractNumId w:val="15"/>
  </w:num>
  <w:num w:numId="7">
    <w:abstractNumId w:val="16"/>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030*"/>
    <w:docVar w:name="CreationDt" w:val="12/2/2015 8:34: AM"/>
    <w:docVar w:name="DocCategory" w:val="Doc"/>
    <w:docVar w:name="DocType" w:val="Final"/>
    <w:docVar w:name="DutyStation" w:val="Geneva"/>
    <w:docVar w:name="FooterJN" w:val="GE.15-19030"/>
    <w:docVar w:name="jobn" w:val="GE.15-19030 (F)"/>
    <w:docVar w:name="jobnDT" w:val="GE.15-19030 (F)   021215"/>
    <w:docVar w:name="jobnDTDT" w:val="GE.15-19030 (F)   021215   021215"/>
    <w:docVar w:name="JobNo" w:val="GE.1519030F"/>
    <w:docVar w:name="JobNo2" w:val="GE.1525017F"/>
    <w:docVar w:name="LocalDrive" w:val="0"/>
    <w:docVar w:name="OandT" w:val="Nath V."/>
    <w:docVar w:name="PaperSize" w:val="A4"/>
    <w:docVar w:name="sss1" w:val="ECE/TRANS/WP.15/AC.1/140/Add.2"/>
    <w:docVar w:name="sss2" w:val="-"/>
    <w:docVar w:name="Symbol1" w:val="ECE/TRANS/WP.15/AC.1/140/Add.2"/>
    <w:docVar w:name="Symbol2" w:val="-"/>
  </w:docVars>
  <w:rsids>
    <w:rsidRoot w:val="003D114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A06"/>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E2F"/>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477B1"/>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27B4"/>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601"/>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15D3"/>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14B"/>
    <w:rsid w:val="003D15A3"/>
    <w:rsid w:val="003D35C1"/>
    <w:rsid w:val="003D635C"/>
    <w:rsid w:val="003D7BC4"/>
    <w:rsid w:val="003E0861"/>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0D6"/>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97B85"/>
    <w:rsid w:val="004A0AA6"/>
    <w:rsid w:val="004A1763"/>
    <w:rsid w:val="004A186E"/>
    <w:rsid w:val="004A2319"/>
    <w:rsid w:val="004A2455"/>
    <w:rsid w:val="004A52A3"/>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45D"/>
    <w:rsid w:val="004F1F9F"/>
    <w:rsid w:val="004F2765"/>
    <w:rsid w:val="004F5238"/>
    <w:rsid w:val="004F53F0"/>
    <w:rsid w:val="004F69D3"/>
    <w:rsid w:val="004F6B7C"/>
    <w:rsid w:val="005049A9"/>
    <w:rsid w:val="00505F1C"/>
    <w:rsid w:val="0050603C"/>
    <w:rsid w:val="00506B44"/>
    <w:rsid w:val="00506F70"/>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212"/>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28C6"/>
    <w:rsid w:val="005C3A63"/>
    <w:rsid w:val="005C3D87"/>
    <w:rsid w:val="005C65C2"/>
    <w:rsid w:val="005C74E8"/>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BF9"/>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31C"/>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279C"/>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60"/>
    <w:rsid w:val="009B0AF7"/>
    <w:rsid w:val="009B0BFB"/>
    <w:rsid w:val="009B4398"/>
    <w:rsid w:val="009B4EEC"/>
    <w:rsid w:val="009C1815"/>
    <w:rsid w:val="009C5249"/>
    <w:rsid w:val="009C70D0"/>
    <w:rsid w:val="009C7F1B"/>
    <w:rsid w:val="009D5A2E"/>
    <w:rsid w:val="009D702B"/>
    <w:rsid w:val="009E0573"/>
    <w:rsid w:val="009E06DE"/>
    <w:rsid w:val="009E09FA"/>
    <w:rsid w:val="009E12D9"/>
    <w:rsid w:val="009E246F"/>
    <w:rsid w:val="009E4EA9"/>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440E"/>
    <w:rsid w:val="00A45E20"/>
    <w:rsid w:val="00A46DB8"/>
    <w:rsid w:val="00A52DF2"/>
    <w:rsid w:val="00A54A5E"/>
    <w:rsid w:val="00A55810"/>
    <w:rsid w:val="00A56CDD"/>
    <w:rsid w:val="00A56E3B"/>
    <w:rsid w:val="00A57C5A"/>
    <w:rsid w:val="00A64AD2"/>
    <w:rsid w:val="00A72C1F"/>
    <w:rsid w:val="00A72EE7"/>
    <w:rsid w:val="00A72F5E"/>
    <w:rsid w:val="00A75482"/>
    <w:rsid w:val="00A761B5"/>
    <w:rsid w:val="00A83E5E"/>
    <w:rsid w:val="00A84C12"/>
    <w:rsid w:val="00A85CA4"/>
    <w:rsid w:val="00A85D04"/>
    <w:rsid w:val="00A85DB4"/>
    <w:rsid w:val="00A86044"/>
    <w:rsid w:val="00A90002"/>
    <w:rsid w:val="00A9237F"/>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2038"/>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ACB"/>
    <w:rsid w:val="00B57EB0"/>
    <w:rsid w:val="00B61107"/>
    <w:rsid w:val="00B61CB4"/>
    <w:rsid w:val="00B65419"/>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7300"/>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1AD"/>
    <w:rsid w:val="00D3596F"/>
    <w:rsid w:val="00D35AD8"/>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67A6"/>
    <w:rsid w:val="00D900AD"/>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157A"/>
    <w:rsid w:val="00DC23FE"/>
    <w:rsid w:val="00DC38B9"/>
    <w:rsid w:val="00DC5B37"/>
    <w:rsid w:val="00DC5DDD"/>
    <w:rsid w:val="00DD0372"/>
    <w:rsid w:val="00DD309E"/>
    <w:rsid w:val="00DD7C73"/>
    <w:rsid w:val="00DE01B6"/>
    <w:rsid w:val="00DE1304"/>
    <w:rsid w:val="00DE1AE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4B67"/>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right="1264"/>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C7300"/>
    <w:rPr>
      <w:sz w:val="16"/>
      <w:szCs w:val="16"/>
    </w:rPr>
  </w:style>
  <w:style w:type="paragraph" w:styleId="CommentText">
    <w:name w:val="annotation text"/>
    <w:basedOn w:val="Normal"/>
    <w:link w:val="CommentTextChar"/>
    <w:uiPriority w:val="99"/>
    <w:semiHidden/>
    <w:unhideWhenUsed/>
    <w:rsid w:val="00BC7300"/>
    <w:pPr>
      <w:spacing w:line="240" w:lineRule="auto"/>
    </w:pPr>
    <w:rPr>
      <w:szCs w:val="20"/>
    </w:rPr>
  </w:style>
  <w:style w:type="character" w:customStyle="1" w:styleId="CommentTextChar">
    <w:name w:val="Comment Text Char"/>
    <w:basedOn w:val="DefaultParagraphFont"/>
    <w:link w:val="CommentText"/>
    <w:uiPriority w:val="99"/>
    <w:semiHidden/>
    <w:rsid w:val="00BC730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C7300"/>
    <w:rPr>
      <w:b/>
      <w:bCs/>
    </w:rPr>
  </w:style>
  <w:style w:type="character" w:customStyle="1" w:styleId="CommentSubjectChar">
    <w:name w:val="Comment Subject Char"/>
    <w:basedOn w:val="CommentTextChar"/>
    <w:link w:val="CommentSubject"/>
    <w:uiPriority w:val="99"/>
    <w:semiHidden/>
    <w:rsid w:val="00BC730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right="1264"/>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C7300"/>
    <w:rPr>
      <w:sz w:val="16"/>
      <w:szCs w:val="16"/>
    </w:rPr>
  </w:style>
  <w:style w:type="paragraph" w:styleId="CommentText">
    <w:name w:val="annotation text"/>
    <w:basedOn w:val="Normal"/>
    <w:link w:val="CommentTextChar"/>
    <w:uiPriority w:val="99"/>
    <w:semiHidden/>
    <w:unhideWhenUsed/>
    <w:rsid w:val="00BC7300"/>
    <w:pPr>
      <w:spacing w:line="240" w:lineRule="auto"/>
    </w:pPr>
    <w:rPr>
      <w:szCs w:val="20"/>
    </w:rPr>
  </w:style>
  <w:style w:type="character" w:customStyle="1" w:styleId="CommentTextChar">
    <w:name w:val="Comment Text Char"/>
    <w:basedOn w:val="DefaultParagraphFont"/>
    <w:link w:val="CommentText"/>
    <w:uiPriority w:val="99"/>
    <w:semiHidden/>
    <w:rsid w:val="00BC730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C7300"/>
    <w:rPr>
      <w:b/>
      <w:bCs/>
    </w:rPr>
  </w:style>
  <w:style w:type="character" w:customStyle="1" w:styleId="CommentSubjectChar">
    <w:name w:val="Comment Subject Char"/>
    <w:basedOn w:val="CommentTextChar"/>
    <w:link w:val="CommentSubject"/>
    <w:uiPriority w:val="99"/>
    <w:semiHidden/>
    <w:rsid w:val="00BC730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DB40-9DCD-4672-A049-BC4311E4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barrio-champeau</cp:lastModifiedBy>
  <cp:revision>3</cp:revision>
  <cp:lastPrinted>2015-12-16T13:24:00Z</cp:lastPrinted>
  <dcterms:created xsi:type="dcterms:W3CDTF">2015-12-16T13:24:00Z</dcterms:created>
  <dcterms:modified xsi:type="dcterms:W3CDTF">2015-12-16T13:24:00Z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1519030F</vt:lpwstr>
  </property>
  <property fmtid="{D5CDD505-2E9C-101B-9397-08002B2CF9AE}" pid="3" name="ODSRefJobNo">
    <vt:lpwstr>1525017F</vt:lpwstr>
  </property>
  <property fmtid="{D5CDD505-2E9C-101B-9397-08002B2CF9AE}" pid="4" name="Symbol1">
    <vt:lpwstr>ECE/TRANS/WP.15/AC.1/140/Add.2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novembre 2015</vt:lpwstr>
  </property>
  <property fmtid="{D5CDD505-2E9C-101B-9397-08002B2CF9AE}" pid="12" name="Original">
    <vt:lpwstr/>
  </property>
  <property fmtid="{D5CDD505-2E9C-101B-9397-08002B2CF9AE}" pid="13" name="Release Date">
    <vt:lpwstr>021215</vt:lpwstr>
  </property>
</Properties>
</file>