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50" w:rsidRPr="00F90812" w:rsidRDefault="00822050" w:rsidP="00822050">
      <w:pPr>
        <w:spacing w:line="60" w:lineRule="exact"/>
        <w:rPr>
          <w:color w:val="010000"/>
          <w:sz w:val="6"/>
        </w:rPr>
        <w:sectPr w:rsidR="00822050" w:rsidRPr="00F90812" w:rsidSect="0082205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F90812">
        <w:rPr>
          <w:rStyle w:val="CommentReference"/>
        </w:rPr>
        <w:commentReference w:id="0"/>
      </w:r>
      <w:bookmarkStart w:id="1" w:name="_GoBack"/>
      <w:bookmarkEnd w:id="1"/>
    </w:p>
    <w:p w:rsidR="00F90812" w:rsidRPr="00F90812" w:rsidRDefault="00F90812" w:rsidP="00F9081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8"/>
          <w:szCs w:val="28"/>
        </w:rPr>
      </w:pPr>
      <w:r w:rsidRPr="00F90812">
        <w:rPr>
          <w:b/>
          <w:sz w:val="28"/>
          <w:szCs w:val="28"/>
        </w:rPr>
        <w:lastRenderedPageBreak/>
        <w:t>Европейская экономическая комиссия</w:t>
      </w:r>
    </w:p>
    <w:p w:rsidR="00F90812" w:rsidRPr="00F90812" w:rsidRDefault="00F90812" w:rsidP="00F9081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90812" w:rsidRPr="00F90812" w:rsidRDefault="00F90812" w:rsidP="00F9081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F90812">
        <w:rPr>
          <w:sz w:val="28"/>
          <w:szCs w:val="28"/>
        </w:rPr>
        <w:t>Комитет по внутреннему транспорту</w:t>
      </w:r>
    </w:p>
    <w:p w:rsidR="00F90812" w:rsidRPr="00F90812" w:rsidRDefault="00F90812" w:rsidP="00F9081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90812" w:rsidRPr="00F90812" w:rsidRDefault="00F90812" w:rsidP="00F9081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</w:rPr>
      </w:pPr>
      <w:r w:rsidRPr="00F90812">
        <w:rPr>
          <w:b/>
          <w:sz w:val="24"/>
          <w:szCs w:val="24"/>
        </w:rPr>
        <w:t>Рабочая группа по перевозкам опасных грузов</w:t>
      </w:r>
    </w:p>
    <w:p w:rsidR="00F90812" w:rsidRPr="00F90812" w:rsidRDefault="00F90812" w:rsidP="00F9081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90812" w:rsidRPr="00F90812" w:rsidRDefault="00F90812" w:rsidP="00F90812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F90812">
        <w:rPr>
          <w:b/>
        </w:rPr>
        <w:t>Совместное совещание Комиссии экспертов МПОГ</w:t>
      </w:r>
      <w:r w:rsidRPr="00F90812">
        <w:rPr>
          <w:b/>
        </w:rPr>
        <w:br/>
        <w:t>и Рабочей группы по перевозкам опасных грузов</w:t>
      </w:r>
    </w:p>
    <w:p w:rsidR="00F90812" w:rsidRPr="00F90812" w:rsidRDefault="00F90812" w:rsidP="00F90812">
      <w:pPr>
        <w:pStyle w:val="SingleTxt"/>
        <w:spacing w:after="0" w:line="120" w:lineRule="exact"/>
        <w:rPr>
          <w:sz w:val="10"/>
        </w:rPr>
      </w:pPr>
    </w:p>
    <w:p w:rsidR="00F90812" w:rsidRPr="00F90812" w:rsidRDefault="00F90812" w:rsidP="00F90812">
      <w:pPr>
        <w:pStyle w:val="SingleTxt"/>
        <w:spacing w:after="0" w:line="120" w:lineRule="exact"/>
        <w:rPr>
          <w:sz w:val="10"/>
        </w:rPr>
      </w:pPr>
    </w:p>
    <w:p w:rsidR="00F90812" w:rsidRPr="00F90812" w:rsidRDefault="00F90812" w:rsidP="00F90812">
      <w:pPr>
        <w:pStyle w:val="SingleTxt"/>
        <w:spacing w:after="0" w:line="120" w:lineRule="exact"/>
        <w:rPr>
          <w:sz w:val="10"/>
        </w:rPr>
      </w:pPr>
    </w:p>
    <w:p w:rsidR="00F90812" w:rsidRPr="00F90812" w:rsidRDefault="00F90812" w:rsidP="00F9081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90812">
        <w:tab/>
      </w:r>
      <w:r w:rsidRPr="00F90812">
        <w:tab/>
        <w:t>Доклад Совместного совещания Комиссии экспертов МПОГ и Ра</w:t>
      </w:r>
      <w:r>
        <w:t xml:space="preserve">бочей группы по </w:t>
      </w:r>
      <w:r w:rsidRPr="00F90812">
        <w:t>перевозкам опасных грузов о</w:t>
      </w:r>
      <w:r>
        <w:rPr>
          <w:lang w:val="en-US"/>
        </w:rPr>
        <w:t> </w:t>
      </w:r>
      <w:r w:rsidRPr="00F90812">
        <w:t>работе его весенней сессии 2015 года</w:t>
      </w:r>
      <w:r w:rsidRPr="00A97F45">
        <w:rPr>
          <w:rStyle w:val="FootnoteReference"/>
          <w:b w:val="0"/>
          <w:sz w:val="20"/>
        </w:rPr>
        <w:footnoteReference w:id="2"/>
      </w:r>
      <w:r w:rsidRPr="00F90812">
        <w:t>,</w:t>
      </w:r>
    </w:p>
    <w:p w:rsidR="00F90812" w:rsidRPr="00F90812" w:rsidRDefault="00F90812" w:rsidP="00F90812">
      <w:pPr>
        <w:pStyle w:val="SingleTxt"/>
        <w:spacing w:after="0" w:line="120" w:lineRule="exact"/>
        <w:rPr>
          <w:sz w:val="10"/>
        </w:rPr>
      </w:pPr>
    </w:p>
    <w:p w:rsidR="00F90812" w:rsidRPr="00F90812" w:rsidRDefault="00F90812" w:rsidP="00F90812">
      <w:pPr>
        <w:pStyle w:val="SingleTxt"/>
        <w:spacing w:after="0" w:line="120" w:lineRule="exact"/>
        <w:rPr>
          <w:sz w:val="10"/>
        </w:rPr>
      </w:pPr>
    </w:p>
    <w:p w:rsidR="00F90812" w:rsidRPr="00F90812" w:rsidRDefault="00F90812" w:rsidP="00F90812">
      <w:pPr>
        <w:pStyle w:val="SingleTxt"/>
      </w:pPr>
      <w:proofErr w:type="gramStart"/>
      <w:r w:rsidRPr="00F90812">
        <w:t>состоявшейся</w:t>
      </w:r>
      <w:proofErr w:type="gramEnd"/>
      <w:r w:rsidRPr="00F90812">
        <w:t xml:space="preserve"> в Берне 23–27 марта 2015 года</w:t>
      </w:r>
    </w:p>
    <w:p w:rsidR="00F90812" w:rsidRPr="00A97F45" w:rsidRDefault="00F90812" w:rsidP="00F90812">
      <w:pPr>
        <w:pStyle w:val="HCh"/>
        <w:spacing w:after="120"/>
        <w:rPr>
          <w:b w:val="0"/>
        </w:rPr>
      </w:pPr>
      <w:r w:rsidRPr="00A97F45">
        <w:rPr>
          <w:b w:val="0"/>
        </w:rPr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7052"/>
        <w:gridCol w:w="999"/>
        <w:gridCol w:w="720"/>
      </w:tblGrid>
      <w:tr w:rsidR="00625279" w:rsidRPr="00C10BC6" w:rsidTr="009D4741">
        <w:tc>
          <w:tcPr>
            <w:tcW w:w="1059" w:type="dxa"/>
            <w:shd w:val="clear" w:color="auto" w:fill="auto"/>
          </w:tcPr>
          <w:p w:rsidR="00625279" w:rsidRPr="00C10BC6" w:rsidRDefault="00625279" w:rsidP="009D4741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2" w:type="dxa"/>
            <w:shd w:val="clear" w:color="auto" w:fill="auto"/>
          </w:tcPr>
          <w:p w:rsidR="00625279" w:rsidRPr="00C10BC6" w:rsidRDefault="00625279" w:rsidP="009D4741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9" w:type="dxa"/>
            <w:shd w:val="clear" w:color="auto" w:fill="auto"/>
          </w:tcPr>
          <w:p w:rsidR="00625279" w:rsidRPr="00C10BC6" w:rsidRDefault="00625279" w:rsidP="009D4741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Пункты</w:t>
            </w:r>
          </w:p>
        </w:tc>
        <w:tc>
          <w:tcPr>
            <w:tcW w:w="720" w:type="dxa"/>
            <w:shd w:val="clear" w:color="auto" w:fill="auto"/>
          </w:tcPr>
          <w:p w:rsidR="00625279" w:rsidRPr="00C10BC6" w:rsidRDefault="00625279" w:rsidP="009D4741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A97F45">
              <w:t>Участники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C10BC6" w:rsidRDefault="00625279" w:rsidP="009D4741">
            <w:pPr>
              <w:spacing w:after="120"/>
              <w:ind w:right="40"/>
              <w:jc w:val="right"/>
            </w:pPr>
            <w:r>
              <w:t>1–3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A97F45">
              <w:t>Утверждение повестки дня (пункт 1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A97F45">
              <w:t>Цистерны (пункт 2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5–11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50E64" w:rsidRDefault="00625279" w:rsidP="009D4741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  <w:ind w:left="1296"/>
              <w:rPr>
                <w:spacing w:val="60"/>
                <w:sz w:val="17"/>
              </w:rPr>
            </w:pPr>
            <w:r w:rsidRPr="00A97F45">
              <w:t>Доклад Рабочей группы по цистернам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6–11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A97F45">
              <w:t>Стандарты (пункт 3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12–21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194"/>
              </w:tabs>
              <w:suppressAutoHyphens/>
              <w:spacing w:after="120"/>
            </w:pPr>
            <w:r w:rsidRPr="00A97F45">
              <w:t>Работа ЕКС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12–13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 w:rsidRPr="00A97F45">
              <w:t>Доклад Рабочей группы по стандартам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14–21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A97F45">
              <w:t>Толкование МПОГ/ДОПОГ/ВОПОГ (пункт 4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22–31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A97F45">
              <w:t xml:space="preserve">Толкование пункта 1.1.3.3 c) </w:t>
            </w:r>
            <w:r>
              <w:t>–</w:t>
            </w:r>
            <w:r w:rsidRPr="00A97F45">
              <w:t xml:space="preserve"> внедорожная подвижная техника </w:t>
            </w:r>
            <w:r>
              <w:br/>
            </w:r>
            <w:r w:rsidRPr="00A97F45">
              <w:t>и ее оборудование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8194"/>
              </w:tabs>
              <w:suppressAutoHyphens/>
              <w:spacing w:after="120"/>
            </w:pPr>
            <w:r w:rsidRPr="00A97F45">
              <w:t>Расхождения в вариантах текста подпункта 1.1.3.3 c) на разных языках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625279">
            <w:pPr>
              <w:keepNext/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 w:rsidRPr="00A97F45">
              <w:lastRenderedPageBreak/>
              <w:t>Гидравлическое испытание газовых баллонов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625279">
            <w:pPr>
              <w:keepNext/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625279">
            <w:pPr>
              <w:keepNext/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625279">
            <w:pPr>
              <w:keepNext/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A97F45">
              <w:t>Изъятия, связанные с газами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625279">
            <w:pPr>
              <w:keepNext/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25–29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625279">
            <w:pPr>
              <w:keepNext/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right" w:leader="dot" w:pos="8194"/>
              </w:tabs>
              <w:suppressAutoHyphens/>
              <w:spacing w:after="120"/>
            </w:pPr>
            <w:r w:rsidRPr="00AF519B">
              <w:t>Толкование применения подпунктов 1.1.3.1 b) и 1.1.3.2 c)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AF519B">
              <w:t>Изъятие, касающееся ламп, содержащих газы групп A и O под давлением, не</w:t>
            </w:r>
            <w:r>
              <w:rPr>
                <w:lang w:val="en-US"/>
              </w:rPr>
              <w:t> </w:t>
            </w:r>
            <w:r w:rsidRPr="00AF519B">
              <w:t>превышающим 200 кПа (2 бар)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26–29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 w:rsidRPr="00A97F45">
              <w:t>Толкование пункта 7.5.2.1 (запрещение совместной погрузки взрывчатых веществ)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 w:rsidRPr="00A97F45">
              <w:t>Погрузчик и разгрузчик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270855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A97F45">
              <w:t xml:space="preserve">Предложения о внесении поправок в МПОГ/ДОПОГ/ВОПОГ </w:t>
            </w:r>
            <w:r w:rsidR="00270855" w:rsidRPr="00270855">
              <w:br/>
            </w:r>
            <w:r w:rsidRPr="00A97F45">
              <w:t>(пункт 5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32–47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A97F45">
              <w:t>Нерассмотренные вопросы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32–42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625279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AF519B">
              <w:t>Маркировка на упаковках, размещение знаков уменьшенных размеров на</w:t>
            </w:r>
            <w:r w:rsidRPr="00625279">
              <w:t xml:space="preserve"> </w:t>
            </w:r>
            <w:r w:rsidRPr="00AF519B">
              <w:t>баллонах для СНГ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 w:rsidRPr="00AF519B">
              <w:t>Поправки к положениям раздела 1.8.3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33–34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 w:rsidRPr="00034F46">
              <w:t>Возможность использования электронных сре</w:t>
            </w:r>
            <w:proofErr w:type="gramStart"/>
            <w:r w:rsidRPr="00034F46">
              <w:t>дств в пр</w:t>
            </w:r>
            <w:proofErr w:type="gramEnd"/>
            <w:r w:rsidRPr="00034F46">
              <w:t xml:space="preserve">оцессе </w:t>
            </w:r>
            <w:proofErr w:type="spellStart"/>
            <w:r w:rsidRPr="00034F46">
              <w:t>экзаменования</w:t>
            </w:r>
            <w:proofErr w:type="spellEnd"/>
            <w:r w:rsidRPr="00034F46">
              <w:t xml:space="preserve"> консультантов по вопросам безопасности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 w:rsidRPr="00034F46">
              <w:t>Перевозка живых животных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36–37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A97F45">
              <w:t>Утверждение тары для инфекционных веществ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38–39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A97F45">
              <w:t>Перевозка отработавшего электрического и электронного оборудования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40–41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2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8194"/>
              </w:tabs>
              <w:suppressAutoHyphens/>
              <w:spacing w:after="120"/>
            </w:pPr>
            <w:r w:rsidRPr="00A97F45">
              <w:t>Обновление ссылок на документы Европейского союза (токсичные вещества; коррозионные вещества; вещества, опасные для водной среды)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right" w:leader="dot" w:pos="8194"/>
              </w:tabs>
              <w:suppressAutoHyphens/>
              <w:spacing w:after="120"/>
            </w:pPr>
            <w:r w:rsidRPr="00034F46">
              <w:t>Новые предложения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43–47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625279" w:rsidRDefault="00625279" w:rsidP="00625279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  <w:ind w:left="1728"/>
              <w:rPr>
                <w:spacing w:val="60"/>
                <w:sz w:val="17"/>
              </w:rPr>
            </w:pPr>
            <w:r w:rsidRPr="00A97F45">
              <w:t>Перевозка сосудов под давлением, утвержденных Министерством транспорта Соединенных Штатов Америки (D</w:t>
            </w:r>
            <w:proofErr w:type="gramStart"/>
            <w:r w:rsidRPr="00A97F45">
              <w:t>О</w:t>
            </w:r>
            <w:proofErr w:type="gramEnd"/>
            <w:r w:rsidRPr="00A97F45">
              <w:t>T)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43–47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724C68" w:rsidRDefault="00822085" w:rsidP="00724C68">
            <w:pPr>
              <w:spacing w:after="120"/>
              <w:ind w:right="40"/>
              <w:jc w:val="right"/>
            </w:pPr>
            <w:r>
              <w:rPr>
                <w:lang w:val="en-US"/>
              </w:rPr>
              <w:t>1</w:t>
            </w:r>
            <w:r w:rsidR="00724C68">
              <w:t>3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A97F45">
              <w:t>Доклады неофициальных рабочих групп (пункт 6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48–58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right" w:leader="dot" w:pos="8194"/>
              </w:tabs>
              <w:suppressAutoHyphens/>
              <w:spacing w:after="120"/>
            </w:pPr>
            <w:r w:rsidRPr="00B66BA3">
              <w:t xml:space="preserve">Неофициальная рабочая группа по </w:t>
            </w:r>
            <w:proofErr w:type="spellStart"/>
            <w:r w:rsidRPr="00B66BA3">
              <w:t>телематике</w:t>
            </w:r>
            <w:proofErr w:type="spellEnd"/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48–52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724C68" w:rsidRDefault="00822085" w:rsidP="00724C68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24C68">
              <w:t>4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270855" w:rsidP="00270855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194"/>
              </w:tabs>
              <w:suppressAutoHyphens/>
              <w:spacing w:after="120"/>
            </w:pPr>
            <w:r>
              <w:t>Неофициальная р</w:t>
            </w:r>
            <w:r w:rsidR="00625279" w:rsidRPr="00B66BA3">
              <w:t>абочая группа по альтернативным методам проведения периодической проверки переносных сосудов многоразового использования</w:t>
            </w:r>
            <w:r w:rsidR="00625279"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53–54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B66BA3">
              <w:t>Неофициальная рабочая группа по положениям, касающимся оборудования цистерн и сосудов под давлением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 w:rsidRPr="00A97F45">
              <w:t>Неофициальная рабочая группа по трансграничному утверждению цистерн в практике госуда</w:t>
            </w:r>
            <w:proofErr w:type="gramStart"/>
            <w:r w:rsidRPr="00A97F45">
              <w:t>рств − чл</w:t>
            </w:r>
            <w:proofErr w:type="gramEnd"/>
            <w:r w:rsidRPr="00A97F45">
              <w:t>енов Европейского союза. Возможность расширения сферы применения TPED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56–58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A97F45">
              <w:t>Аварии и управление рисками (пункт 7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59–60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A97F45">
              <w:t>Будущая работа (пункт 8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61–62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8194"/>
              </w:tabs>
              <w:suppressAutoHyphens/>
              <w:spacing w:after="120"/>
            </w:pPr>
            <w:r w:rsidRPr="00B66BA3">
              <w:t>Дискуссия по вопросу о необходимости согласованного подхода к</w:t>
            </w:r>
            <w:r>
              <w:rPr>
                <w:lang w:val="en-US"/>
              </w:rPr>
              <w:t> </w:t>
            </w:r>
            <w:r w:rsidRPr="00B66BA3">
              <w:t>письменным инструкциям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 w:rsidRPr="00A97F45">
              <w:t>Сроки проведения следующей сессии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8194"/>
              </w:tabs>
              <w:suppressAutoHyphens/>
              <w:spacing w:after="120"/>
            </w:pPr>
            <w:r>
              <w:lastRenderedPageBreak/>
              <w:tab/>
            </w:r>
            <w:r w:rsidRPr="00A97F45">
              <w:t>Прочие вопросы (пункт 9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63–66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8194"/>
              </w:tabs>
              <w:suppressAutoHyphens/>
              <w:spacing w:after="120"/>
            </w:pPr>
            <w:r w:rsidRPr="00A97F45">
              <w:t>Просьба о предоставлении консультативного статуса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8194"/>
              </w:tabs>
              <w:suppressAutoHyphens/>
              <w:spacing w:after="120"/>
            </w:pPr>
            <w:r w:rsidRPr="00A97F45">
              <w:t xml:space="preserve">Выражения признательности г-ну Дж. М. </w:t>
            </w:r>
            <w:proofErr w:type="spellStart"/>
            <w:r w:rsidRPr="00A97F45">
              <w:t>Харту</w:t>
            </w:r>
            <w:proofErr w:type="spellEnd"/>
            <w:r w:rsidRPr="00A97F45">
              <w:t xml:space="preserve">, г-ну П. </w:t>
            </w:r>
            <w:proofErr w:type="spellStart"/>
            <w:r w:rsidRPr="00A97F45">
              <w:t>Хурдеману</w:t>
            </w:r>
            <w:proofErr w:type="spellEnd"/>
            <w:r w:rsidRPr="00A97F45">
              <w:t xml:space="preserve"> </w:t>
            </w:r>
            <w:r>
              <w:br/>
            </w:r>
            <w:r w:rsidRPr="00A97F45">
              <w:t xml:space="preserve">и г-ну М. </w:t>
            </w:r>
            <w:proofErr w:type="spellStart"/>
            <w:r w:rsidRPr="00A97F45">
              <w:t>Богерту</w:t>
            </w:r>
            <w:proofErr w:type="spellEnd"/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64–65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8194"/>
              </w:tabs>
              <w:suppressAutoHyphens/>
              <w:spacing w:after="120"/>
            </w:pPr>
            <w:r w:rsidRPr="00A97F45">
              <w:t>Исправления к изданию МПОГ/ДОПОГ/ВОПОГ 2015 года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1D0FD4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8194"/>
              </w:tabs>
              <w:suppressAutoHyphens/>
              <w:spacing w:after="120"/>
            </w:pPr>
            <w:r>
              <w:tab/>
            </w:r>
            <w:r w:rsidRPr="00A97F45">
              <w:t>Утверждение доклада (пункт 10 повестки дня)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E16143" w:rsidRDefault="00625279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625279" w:rsidRPr="00C10BC6" w:rsidTr="009D4741">
        <w:tc>
          <w:tcPr>
            <w:tcW w:w="8111" w:type="dxa"/>
            <w:gridSpan w:val="2"/>
            <w:shd w:val="clear" w:color="auto" w:fill="auto"/>
          </w:tcPr>
          <w:p w:rsidR="00625279" w:rsidRPr="00C10BC6" w:rsidRDefault="00625279" w:rsidP="009D4741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</w:tabs>
              <w:suppressAutoHyphens/>
              <w:spacing w:after="120"/>
            </w:pPr>
            <w:r>
              <w:t>Приложение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25279" w:rsidRPr="00C10BC6" w:rsidRDefault="00625279" w:rsidP="009D4741">
            <w:pPr>
              <w:spacing w:after="120"/>
              <w:ind w:right="40"/>
              <w:jc w:val="right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C10BC6" w:rsidRDefault="00625279" w:rsidP="009D4741">
            <w:pPr>
              <w:spacing w:after="120"/>
              <w:ind w:right="40"/>
              <w:jc w:val="right"/>
            </w:pPr>
          </w:p>
        </w:tc>
      </w:tr>
      <w:tr w:rsidR="00625279" w:rsidRPr="00C10BC6" w:rsidTr="009D4741">
        <w:tc>
          <w:tcPr>
            <w:tcW w:w="9110" w:type="dxa"/>
            <w:gridSpan w:val="3"/>
            <w:shd w:val="clear" w:color="auto" w:fill="auto"/>
          </w:tcPr>
          <w:p w:rsidR="00625279" w:rsidRPr="00C10BC6" w:rsidRDefault="00625279" w:rsidP="009D4741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 w:rsidRPr="00A97F45">
              <w:tab/>
              <w:t>Доклад Рабочей группы по цистернам</w:t>
            </w:r>
            <w:r w:rsidRPr="00A97F45">
              <w:rPr>
                <w:rStyle w:val="FootnoteReference"/>
              </w:rPr>
              <w:footnoteReference w:id="3"/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625279" w:rsidRPr="00C10BC6" w:rsidTr="009D4741">
        <w:tc>
          <w:tcPr>
            <w:tcW w:w="9110" w:type="dxa"/>
            <w:gridSpan w:val="3"/>
            <w:shd w:val="clear" w:color="auto" w:fill="auto"/>
          </w:tcPr>
          <w:p w:rsidR="00625279" w:rsidRPr="00C10BC6" w:rsidRDefault="00625279" w:rsidP="009D4741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</w:pPr>
            <w:r w:rsidRPr="00034F46">
              <w:tab/>
            </w:r>
            <w:r w:rsidRPr="00A97F45">
              <w:t xml:space="preserve">Проекты поправок к МПОГ/ДОПОГ/ВОПОГ для вступления в силу </w:t>
            </w:r>
            <w:r w:rsidRPr="00A97F45">
              <w:br/>
              <w:t>1 января 2017 года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625279" w:rsidRPr="00C10BC6" w:rsidTr="009D4741">
        <w:tc>
          <w:tcPr>
            <w:tcW w:w="9110" w:type="dxa"/>
            <w:gridSpan w:val="3"/>
            <w:shd w:val="clear" w:color="auto" w:fill="auto"/>
          </w:tcPr>
          <w:p w:rsidR="00625279" w:rsidRPr="00C10BC6" w:rsidRDefault="00625279" w:rsidP="009D4741">
            <w:pPr>
              <w:numPr>
                <w:ilvl w:val="0"/>
                <w:numId w:val="12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245"/>
              </w:tabs>
              <w:suppressAutoHyphens/>
              <w:spacing w:after="120"/>
            </w:pPr>
            <w:r w:rsidRPr="00034F46">
              <w:tab/>
            </w:r>
            <w:r w:rsidRPr="00A97F45">
              <w:t>Исправления к изданию МПОГ/ДОПОГ/ВОПОГ 2015 года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25279" w:rsidRPr="00822085" w:rsidRDefault="00822085" w:rsidP="009D4741">
            <w:pPr>
              <w:spacing w:after="120"/>
              <w:ind w:right="40"/>
              <w:jc w:val="right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</w:tbl>
    <w:p w:rsidR="00A97F45" w:rsidRPr="00A97F45" w:rsidRDefault="00A97F45" w:rsidP="00A97F4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br w:type="page"/>
      </w:r>
      <w:r w:rsidRPr="00A97F45">
        <w:lastRenderedPageBreak/>
        <w:tab/>
      </w:r>
      <w:r w:rsidRPr="00A97F45">
        <w:tab/>
        <w:t>Доклад</w:t>
      </w:r>
    </w:p>
    <w:p w:rsidR="00A97F45" w:rsidRPr="00A97F45" w:rsidRDefault="00A97F45" w:rsidP="00A97F45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tab/>
        <w:t>I.</w:t>
      </w:r>
      <w:r w:rsidRPr="00A97F45">
        <w:tab/>
        <w:t>Участники</w:t>
      </w:r>
    </w:p>
    <w:p w:rsidR="00A97F45" w:rsidRPr="00A97F45" w:rsidRDefault="00A97F45" w:rsidP="00A97F45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1.</w:t>
      </w:r>
      <w:r w:rsidRPr="00A97F45">
        <w:tab/>
        <w:t>Совместное совещание Комиссии экспертов МПОГ и Рабочей группы по перевозкам опасных грузов Европейской экономической комиссии Организации Объединенных Наций (ЕЭК ООН) провело свою сессию в Берне 23</w:t>
      </w:r>
      <w:r w:rsidR="00B66BA3" w:rsidRPr="00B66BA3">
        <w:t>–</w:t>
      </w:r>
      <w:r w:rsidRPr="00A97F45">
        <w:t xml:space="preserve">27 марта 2015 года под руководством Председателя г-на К. </w:t>
      </w:r>
      <w:proofErr w:type="spellStart"/>
      <w:r w:rsidRPr="00A97F45">
        <w:t>Пфоваделя</w:t>
      </w:r>
      <w:proofErr w:type="spellEnd"/>
      <w:r w:rsidRPr="00A97F45">
        <w:t xml:space="preserve"> (Франция) и зам</w:t>
      </w:r>
      <w:r w:rsidRPr="00A97F45">
        <w:t>е</w:t>
      </w:r>
      <w:r w:rsidRPr="00A97F45">
        <w:t xml:space="preserve">стителя Председателя г-на Х. </w:t>
      </w:r>
      <w:proofErr w:type="spellStart"/>
      <w:r w:rsidRPr="00A97F45">
        <w:t>Райна</w:t>
      </w:r>
      <w:proofErr w:type="spellEnd"/>
      <w:r w:rsidRPr="00A97F45">
        <w:t xml:space="preserve"> (Германия).</w:t>
      </w:r>
    </w:p>
    <w:p w:rsidR="00A97F45" w:rsidRPr="00A97F45" w:rsidRDefault="00A97F45" w:rsidP="00A97F45">
      <w:pPr>
        <w:pStyle w:val="SingleTxt"/>
      </w:pPr>
      <w:r w:rsidRPr="00A97F45">
        <w:t>2.</w:t>
      </w:r>
      <w:r w:rsidRPr="00A97F45">
        <w:tab/>
        <w:t xml:space="preserve">В соответствии с правилом 1 а) правил процедуры Совместного совещания (ECE/TRANS/WP.15/AC.1/112/Add.2) в работе сессии на полноправных началах участвовали представители следующих стран: </w:t>
      </w:r>
      <w:proofErr w:type="gramStart"/>
      <w:r w:rsidRPr="00A97F45">
        <w:t>Австрии, Азербайджана, Бельгии, Германии, Дании, Испании, Италии, Латвии, Литвы, Люксембурга, Нидерландов, Норвегии, Польши, Португалии, Российской Федерации, Румынии, Словакии, Соединенного Королевства, Соединенных Штатов Америки, Финляндии, Фра</w:t>
      </w:r>
      <w:r w:rsidRPr="00A97F45">
        <w:t>н</w:t>
      </w:r>
      <w:r w:rsidRPr="00A97F45">
        <w:t xml:space="preserve">ции, Хорватии, Чешской Республики, Швейцарии и Швеции. </w:t>
      </w:r>
      <w:proofErr w:type="gramEnd"/>
    </w:p>
    <w:p w:rsidR="00A97F45" w:rsidRPr="00A97F45" w:rsidRDefault="00A97F45" w:rsidP="00A97F45">
      <w:pPr>
        <w:pStyle w:val="SingleTxt"/>
      </w:pPr>
      <w:r w:rsidRPr="00A97F45">
        <w:t>3.</w:t>
      </w:r>
      <w:r w:rsidRPr="00A97F45">
        <w:tab/>
        <w:t>В соответствии с пунктами b), с) и d) правила 1 правил процедуры в работе сессии на консультативных началах участвовали представители:</w:t>
      </w:r>
    </w:p>
    <w:p w:rsidR="00A97F45" w:rsidRPr="00A97F45" w:rsidRDefault="00A97F45" w:rsidP="00A97F45">
      <w:pPr>
        <w:pStyle w:val="SingleTxt"/>
      </w:pPr>
      <w:r w:rsidRPr="00A97F45">
        <w:tab/>
        <w:t>а)</w:t>
      </w:r>
      <w:r w:rsidRPr="00A97F45">
        <w:tab/>
        <w:t>Южной Африки;</w:t>
      </w:r>
    </w:p>
    <w:p w:rsidR="00A97F45" w:rsidRPr="00A97F45" w:rsidRDefault="00A97F45" w:rsidP="00A97F45">
      <w:pPr>
        <w:pStyle w:val="SingleTxt"/>
      </w:pPr>
      <w:r w:rsidRPr="00A97F45">
        <w:tab/>
        <w:t>b)</w:t>
      </w:r>
      <w:r w:rsidRPr="00A97F45">
        <w:tab/>
        <w:t xml:space="preserve">Европейского союза и Организации </w:t>
      </w:r>
      <w:proofErr w:type="gramStart"/>
      <w:r w:rsidRPr="00A97F45">
        <w:t>сотрудничества</w:t>
      </w:r>
      <w:proofErr w:type="gramEnd"/>
      <w:r w:rsidRPr="00A97F45">
        <w:t xml:space="preserve"> железных дорог (ОСЖД);</w:t>
      </w:r>
    </w:p>
    <w:p w:rsidR="00A97F45" w:rsidRPr="00A97F45" w:rsidRDefault="00A97F45" w:rsidP="00A97F45">
      <w:pPr>
        <w:pStyle w:val="SingleTxt"/>
      </w:pPr>
      <w:r w:rsidRPr="00A97F45">
        <w:tab/>
        <w:t>с)</w:t>
      </w:r>
      <w:r w:rsidRPr="00A97F45">
        <w:tab/>
        <w:t xml:space="preserve">следующих международных неправительственных организаций: </w:t>
      </w:r>
      <w:proofErr w:type="gramStart"/>
      <w:r w:rsidRPr="00A97F45">
        <w:t>Евр</w:t>
      </w:r>
      <w:r w:rsidRPr="00A97F45">
        <w:t>о</w:t>
      </w:r>
      <w:r w:rsidRPr="00A97F45">
        <w:t>пейской ассоциации консультантов по вопросам безопасности при перевозке опасных грузов (EASA), Европейской ассоциации по промышленным газам (ЕАПГ), Европейской ассоциации по сжиженным нефтяным газам (ЕАСНГ), Е</w:t>
      </w:r>
      <w:r w:rsidRPr="00A97F45">
        <w:t>в</w:t>
      </w:r>
      <w:r w:rsidRPr="00A97F45">
        <w:t>ропейской ассоциации производителей металлической упаковки (ЕМПАК), Е</w:t>
      </w:r>
      <w:r w:rsidRPr="00A97F45">
        <w:t>в</w:t>
      </w:r>
      <w:r w:rsidRPr="00A97F45">
        <w:t>ропейской конференции поставщиков топлива (ЕКПТ), Европейского комитета по стандартизации (ЕКС), Европейского совета химической промышленности (ЕСФХП), Международной ассоциации изготовителей автомобильных кузовов и прицепов (МАИАКП), Международной организации производителей контейн</w:t>
      </w:r>
      <w:r w:rsidRPr="00A97F45">
        <w:t>е</w:t>
      </w:r>
      <w:r w:rsidRPr="00A97F45">
        <w:t>ров-цистерн (МОКЦ), Международной ассоциации</w:t>
      </w:r>
      <w:proofErr w:type="gramEnd"/>
      <w:r w:rsidRPr="00A97F45">
        <w:t xml:space="preserve"> по опасным грузам и конте</w:t>
      </w:r>
      <w:r w:rsidRPr="00A97F45">
        <w:t>й</w:t>
      </w:r>
      <w:r w:rsidRPr="00A97F45">
        <w:t>нерам (АСПОГ), Международного союза автомобильного транспорта (МСАТ), Международного союза ассоциаций частных владельцев грузовых вагонов (МСАГВ) и Международного союза железных дорог (МСЖД).</w:t>
      </w:r>
    </w:p>
    <w:p w:rsidR="00A97F45" w:rsidRPr="00A97F45" w:rsidRDefault="00A97F45" w:rsidP="00A97F45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tab/>
        <w:t>II.</w:t>
      </w:r>
      <w:r w:rsidRPr="00A97F45">
        <w:tab/>
        <w:t>Утверждение повестки дня (пункт 1 повестки дня)</w:t>
      </w:r>
    </w:p>
    <w:p w:rsidR="00A97F45" w:rsidRPr="00A97F45" w:rsidRDefault="00A97F45" w:rsidP="00A97F45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CE2E80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4133" w:hanging="2837"/>
        <w:jc w:val="left"/>
      </w:pPr>
      <w:r w:rsidRPr="00A97F45">
        <w:rPr>
          <w:i/>
          <w:iCs/>
        </w:rPr>
        <w:t>Документы</w:t>
      </w:r>
      <w:r w:rsidRPr="00A97F45">
        <w:t>:</w:t>
      </w:r>
      <w:r w:rsidRPr="00A97F45">
        <w:tab/>
        <w:t>ECE/TRANS/WP.15/AC.1/137 и Add.1</w:t>
      </w:r>
    </w:p>
    <w:p w:rsidR="00A97F45" w:rsidRPr="00A97F45" w:rsidRDefault="00A97F45" w:rsidP="00A97F45">
      <w:pPr>
        <w:pStyle w:val="SingleTxt"/>
      </w:pPr>
      <w:r w:rsidRPr="00A97F45">
        <w:rPr>
          <w:i/>
          <w:iCs/>
        </w:rPr>
        <w:t>Неофициальные документы</w:t>
      </w:r>
      <w:r w:rsidRPr="00A97F45">
        <w:t>:</w:t>
      </w:r>
      <w:r w:rsidRPr="00A97F45">
        <w:tab/>
        <w:t>INF.1, INF.2/Rev.1 и INF.3 (секретариат)</w:t>
      </w:r>
    </w:p>
    <w:p w:rsidR="00A97F45" w:rsidRPr="00A97F45" w:rsidRDefault="00A97F45" w:rsidP="00A97F45">
      <w:pPr>
        <w:pStyle w:val="SingleTxt"/>
      </w:pPr>
      <w:r w:rsidRPr="00A97F45">
        <w:t>4.</w:t>
      </w:r>
      <w:r w:rsidRPr="00A97F45">
        <w:tab/>
        <w:t>Совместное совещание утвердило повестку дня, предложенную секретари</w:t>
      </w:r>
      <w:r w:rsidRPr="00A97F45">
        <w:t>а</w:t>
      </w:r>
      <w:r w:rsidRPr="00A97F45">
        <w:t>том в документах ECE/TRANS/WP.15/AC.1/137 и Add.1 (письмо A 81-02/502.2015 ОТИФ), обновленных в неофициальных документах INF.1 и INF.2/Rev.1.</w:t>
      </w:r>
    </w:p>
    <w:p w:rsidR="00A97F45" w:rsidRPr="00A97F45" w:rsidRDefault="00A97F45" w:rsidP="00A97F45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tab/>
        <w:t>III.</w:t>
      </w:r>
      <w:r w:rsidRPr="00A97F45">
        <w:tab/>
        <w:t>Цистерны (пункт 2 повестки дня)</w:t>
      </w:r>
    </w:p>
    <w:p w:rsidR="00A97F45" w:rsidRPr="00A97F45" w:rsidRDefault="00A97F45" w:rsidP="00A97F45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034F4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1" w:hanging="2835"/>
      </w:pPr>
      <w:r w:rsidRPr="00A97F45">
        <w:rPr>
          <w:i/>
          <w:iCs/>
        </w:rPr>
        <w:t>Документы</w:t>
      </w:r>
      <w:r>
        <w:t>:</w:t>
      </w:r>
      <w:r>
        <w:tab/>
      </w:r>
      <w:r w:rsidRPr="00A97F45">
        <w:rPr>
          <w:lang w:val="en-US"/>
        </w:rPr>
        <w:t>ECE</w:t>
      </w:r>
      <w:r w:rsidRPr="00A97F45">
        <w:t>/</w:t>
      </w:r>
      <w:r w:rsidRPr="00A97F45">
        <w:rPr>
          <w:lang w:val="en-US"/>
        </w:rPr>
        <w:t>TRANS</w:t>
      </w:r>
      <w:r w:rsidRPr="00A97F45">
        <w:t>/</w:t>
      </w:r>
      <w:r w:rsidRPr="00A97F45">
        <w:rPr>
          <w:lang w:val="en-US"/>
        </w:rPr>
        <w:t>WP</w:t>
      </w:r>
      <w:r w:rsidRPr="00A97F45">
        <w:t>.15/</w:t>
      </w:r>
      <w:r w:rsidRPr="00A97F45">
        <w:rPr>
          <w:lang w:val="en-US"/>
        </w:rPr>
        <w:t>AC</w:t>
      </w:r>
      <w:r w:rsidRPr="00A97F45">
        <w:t xml:space="preserve">.1/134 и </w:t>
      </w:r>
      <w:r w:rsidRPr="00A97F45">
        <w:rPr>
          <w:lang w:val="en-US"/>
        </w:rPr>
        <w:t>Add</w:t>
      </w:r>
      <w:r w:rsidRPr="00A97F45">
        <w:t>.1 (Доклады Совместного совещания и его Рабочей группы по цистернам о работе их весенних сессий 2014 года)</w:t>
      </w:r>
    </w:p>
    <w:p w:rsidR="00A97F45" w:rsidRPr="00A97F45" w:rsidRDefault="00A97F45" w:rsidP="00034F4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1"/>
      </w:pPr>
      <w:r w:rsidRPr="00A97F45">
        <w:rPr>
          <w:lang w:val="en-US"/>
        </w:rPr>
        <w:lastRenderedPageBreak/>
        <w:t>ECE</w:t>
      </w:r>
      <w:r w:rsidRPr="00A97F45">
        <w:t>/</w:t>
      </w:r>
      <w:r w:rsidRPr="00A97F45">
        <w:rPr>
          <w:lang w:val="en-US"/>
        </w:rPr>
        <w:t>TRANS</w:t>
      </w:r>
      <w:r w:rsidRPr="00A97F45">
        <w:t>/</w:t>
      </w:r>
      <w:r w:rsidRPr="00A97F45">
        <w:rPr>
          <w:lang w:val="en-US"/>
        </w:rPr>
        <w:t>WP</w:t>
      </w:r>
      <w:r w:rsidRPr="00A97F45">
        <w:t>.15/</w:t>
      </w:r>
      <w:r w:rsidRPr="00A97F45">
        <w:rPr>
          <w:lang w:val="en-US"/>
        </w:rPr>
        <w:t>AC</w:t>
      </w:r>
      <w:r w:rsidRPr="00A97F45">
        <w:t xml:space="preserve">.1/136 и </w:t>
      </w:r>
      <w:r w:rsidRPr="00A97F45">
        <w:rPr>
          <w:lang w:val="en-US"/>
        </w:rPr>
        <w:t>Add</w:t>
      </w:r>
      <w:r w:rsidRPr="00A97F45">
        <w:t>.1 (Доклады Совместного совещания и его Рабочей группы по цистернам о работе их осенних сессий 2014 года)</w:t>
      </w:r>
    </w:p>
    <w:p w:rsidR="00A97F45" w:rsidRPr="00A97F45" w:rsidRDefault="00A97F45" w:rsidP="00034F4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1"/>
      </w:pPr>
      <w:r w:rsidRPr="00A97F45">
        <w:t>ECE/TRANS/WP.15/AC.1/2014/13 (Предложение по изменению специальных положений TU21 и TU16 главы 4.3 МПОГ/ДОПОГ в целях соглас</w:t>
      </w:r>
      <w:r w:rsidRPr="00A97F45">
        <w:t>о</w:t>
      </w:r>
      <w:r w:rsidRPr="00A97F45">
        <w:t>вания с требованиями приложения 2 к СМГС)</w:t>
      </w:r>
    </w:p>
    <w:p w:rsidR="00A97F45" w:rsidRPr="00A97F45" w:rsidRDefault="00A97F45" w:rsidP="00034F4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1"/>
      </w:pPr>
      <w:r w:rsidRPr="00A97F45">
        <w:rPr>
          <w:lang w:val="en-US"/>
        </w:rPr>
        <w:t>ECE</w:t>
      </w:r>
      <w:r w:rsidRPr="00A97F45">
        <w:t>/</w:t>
      </w:r>
      <w:r w:rsidRPr="00A97F45">
        <w:rPr>
          <w:lang w:val="en-US"/>
        </w:rPr>
        <w:t>TRANS</w:t>
      </w:r>
      <w:r w:rsidRPr="00A97F45">
        <w:t>/</w:t>
      </w:r>
      <w:r w:rsidRPr="00A97F45">
        <w:rPr>
          <w:lang w:val="en-US"/>
        </w:rPr>
        <w:t>WP</w:t>
      </w:r>
      <w:r w:rsidRPr="00A97F45">
        <w:t>.15/</w:t>
      </w:r>
      <w:r w:rsidRPr="00A97F45">
        <w:rPr>
          <w:lang w:val="en-US"/>
        </w:rPr>
        <w:t>AC</w:t>
      </w:r>
      <w:r w:rsidRPr="00A97F45">
        <w:t xml:space="preserve">.1/2015/3 (секретариат </w:t>
      </w:r>
      <w:r w:rsidRPr="00A97F45">
        <w:rPr>
          <w:lang w:val="en-US"/>
        </w:rPr>
        <w:t>OT</w:t>
      </w:r>
      <w:r w:rsidRPr="00A97F45">
        <w:t xml:space="preserve">ИФ) (4.3.2.2 − Степень наполнения) </w:t>
      </w:r>
    </w:p>
    <w:p w:rsidR="00A97F45" w:rsidRPr="00A97F45" w:rsidRDefault="00A97F45" w:rsidP="00034F4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1"/>
      </w:pPr>
      <w:r w:rsidRPr="00A97F45">
        <w:rPr>
          <w:lang w:val="en-US"/>
        </w:rPr>
        <w:t>ECE</w:t>
      </w:r>
      <w:r w:rsidRPr="00A97F45">
        <w:t>/</w:t>
      </w:r>
      <w:r w:rsidRPr="00A97F45">
        <w:rPr>
          <w:lang w:val="en-US"/>
        </w:rPr>
        <w:t>TRANS</w:t>
      </w:r>
      <w:r w:rsidRPr="00A97F45">
        <w:t>/</w:t>
      </w:r>
      <w:r w:rsidRPr="00A97F45">
        <w:rPr>
          <w:lang w:val="en-US"/>
        </w:rPr>
        <w:t>WP</w:t>
      </w:r>
      <w:r w:rsidRPr="00A97F45">
        <w:t>.15/</w:t>
      </w:r>
      <w:r w:rsidRPr="00A97F45">
        <w:rPr>
          <w:lang w:val="en-US"/>
        </w:rPr>
        <w:t>AC</w:t>
      </w:r>
      <w:r w:rsidRPr="00A97F45">
        <w:t>.1/2015/8 (Франция) (То</w:t>
      </w:r>
      <w:r w:rsidRPr="00A97F45">
        <w:t>л</w:t>
      </w:r>
      <w:r w:rsidRPr="00A97F45">
        <w:t xml:space="preserve">щина стенок цистерн вместимостью менее </w:t>
      </w:r>
      <w:r w:rsidR="00034F46">
        <w:br/>
      </w:r>
      <w:r w:rsidRPr="00A97F45">
        <w:t>5</w:t>
      </w:r>
      <w:r w:rsidR="00D47C74">
        <w:t> </w:t>
      </w:r>
      <w:r w:rsidRPr="00A97F45">
        <w:t>000</w:t>
      </w:r>
      <w:r w:rsidR="00D47C74">
        <w:t> </w:t>
      </w:r>
      <w:r w:rsidRPr="00A97F45">
        <w:t>литров, изготовленных из нержавеющих ферритно-</w:t>
      </w:r>
      <w:proofErr w:type="spellStart"/>
      <w:r w:rsidRPr="00A97F45">
        <w:t>аустенитных</w:t>
      </w:r>
      <w:proofErr w:type="spellEnd"/>
      <w:r w:rsidRPr="00A97F45">
        <w:t xml:space="preserve"> сталей)</w:t>
      </w:r>
    </w:p>
    <w:p w:rsidR="00A97F45" w:rsidRPr="00A97F45" w:rsidRDefault="00A97F45" w:rsidP="00034F4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1"/>
      </w:pPr>
      <w:r w:rsidRPr="00A97F45">
        <w:t>ECE/TRANS/WP.15/AC.1/2015/10 (Нидерланды) (Корпуса цистерн с защитной облицовкой, изг</w:t>
      </w:r>
      <w:r w:rsidRPr="00A97F45">
        <w:t>о</w:t>
      </w:r>
      <w:r w:rsidRPr="00A97F45">
        <w:t>товленные из алюминиевого сплава)</w:t>
      </w:r>
    </w:p>
    <w:p w:rsidR="00A97F45" w:rsidRPr="00A97F45" w:rsidRDefault="00A97F45" w:rsidP="00034F4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1"/>
      </w:pPr>
      <w:r w:rsidRPr="00A97F45">
        <w:t>ECE/TRANS/WP.15/AC.1/2015/16 (Франция) (П</w:t>
      </w:r>
      <w:r w:rsidRPr="00A97F45">
        <w:t>е</w:t>
      </w:r>
      <w:r w:rsidRPr="00A97F45">
        <w:t>риодическая проверка цистерн с защитной вну</w:t>
      </w:r>
      <w:r w:rsidRPr="00A97F45">
        <w:t>т</w:t>
      </w:r>
      <w:r w:rsidRPr="00A97F45">
        <w:t>ренней облицовкой)</w:t>
      </w:r>
    </w:p>
    <w:p w:rsidR="00A97F45" w:rsidRPr="00A97F45" w:rsidRDefault="00A97F45" w:rsidP="00034F4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1"/>
      </w:pPr>
      <w:r w:rsidRPr="00A97F45">
        <w:rPr>
          <w:lang w:val="en-US"/>
        </w:rPr>
        <w:t>ECE</w:t>
      </w:r>
      <w:r w:rsidRPr="00A97F45">
        <w:t>/</w:t>
      </w:r>
      <w:r w:rsidRPr="00A97F45">
        <w:rPr>
          <w:lang w:val="en-US"/>
        </w:rPr>
        <w:t>TRANS</w:t>
      </w:r>
      <w:r w:rsidRPr="00A97F45">
        <w:t>/</w:t>
      </w:r>
      <w:r w:rsidRPr="00A97F45">
        <w:rPr>
          <w:lang w:val="en-US"/>
        </w:rPr>
        <w:t>WP</w:t>
      </w:r>
      <w:r w:rsidRPr="00A97F45">
        <w:t>.15/</w:t>
      </w:r>
      <w:r w:rsidRPr="00A97F45">
        <w:rPr>
          <w:lang w:val="en-US"/>
        </w:rPr>
        <w:t>AC</w:t>
      </w:r>
      <w:r w:rsidRPr="00A97F45">
        <w:t>.1/2015/19 (МСЖД) (Пер</w:t>
      </w:r>
      <w:r w:rsidRPr="00A97F45">
        <w:t>е</w:t>
      </w:r>
      <w:r w:rsidRPr="00A97F45">
        <w:t>возка цистерн, транспортных средств-батарей/</w:t>
      </w:r>
      <w:r w:rsidR="00270855">
        <w:br/>
      </w:r>
      <w:r w:rsidRPr="00A97F45">
        <w:t>вагонов-батарей и МЭГК после истечения срока действительности периодической и промежуто</w:t>
      </w:r>
      <w:r w:rsidRPr="00A97F45">
        <w:t>ч</w:t>
      </w:r>
      <w:r w:rsidRPr="00A97F45">
        <w:t>ной проверки)</w:t>
      </w:r>
    </w:p>
    <w:p w:rsidR="00A97F45" w:rsidRPr="00A97F45" w:rsidRDefault="00A97F45" w:rsidP="00034F4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1"/>
      </w:pPr>
      <w:r w:rsidRPr="00A97F45">
        <w:t>ECE/TRANS/WP.15/AC.1/2015/20 (МСЖД) (Ук</w:t>
      </w:r>
      <w:r w:rsidRPr="00A97F45">
        <w:t>а</w:t>
      </w:r>
      <w:r w:rsidRPr="00A97F45">
        <w:t>зание даты следующей проверки на обеих бок</w:t>
      </w:r>
      <w:r w:rsidRPr="00A97F45">
        <w:t>о</w:t>
      </w:r>
      <w:r w:rsidRPr="00A97F45">
        <w:t>вых сторонах контейнеров-цистерн, переносных цистерн и МЭГК)</w:t>
      </w:r>
    </w:p>
    <w:p w:rsidR="00A97F45" w:rsidRPr="00A97F45" w:rsidRDefault="00A97F45" w:rsidP="00034F4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4131"/>
      </w:pPr>
      <w:r w:rsidRPr="00A97F45">
        <w:t>ECE/TRANS/WP.15/AC.1/2015/22 (Соединенное Королевство) (Цистерны: накопленный в Соед</w:t>
      </w:r>
      <w:r w:rsidRPr="00A97F45">
        <w:t>и</w:t>
      </w:r>
      <w:r w:rsidRPr="00A97F45">
        <w:t>ненном Королевстве опыт, связанный с непр</w:t>
      </w:r>
      <w:r w:rsidRPr="00A97F45">
        <w:t>а</w:t>
      </w:r>
      <w:r w:rsidRPr="00A97F45">
        <w:t>вильным изготовлением и ненадлежащей серт</w:t>
      </w:r>
      <w:r w:rsidRPr="00A97F45">
        <w:t>и</w:t>
      </w:r>
      <w:r w:rsidRPr="00A97F45">
        <w:t>фикацией автоцистерн)</w:t>
      </w:r>
    </w:p>
    <w:p w:rsidR="00A97F45" w:rsidRPr="00A97F45" w:rsidRDefault="00A97F45" w:rsidP="00034F4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 w:hanging="2866"/>
      </w:pPr>
      <w:r w:rsidRPr="00A97F45">
        <w:rPr>
          <w:i/>
          <w:iCs/>
        </w:rPr>
        <w:t>Неофициальные документы</w:t>
      </w:r>
      <w:r w:rsidRPr="00A97F45">
        <w:t>:</w:t>
      </w:r>
      <w:r w:rsidRPr="00A97F45">
        <w:tab/>
        <w:t>INF.48 (весна 2014 года) (Российская Федерация) (Замечания по документу ECE/TRANS/WP.15/</w:t>
      </w:r>
      <w:r w:rsidR="00034F46">
        <w:t xml:space="preserve"> </w:t>
      </w:r>
      <w:r w:rsidRPr="00A97F45">
        <w:rPr>
          <w:lang w:val="fr-FR"/>
        </w:rPr>
        <w:t>AC</w:t>
      </w:r>
      <w:r w:rsidRPr="00A97F45">
        <w:t>.1/2014/13)</w:t>
      </w:r>
    </w:p>
    <w:p w:rsidR="00A97F45" w:rsidRPr="00A97F45" w:rsidRDefault="00A97F45" w:rsidP="00034F4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/>
      </w:pPr>
      <w:r w:rsidRPr="00A97F45">
        <w:rPr>
          <w:lang w:val="fr-FR"/>
        </w:rPr>
        <w:t>INF</w:t>
      </w:r>
      <w:r w:rsidRPr="00A97F45">
        <w:t>.10 (Германия) (Перевозка тепловой энергии)</w:t>
      </w:r>
    </w:p>
    <w:p w:rsidR="00A97F45" w:rsidRPr="00A97F45" w:rsidRDefault="00A97F45" w:rsidP="00034F4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/>
      </w:pPr>
      <w:r w:rsidRPr="00A97F45">
        <w:rPr>
          <w:lang w:val="fr-FR"/>
        </w:rPr>
        <w:t>INF</w:t>
      </w:r>
      <w:r w:rsidRPr="00A97F45">
        <w:t>.12/</w:t>
      </w:r>
      <w:proofErr w:type="spellStart"/>
      <w:r w:rsidRPr="00A97F45">
        <w:rPr>
          <w:lang w:val="fr-FR"/>
        </w:rPr>
        <w:t>Rev</w:t>
      </w:r>
      <w:proofErr w:type="spellEnd"/>
      <w:r w:rsidRPr="00A97F45">
        <w:t>.1 (Польша) (Применение стандартов на цистерны для СНГ)</w:t>
      </w:r>
    </w:p>
    <w:p w:rsidR="00A97F45" w:rsidRPr="00A97F45" w:rsidRDefault="00A97F45" w:rsidP="00034F4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/>
      </w:pPr>
      <w:r w:rsidRPr="00A97F45">
        <w:rPr>
          <w:lang w:val="fr-FR"/>
        </w:rPr>
        <w:t>INF</w:t>
      </w:r>
      <w:r w:rsidRPr="00A97F45">
        <w:t xml:space="preserve">.15 (Германия) (Толкование термина </w:t>
      </w:r>
      <w:r w:rsidR="00D47C74">
        <w:t>«</w:t>
      </w:r>
      <w:r w:rsidRPr="00A97F45">
        <w:t>поп</w:t>
      </w:r>
      <w:r w:rsidRPr="00A97F45">
        <w:t>е</w:t>
      </w:r>
      <w:r w:rsidRPr="00A97F45">
        <w:t>речное сечение</w:t>
      </w:r>
      <w:r w:rsidR="00D47C74">
        <w:t>»</w:t>
      </w:r>
      <w:r w:rsidRPr="00A97F45">
        <w:t>, используемого в пун</w:t>
      </w:r>
      <w:r w:rsidRPr="00A97F45">
        <w:t>к</w:t>
      </w:r>
      <w:r w:rsidRPr="00A97F45">
        <w:t>те</w:t>
      </w:r>
      <w:r w:rsidR="00324FA1">
        <w:rPr>
          <w:lang w:val="en-US"/>
        </w:rPr>
        <w:t> </w:t>
      </w:r>
      <w:r w:rsidRPr="00A97F45">
        <w:t>6.8.2.1.20 ДОПОГ)</w:t>
      </w:r>
    </w:p>
    <w:p w:rsidR="00A97F45" w:rsidRPr="00A97F45" w:rsidRDefault="00A97F45" w:rsidP="00034F4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/>
      </w:pPr>
      <w:r w:rsidRPr="00A97F45">
        <w:rPr>
          <w:lang w:val="fr-FR"/>
        </w:rPr>
        <w:t>INF</w:t>
      </w:r>
      <w:r w:rsidRPr="00A97F45">
        <w:t>.17 (МСЖД) (Указание информации об ист</w:t>
      </w:r>
      <w:r w:rsidRPr="00A97F45">
        <w:t>е</w:t>
      </w:r>
      <w:r w:rsidRPr="00A97F45">
        <w:t>чении времени удержания в транспортном док</w:t>
      </w:r>
      <w:r w:rsidRPr="00A97F45">
        <w:t>у</w:t>
      </w:r>
      <w:r w:rsidRPr="00A97F45">
        <w:t xml:space="preserve">менте при перевозке охлажденных сжиженных </w:t>
      </w:r>
      <w:r w:rsidR="00D219A1" w:rsidRPr="00D219A1">
        <w:br/>
      </w:r>
      <w:r w:rsidRPr="00A97F45">
        <w:t>газов)</w:t>
      </w:r>
    </w:p>
    <w:p w:rsidR="00A97F45" w:rsidRPr="00A97F45" w:rsidRDefault="00A97F45" w:rsidP="00034F4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/>
      </w:pPr>
      <w:r w:rsidRPr="00A97F45">
        <w:rPr>
          <w:lang w:val="fr-FR"/>
        </w:rPr>
        <w:t>INF</w:t>
      </w:r>
      <w:r w:rsidRPr="00A97F45">
        <w:t>.18 (Соединенное Королевство) (Цистерны: накопленный в Соединенном Королевстве опыт, связанный с неправильным изготовлением и н</w:t>
      </w:r>
      <w:r w:rsidRPr="00A97F45">
        <w:t>е</w:t>
      </w:r>
      <w:r w:rsidRPr="00A97F45">
        <w:t>надлежащей сертификацией автоцистерн)</w:t>
      </w:r>
    </w:p>
    <w:p w:rsidR="00A97F45" w:rsidRPr="00A97F45" w:rsidRDefault="00A97F45" w:rsidP="00034F46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/>
      </w:pPr>
      <w:r w:rsidRPr="00A97F45">
        <w:t>INF.22 (Российская Федерация) (Максимальная средняя температура, которая должна учитываться при расчете степени наполнения цистерн, предн</w:t>
      </w:r>
      <w:r w:rsidRPr="00A97F45">
        <w:t>а</w:t>
      </w:r>
      <w:r w:rsidRPr="00A97F45">
        <w:t>значенных для перевозки нефтепродуктов)</w:t>
      </w:r>
    </w:p>
    <w:p w:rsidR="00A97F45" w:rsidRPr="00A97F45" w:rsidRDefault="00A97F45" w:rsidP="007A41D3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/>
        <w:jc w:val="left"/>
      </w:pPr>
      <w:r w:rsidRPr="00A97F45">
        <w:rPr>
          <w:lang w:val="fr-FR"/>
        </w:rPr>
        <w:lastRenderedPageBreak/>
        <w:t>INF</w:t>
      </w:r>
      <w:r w:rsidRPr="00A97F45">
        <w:t>.41 (ЕАСНГ) (Применение стандартов на ц</w:t>
      </w:r>
      <w:r w:rsidRPr="00A97F45">
        <w:t>и</w:t>
      </w:r>
      <w:r w:rsidRPr="00A97F45">
        <w:t>стерны для СНГ)</w:t>
      </w:r>
    </w:p>
    <w:p w:rsidR="00A97F45" w:rsidRPr="00A97F45" w:rsidRDefault="00A97F45" w:rsidP="007A41D3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/>
        <w:jc w:val="left"/>
      </w:pPr>
      <w:r w:rsidRPr="00A97F45">
        <w:rPr>
          <w:lang w:val="fr-FR"/>
        </w:rPr>
        <w:t>INF</w:t>
      </w:r>
      <w:r w:rsidRPr="00A97F45">
        <w:t>.42 (Бельгия) (Применение специального п</w:t>
      </w:r>
      <w:r w:rsidRPr="00A97F45">
        <w:t>о</w:t>
      </w:r>
      <w:r w:rsidRPr="00A97F45">
        <w:t>ложения 664)</w:t>
      </w:r>
    </w:p>
    <w:p w:rsidR="00A97F45" w:rsidRPr="00A97F45" w:rsidRDefault="00A97F45" w:rsidP="007A41D3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4133"/>
        <w:jc w:val="left"/>
      </w:pPr>
      <w:r w:rsidRPr="00A97F45">
        <w:rPr>
          <w:lang w:val="fr-FR"/>
        </w:rPr>
        <w:t>INF</w:t>
      </w:r>
      <w:r w:rsidRPr="00A97F45">
        <w:t>.51 (Соединенное Королевство) (Презентация в связи с документом -/2015/22)</w:t>
      </w:r>
    </w:p>
    <w:p w:rsidR="00A97F45" w:rsidRPr="00A97F45" w:rsidRDefault="00A97F45" w:rsidP="00A97F45">
      <w:pPr>
        <w:pStyle w:val="SingleTxt"/>
      </w:pPr>
      <w:r w:rsidRPr="00A97F45">
        <w:t>5.</w:t>
      </w:r>
      <w:r w:rsidRPr="00A97F45">
        <w:tab/>
        <w:t xml:space="preserve">Рассмотрение этих документов было поручено рабочей группе, которая провела свои заседания 23 и 25 марта 2015 года под председательством </w:t>
      </w:r>
      <w:r w:rsidR="00D219A1" w:rsidRPr="00D219A1">
        <w:br/>
      </w:r>
      <w:r w:rsidRPr="00A97F45">
        <w:t xml:space="preserve">г-на А. </w:t>
      </w:r>
      <w:proofErr w:type="spellStart"/>
      <w:r w:rsidRPr="00A97F45">
        <w:t>Бейла</w:t>
      </w:r>
      <w:proofErr w:type="spellEnd"/>
      <w:r w:rsidRPr="00A97F45">
        <w:t xml:space="preserve"> (Соединенное Королевство).</w:t>
      </w:r>
    </w:p>
    <w:p w:rsidR="00A97F45" w:rsidRPr="00A97F45" w:rsidRDefault="00A97F45" w:rsidP="00A97F45">
      <w:pPr>
        <w:pStyle w:val="SingleTxt"/>
        <w:spacing w:after="0" w:line="120" w:lineRule="exact"/>
        <w:rPr>
          <w:sz w:val="10"/>
        </w:rPr>
      </w:pPr>
    </w:p>
    <w:p w:rsidR="00A97F45" w:rsidRPr="00D219A1" w:rsidRDefault="00A97F45" w:rsidP="00A97F45">
      <w:pPr>
        <w:pStyle w:val="SingleTxt"/>
        <w:spacing w:after="0" w:line="120" w:lineRule="exact"/>
        <w:rPr>
          <w:sz w:val="10"/>
        </w:rPr>
      </w:pPr>
    </w:p>
    <w:p w:rsidR="00A97F45" w:rsidRPr="00A97F45" w:rsidRDefault="00C45DB0" w:rsidP="00A97F4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19A1">
        <w:tab/>
      </w:r>
      <w:r w:rsidRPr="00D219A1">
        <w:tab/>
      </w:r>
      <w:r w:rsidR="00A97F45" w:rsidRPr="00A97F45">
        <w:t>Доклад Рабочей группы по цистернам</w:t>
      </w:r>
    </w:p>
    <w:p w:rsidR="00A97F45" w:rsidRPr="00A97F45" w:rsidRDefault="00A97F45" w:rsidP="00A97F45">
      <w:pPr>
        <w:pStyle w:val="SingleTxt"/>
        <w:spacing w:after="0" w:line="120" w:lineRule="exact"/>
        <w:rPr>
          <w:b/>
          <w:bCs/>
          <w:sz w:val="10"/>
        </w:rPr>
      </w:pPr>
    </w:p>
    <w:p w:rsidR="00A97F45" w:rsidRPr="00A97F45" w:rsidRDefault="00A97F45" w:rsidP="00A97F45">
      <w:pPr>
        <w:pStyle w:val="SingleTxt"/>
        <w:spacing w:after="0" w:line="120" w:lineRule="exact"/>
        <w:rPr>
          <w:b/>
          <w:bCs/>
          <w:sz w:val="10"/>
        </w:rPr>
      </w:pPr>
    </w:p>
    <w:p w:rsidR="00A97F45" w:rsidRPr="00A97F45" w:rsidRDefault="00A97F45" w:rsidP="007A41D3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4133" w:hanging="2866"/>
        <w:jc w:val="left"/>
      </w:pPr>
      <w:r w:rsidRPr="00A97F45">
        <w:rPr>
          <w:i/>
          <w:iCs/>
        </w:rPr>
        <w:t>Неофициальный документ:</w:t>
      </w:r>
      <w:r w:rsidRPr="00A97F45">
        <w:tab/>
        <w:t xml:space="preserve">INF.50 </w:t>
      </w:r>
    </w:p>
    <w:p w:rsidR="00A97F45" w:rsidRPr="00034F46" w:rsidRDefault="00A97F45" w:rsidP="00A97F45">
      <w:pPr>
        <w:pStyle w:val="SingleTxt"/>
      </w:pPr>
      <w:r w:rsidRPr="00A97F45">
        <w:t>6.</w:t>
      </w:r>
      <w:r w:rsidRPr="00A97F45">
        <w:tab/>
        <w:t>Совместное совещание одобрило выводы и рекомендации Рабочей группы, доклад которой приводится в приложении I в качестве добавления 1 к настоящ</w:t>
      </w:r>
      <w:r w:rsidRPr="00A97F45">
        <w:t>е</w:t>
      </w:r>
      <w:r w:rsidRPr="00A97F45">
        <w:t>му докладу, с учетом изложенных ниже замечаний и оговорок. Принятые тексты включены в приложение II к настоящему докладу.</w:t>
      </w:r>
    </w:p>
    <w:p w:rsidR="00C45DB0" w:rsidRPr="00034F46" w:rsidRDefault="00C45DB0" w:rsidP="00C45DB0">
      <w:pPr>
        <w:pStyle w:val="SingleTxt"/>
        <w:spacing w:after="0" w:line="120" w:lineRule="exact"/>
        <w:rPr>
          <w:sz w:val="10"/>
        </w:rPr>
      </w:pPr>
    </w:p>
    <w:p w:rsidR="00A97F45" w:rsidRPr="00A97F45" w:rsidRDefault="00AF519B" w:rsidP="00C45DB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Pr="00034F46">
        <w:tab/>
      </w:r>
      <w:r w:rsidR="00A97F45" w:rsidRPr="00A97F45">
        <w:t>Пункт 1. Транспортировка фосфора в цистернах</w:t>
      </w:r>
    </w:p>
    <w:p w:rsidR="00C45DB0" w:rsidRPr="00C45DB0" w:rsidRDefault="00C45DB0" w:rsidP="00C45DB0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7.</w:t>
      </w:r>
      <w:r w:rsidRPr="00A97F45">
        <w:tab/>
        <w:t>Предлагаемая поправка к положению TU</w:t>
      </w:r>
      <w:r w:rsidR="00270855">
        <w:t> </w:t>
      </w:r>
      <w:r w:rsidRPr="00A97F45">
        <w:t>16 была принята. Секретариату было поручено довести до сведения Подкомитета экспертов Организации Об</w:t>
      </w:r>
      <w:r w:rsidRPr="00A97F45">
        <w:t>ъ</w:t>
      </w:r>
      <w:r w:rsidRPr="00A97F45">
        <w:t>единенных Наций предложение о том, чтобы назначить специальное положение TP</w:t>
      </w:r>
      <w:r w:rsidR="00270855">
        <w:t> </w:t>
      </w:r>
      <w:r w:rsidRPr="00A97F45">
        <w:t>7 (в настоящее время отнесено к № ООН 2447) № ООН 1381</w:t>
      </w:r>
      <w:r w:rsidR="00270855">
        <w:t>.</w:t>
      </w:r>
    </w:p>
    <w:p w:rsidR="00A97F45" w:rsidRPr="00A97F45" w:rsidRDefault="00A97F45" w:rsidP="00A97F45">
      <w:pPr>
        <w:pStyle w:val="SingleTxt"/>
      </w:pPr>
      <w:r w:rsidRPr="00A97F45">
        <w:t>8.</w:t>
      </w:r>
      <w:r w:rsidRPr="00A97F45">
        <w:tab/>
        <w:t>Совместное совещание отметило, что Российская Федерация высказалась за изменение второго подпункта положения TU</w:t>
      </w:r>
      <w:r w:rsidR="00270855">
        <w:t> </w:t>
      </w:r>
      <w:r w:rsidRPr="00A97F45">
        <w:t>16. Ее представителю было предл</w:t>
      </w:r>
      <w:r w:rsidRPr="00A97F45">
        <w:t>о</w:t>
      </w:r>
      <w:r w:rsidRPr="00A97F45">
        <w:t>жено представить официальное предложение с необходимым обоснованием.</w:t>
      </w:r>
    </w:p>
    <w:p w:rsidR="00C45DB0" w:rsidRPr="00C45DB0" w:rsidRDefault="00C45DB0" w:rsidP="00C45DB0">
      <w:pPr>
        <w:pStyle w:val="SingleTxt"/>
        <w:spacing w:after="0" w:line="120" w:lineRule="exact"/>
        <w:rPr>
          <w:sz w:val="10"/>
        </w:rPr>
      </w:pPr>
    </w:p>
    <w:p w:rsidR="00A97F45" w:rsidRPr="00C45DB0" w:rsidRDefault="00AF519B" w:rsidP="00C45DB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Pr="00034F46">
        <w:tab/>
      </w:r>
      <w:r w:rsidR="00A97F45" w:rsidRPr="00C45DB0">
        <w:t>Пункт 3. Корпуса цистерн с защитной облицовкой, изготовленные из</w:t>
      </w:r>
      <w:r w:rsidR="00034F46">
        <w:t> </w:t>
      </w:r>
      <w:r w:rsidR="00A97F45" w:rsidRPr="00C45DB0">
        <w:t>алюминиевого сплава</w:t>
      </w:r>
    </w:p>
    <w:p w:rsidR="00C45DB0" w:rsidRPr="00C45DB0" w:rsidRDefault="00C45DB0" w:rsidP="00C45DB0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9.</w:t>
      </w:r>
      <w:r w:rsidRPr="00A97F45">
        <w:tab/>
        <w:t>Представитель Нидерландов согласился представить новое предложение на следующей сессии, поскольку по соображениям безопасности необходимо в срочном порядке найти решение данной проблемы. Вместе с тем он заявил, что не может подкрепить свою позицию ответами на все вопросы, поставленные в пункте 14. В этой связи Совместное совещание предложило всем тем делегац</w:t>
      </w:r>
      <w:r w:rsidRPr="00A97F45">
        <w:t>и</w:t>
      </w:r>
      <w:r w:rsidRPr="00A97F45">
        <w:t>ям, у которых, возможно, имеются некоторые элементы ответов, прислать их представителю Нидерландов до истечения крайнего срока представления док</w:t>
      </w:r>
      <w:r w:rsidRPr="00A97F45">
        <w:t>у</w:t>
      </w:r>
      <w:r w:rsidRPr="00A97F45">
        <w:t>ментов либо передать их непосредственно в секретариат в качестве неофициал</w:t>
      </w:r>
      <w:r w:rsidRPr="00A97F45">
        <w:t>ь</w:t>
      </w:r>
      <w:r w:rsidRPr="00A97F45">
        <w:t>ных документов для следующей сессии. Предложение Нидерландов будет ра</w:t>
      </w:r>
      <w:r w:rsidRPr="00A97F45">
        <w:t>с</w:t>
      </w:r>
      <w:r w:rsidRPr="00A97F45">
        <w:t>смотрено даже в том случае, если элементы информации, о которых идет речь, не будут переданы. Ссылаясь на данный пункт, а также на пункт 4, представитель Германии заявил, что в будущем потребуется провести более широкое обсужд</w:t>
      </w:r>
      <w:r w:rsidRPr="00A97F45">
        <w:t>е</w:t>
      </w:r>
      <w:r w:rsidRPr="00A97F45">
        <w:t>ние вопроса о защитной облицовке.</w:t>
      </w:r>
    </w:p>
    <w:p w:rsidR="00C45DB0" w:rsidRPr="00C45DB0" w:rsidRDefault="00C45DB0" w:rsidP="00C45DB0">
      <w:pPr>
        <w:pStyle w:val="SingleTxt"/>
        <w:spacing w:after="0" w:line="120" w:lineRule="exact"/>
        <w:rPr>
          <w:sz w:val="10"/>
        </w:rPr>
      </w:pPr>
    </w:p>
    <w:p w:rsidR="00A97F45" w:rsidRPr="00C45DB0" w:rsidRDefault="00AF519B" w:rsidP="00C45DB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Pr="00034F46">
        <w:tab/>
      </w:r>
      <w:r w:rsidR="00A97F45" w:rsidRPr="00C45DB0">
        <w:t>Пункт 5. Степень наполнения</w:t>
      </w:r>
    </w:p>
    <w:p w:rsidR="00C45DB0" w:rsidRPr="00C45DB0" w:rsidRDefault="00C45DB0" w:rsidP="00C45DB0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10.</w:t>
      </w:r>
      <w:r w:rsidRPr="00A97F45">
        <w:tab/>
        <w:t xml:space="preserve">Представитель Российской Федерации предложил государствам </w:t>
      </w:r>
      <w:r w:rsidR="00D219A1" w:rsidRPr="00D219A1">
        <w:t>–</w:t>
      </w:r>
      <w:r w:rsidRPr="00A97F45">
        <w:t xml:space="preserve"> членам КОТИФ представить температурные режимы по странам, где перевозки ос</w:t>
      </w:r>
      <w:r w:rsidRPr="00A97F45">
        <w:t>у</w:t>
      </w:r>
      <w:r w:rsidRPr="00A97F45">
        <w:t>ществляются в соответствии с МПОГ, как он сделал это в неофициальном док</w:t>
      </w:r>
      <w:r w:rsidRPr="00A97F45">
        <w:t>у</w:t>
      </w:r>
      <w:r w:rsidRPr="00A97F45">
        <w:t>менте INF.22 в отношении стран, применяющих СМГС.</w:t>
      </w:r>
    </w:p>
    <w:p w:rsidR="00C45DB0" w:rsidRPr="00C45DB0" w:rsidRDefault="00C45DB0" w:rsidP="00C45DB0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F51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</w:tabs>
        <w:ind w:left="1267" w:right="1260"/>
      </w:pPr>
      <w:r w:rsidRPr="00A97F45">
        <w:lastRenderedPageBreak/>
        <w:t xml:space="preserve">Пункт 10. Толкование термина </w:t>
      </w:r>
      <w:r w:rsidR="00D47C74">
        <w:t>«</w:t>
      </w:r>
      <w:r w:rsidRPr="00A97F45">
        <w:t>поперечное сечение</w:t>
      </w:r>
      <w:r w:rsidR="00D47C74">
        <w:t>»</w:t>
      </w:r>
      <w:r w:rsidRPr="00A97F45">
        <w:t xml:space="preserve">, используемого </w:t>
      </w:r>
      <w:r w:rsidR="0004325F">
        <w:br/>
      </w:r>
      <w:r w:rsidRPr="00A97F45">
        <w:t>в пункте 6.8.2.1.20 ДОПОГ и в разделе 6 стандарта EN 13094:2008</w:t>
      </w:r>
    </w:p>
    <w:p w:rsidR="00C45DB0" w:rsidRPr="00C45DB0" w:rsidRDefault="00C45DB0" w:rsidP="00C45DB0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11.</w:t>
      </w:r>
      <w:r w:rsidRPr="00A97F45">
        <w:tab/>
        <w:t>Совместное совещание отметило, что работа над этим вопросом будет пр</w:t>
      </w:r>
      <w:r w:rsidRPr="00A97F45">
        <w:t>о</w:t>
      </w:r>
      <w:r w:rsidRPr="00A97F45">
        <w:t xml:space="preserve">должена. Поскольку некоторые правительства уже </w:t>
      </w:r>
      <w:proofErr w:type="gramStart"/>
      <w:r w:rsidRPr="00A97F45">
        <w:t>определили собственное то</w:t>
      </w:r>
      <w:r w:rsidRPr="00A97F45">
        <w:t>л</w:t>
      </w:r>
      <w:r w:rsidRPr="00A97F45">
        <w:t>кование данного термина и в дальнейшем цистерны также будут изготовляться</w:t>
      </w:r>
      <w:proofErr w:type="gramEnd"/>
      <w:r w:rsidRPr="00A97F45">
        <w:t xml:space="preserve"> в соответствии с этим толкованием, необходимо будет предусмотреть переходное положение, если в результате обсуждения появится иное толкование.</w:t>
      </w:r>
    </w:p>
    <w:p w:rsidR="00A97F45" w:rsidRPr="00C45DB0" w:rsidRDefault="00A97F45" w:rsidP="00C45DB0">
      <w:pPr>
        <w:pStyle w:val="SingleTxt"/>
        <w:spacing w:after="0" w:line="120" w:lineRule="exact"/>
        <w:rPr>
          <w:sz w:val="10"/>
        </w:rPr>
      </w:pPr>
    </w:p>
    <w:p w:rsidR="00C45DB0" w:rsidRPr="00C45DB0" w:rsidRDefault="00C45DB0" w:rsidP="00C45DB0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C45DB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tab/>
        <w:t>IV.</w:t>
      </w:r>
      <w:r w:rsidRPr="00A97F45">
        <w:tab/>
        <w:t>Стандарты (пункт 3 повестки дня)</w:t>
      </w:r>
    </w:p>
    <w:p w:rsidR="00A97F45" w:rsidRPr="00C45DB0" w:rsidRDefault="00A97F45" w:rsidP="00C45DB0">
      <w:pPr>
        <w:pStyle w:val="SingleTxt"/>
        <w:spacing w:after="0" w:line="120" w:lineRule="exact"/>
        <w:rPr>
          <w:sz w:val="10"/>
        </w:rPr>
      </w:pPr>
    </w:p>
    <w:p w:rsidR="00C45DB0" w:rsidRPr="00C45DB0" w:rsidRDefault="00C45DB0" w:rsidP="00C45DB0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C45D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tab/>
        <w:t>А.</w:t>
      </w:r>
      <w:r w:rsidRPr="00A97F45">
        <w:tab/>
        <w:t>Работа ЕКС</w:t>
      </w:r>
    </w:p>
    <w:p w:rsidR="00A97F45" w:rsidRPr="00C45DB0" w:rsidRDefault="00A97F45" w:rsidP="00C45DB0">
      <w:pPr>
        <w:pStyle w:val="SingleTxt"/>
        <w:spacing w:after="0" w:line="120" w:lineRule="exact"/>
        <w:rPr>
          <w:b/>
          <w:bCs/>
          <w:sz w:val="10"/>
        </w:rPr>
      </w:pPr>
    </w:p>
    <w:p w:rsidR="00C45DB0" w:rsidRPr="00C45DB0" w:rsidRDefault="00C45DB0" w:rsidP="00C45DB0">
      <w:pPr>
        <w:pStyle w:val="SingleTxt"/>
        <w:spacing w:after="0" w:line="120" w:lineRule="exact"/>
        <w:rPr>
          <w:b/>
          <w:bCs/>
          <w:sz w:val="10"/>
        </w:rPr>
      </w:pPr>
    </w:p>
    <w:p w:rsidR="00A97F45" w:rsidRPr="00A97F45" w:rsidRDefault="00A97F45" w:rsidP="00270855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 w:hanging="2866"/>
      </w:pPr>
      <w:r w:rsidRPr="00A97F45">
        <w:rPr>
          <w:i/>
          <w:iCs/>
        </w:rPr>
        <w:t>Документы</w:t>
      </w:r>
      <w:r w:rsidRPr="00A97F45">
        <w:t>:</w:t>
      </w:r>
      <w:r w:rsidR="00835D02" w:rsidRPr="00835D02">
        <w:tab/>
      </w:r>
      <w:r w:rsidRPr="00A97F45">
        <w:t>ECE/TRANS/WP.15/</w:t>
      </w:r>
      <w:r w:rsidR="00270855">
        <w:t>AC.1/2015/14 (ЕКС) (Работа ЕКС)</w:t>
      </w:r>
    </w:p>
    <w:p w:rsidR="00A97F45" w:rsidRPr="00A97F45" w:rsidRDefault="00835D02" w:rsidP="00270855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 w:hanging="2866"/>
      </w:pPr>
      <w:r w:rsidRPr="00034F46">
        <w:tab/>
      </w:r>
      <w:r w:rsidR="00A97F45" w:rsidRPr="00A97F45">
        <w:t>ECE/TRANS/WP.15/AC.1/2015/15 (Соединенное Королевство) (стандарт EN 12972:2014)</w:t>
      </w:r>
    </w:p>
    <w:p w:rsidR="00A97F45" w:rsidRPr="00A97F45" w:rsidRDefault="00835D02" w:rsidP="00270855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4133" w:hanging="2866"/>
      </w:pPr>
      <w:r w:rsidRPr="00034F46">
        <w:tab/>
      </w:r>
      <w:r w:rsidR="00A97F45" w:rsidRPr="00A97F45">
        <w:t>ECE/TRANS/WP.15/AC.1/2015/17 (ЕКС) (Толков</w:t>
      </w:r>
      <w:r w:rsidR="00A97F45" w:rsidRPr="00A97F45">
        <w:t>а</w:t>
      </w:r>
      <w:r w:rsidR="00A97F45" w:rsidRPr="00A97F45">
        <w:t>ние текстов, в которых сделаны ссылки на обяз</w:t>
      </w:r>
      <w:r w:rsidR="00A97F45" w:rsidRPr="00A97F45">
        <w:t>а</w:t>
      </w:r>
      <w:r w:rsidR="00A97F45" w:rsidRPr="00A97F45">
        <w:t>тельные и необязательные стандарты)</w:t>
      </w:r>
    </w:p>
    <w:p w:rsidR="00A97F45" w:rsidRPr="00A97F45" w:rsidRDefault="00A97F45" w:rsidP="00270855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 w:hanging="2866"/>
      </w:pPr>
      <w:r w:rsidRPr="00A97F45">
        <w:rPr>
          <w:i/>
          <w:iCs/>
        </w:rPr>
        <w:t>Неофициальные документы</w:t>
      </w:r>
      <w:r w:rsidRPr="00A97F45">
        <w:t>:</w:t>
      </w:r>
      <w:r w:rsidRPr="00A97F45">
        <w:tab/>
        <w:t>INF.27 (секретариат) (стандарт EN 12493:2013</w:t>
      </w:r>
      <w:r w:rsidR="0004325F">
        <w:t> </w:t>
      </w:r>
      <w:r w:rsidRPr="00A97F45">
        <w:t>+ A1:2014)</w:t>
      </w:r>
    </w:p>
    <w:p w:rsidR="00A97F45" w:rsidRPr="00A97F45" w:rsidRDefault="00835D02" w:rsidP="00270855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 w:hanging="2866"/>
      </w:pPr>
      <w:r w:rsidRPr="00034F46">
        <w:tab/>
      </w:r>
      <w:r w:rsidR="00A97F45" w:rsidRPr="00A97F45">
        <w:t>INF.28 (ЕКС) (Замечания по проектам стандартов)</w:t>
      </w:r>
    </w:p>
    <w:p w:rsidR="00A97F45" w:rsidRPr="00A97F45" w:rsidRDefault="00835D02" w:rsidP="00270855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 w:hanging="2866"/>
      </w:pPr>
      <w:r w:rsidRPr="00034F46">
        <w:tab/>
      </w:r>
      <w:r w:rsidR="00A97F45" w:rsidRPr="00A97F45">
        <w:t>INF.36 (Соединенное Королевство) (Добавление к</w:t>
      </w:r>
      <w:r w:rsidR="0004325F">
        <w:t> </w:t>
      </w:r>
      <w:r w:rsidR="00A97F45" w:rsidRPr="00A97F45">
        <w:t>документу -/2015/15)</w:t>
      </w:r>
    </w:p>
    <w:p w:rsidR="00A97F45" w:rsidRPr="00A97F45" w:rsidRDefault="00835D02" w:rsidP="00270855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4133" w:hanging="2866"/>
      </w:pPr>
      <w:r w:rsidRPr="00034F46">
        <w:tab/>
      </w:r>
      <w:r w:rsidR="00A97F45" w:rsidRPr="00A97F45">
        <w:t>INF.40 (Соединенное королевство) (Замечания по</w:t>
      </w:r>
      <w:r w:rsidR="0004325F">
        <w:t> </w:t>
      </w:r>
      <w:r w:rsidR="00A97F45" w:rsidRPr="00A97F45">
        <w:t>документу -/2015/17)</w:t>
      </w:r>
    </w:p>
    <w:p w:rsidR="00A97F45" w:rsidRPr="00A97F45" w:rsidRDefault="00A97F45" w:rsidP="00A97F45">
      <w:pPr>
        <w:pStyle w:val="SingleTxt"/>
      </w:pPr>
      <w:r w:rsidRPr="00A97F45">
        <w:t>12.</w:t>
      </w:r>
      <w:r w:rsidRPr="00A97F45">
        <w:tab/>
        <w:t>Рассмотрение этих документов было поручено Рабочей группе по станда</w:t>
      </w:r>
      <w:r w:rsidRPr="00A97F45">
        <w:t>р</w:t>
      </w:r>
      <w:r w:rsidRPr="00A97F45">
        <w:t>там, которая провела свои заседания в обеденный перерыв.</w:t>
      </w:r>
    </w:p>
    <w:p w:rsidR="00A97F45" w:rsidRPr="00A97F45" w:rsidRDefault="00A97F45" w:rsidP="00A97F45">
      <w:pPr>
        <w:pStyle w:val="SingleTxt"/>
      </w:pPr>
      <w:r w:rsidRPr="00A97F45">
        <w:t>13.</w:t>
      </w:r>
      <w:r w:rsidRPr="00A97F45">
        <w:tab/>
        <w:t>Касаясь вопроса о сотрудничестве с ЕКС в соответствии с процедурой, с</w:t>
      </w:r>
      <w:r w:rsidRPr="00A97F45">
        <w:t>о</w:t>
      </w:r>
      <w:r w:rsidRPr="00A97F45">
        <w:t>гласованной в документах ECE/TRANS/WP.15/AC.1/122/Add.2 и ECE/TRANS/</w:t>
      </w:r>
      <w:r w:rsidR="00D219A1" w:rsidRPr="00D219A1">
        <w:br/>
      </w:r>
      <w:r w:rsidRPr="00A97F45">
        <w:t>WP.15/AC.1/130, приложение III, Совместное совещание поблагодарило предст</w:t>
      </w:r>
      <w:r w:rsidRPr="00A97F45">
        <w:t>а</w:t>
      </w:r>
      <w:r w:rsidRPr="00A97F45">
        <w:t>вителя ЕКС за те усилия, которые он приложил в отсутствие консультанта. Вм</w:t>
      </w:r>
      <w:r w:rsidRPr="00A97F45">
        <w:t>е</w:t>
      </w:r>
      <w:r w:rsidRPr="00A97F45">
        <w:t>сте с тем эти усилия недостаточны для того, чтобы выполнить накопившийся объем работы. Совместное совещание выразило удовлетворение в связи с тем, что, наконец, ЕКС подобрал кандидатуру нового консультанта, но при этом оно выразило сожаление по поводу того, что вопрос о финансировании до сих пор не решен. Совместное совещание вновь обратило внимание на крайнюю важность того, чтобы была проведена техническая оценка соответствия с МПОГ и ДОПОГ</w:t>
      </w:r>
      <w:r w:rsidR="00D219A1">
        <w:rPr>
          <w:lang w:val="en-US"/>
        </w:rPr>
        <w:t> </w:t>
      </w:r>
      <w:r w:rsidRPr="00A97F45">
        <w:t>− с точки зрения обеспечения безопасности и совместимости − тех ста</w:t>
      </w:r>
      <w:r w:rsidRPr="00A97F45">
        <w:t>н</w:t>
      </w:r>
      <w:r w:rsidRPr="00A97F45">
        <w:t xml:space="preserve">дартов, на которые будут сделаны ссылки, с </w:t>
      </w:r>
      <w:proofErr w:type="gramStart"/>
      <w:r w:rsidRPr="00A97F45">
        <w:t>тем</w:t>
      </w:r>
      <w:proofErr w:type="gramEnd"/>
      <w:r w:rsidRPr="00A97F45">
        <w:t xml:space="preserve"> чтобы можно было обеспечить их альтернативное или обязательное применение в качестве дополнений к пол</w:t>
      </w:r>
      <w:r w:rsidRPr="00A97F45">
        <w:t>о</w:t>
      </w:r>
      <w:r w:rsidRPr="00A97F45">
        <w:t>жениям МПОГ и ДОПОГ. На тот случай, если не будет найдено соответствующее решение, ряд делегаций рекомендовали вернуться к ситуации, которая существ</w:t>
      </w:r>
      <w:r w:rsidRPr="00A97F45">
        <w:t>о</w:t>
      </w:r>
      <w:r w:rsidRPr="00A97F45">
        <w:t>вала до 2008 года, т.е. более не использовать ссылки для подтверждения совм</w:t>
      </w:r>
      <w:r w:rsidRPr="00A97F45">
        <w:t>е</w:t>
      </w:r>
      <w:r w:rsidRPr="00A97F45">
        <w:t>стимости стандартов с правилами.</w:t>
      </w:r>
    </w:p>
    <w:p w:rsidR="00A97F45" w:rsidRPr="00C45DB0" w:rsidRDefault="00A97F45" w:rsidP="00C45DB0">
      <w:pPr>
        <w:pStyle w:val="SingleTxt"/>
        <w:spacing w:after="0" w:line="120" w:lineRule="exact"/>
        <w:rPr>
          <w:sz w:val="10"/>
        </w:rPr>
      </w:pPr>
    </w:p>
    <w:p w:rsidR="00C45DB0" w:rsidRPr="00C45DB0" w:rsidRDefault="00C45DB0" w:rsidP="00C45DB0">
      <w:pPr>
        <w:pStyle w:val="SingleTxt"/>
        <w:spacing w:after="0" w:line="120" w:lineRule="exact"/>
        <w:rPr>
          <w:b/>
          <w:bCs/>
          <w:sz w:val="10"/>
        </w:rPr>
      </w:pPr>
    </w:p>
    <w:p w:rsidR="00A97F45" w:rsidRPr="00A97F45" w:rsidRDefault="00C45DB0" w:rsidP="00270855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lastRenderedPageBreak/>
        <w:tab/>
      </w:r>
      <w:r w:rsidR="00A97F45" w:rsidRPr="00A97F45">
        <w:t>В.</w:t>
      </w:r>
      <w:r w:rsidR="00A97F45" w:rsidRPr="00A97F45">
        <w:tab/>
        <w:t>Доклад Рабочей группы по стандартам</w:t>
      </w:r>
    </w:p>
    <w:p w:rsidR="00A97F45" w:rsidRPr="00C45DB0" w:rsidRDefault="00A97F45" w:rsidP="00270855">
      <w:pPr>
        <w:pStyle w:val="SingleTxt"/>
        <w:keepNext/>
        <w:keepLines/>
        <w:spacing w:after="0" w:line="120" w:lineRule="exact"/>
        <w:rPr>
          <w:sz w:val="10"/>
        </w:rPr>
      </w:pPr>
    </w:p>
    <w:p w:rsidR="00C45DB0" w:rsidRPr="00C45DB0" w:rsidRDefault="00C45DB0" w:rsidP="00270855">
      <w:pPr>
        <w:pStyle w:val="SingleTxt"/>
        <w:keepNext/>
        <w:keepLines/>
        <w:spacing w:after="0" w:line="120" w:lineRule="exact"/>
        <w:rPr>
          <w:sz w:val="10"/>
        </w:rPr>
      </w:pPr>
    </w:p>
    <w:p w:rsidR="00A97F45" w:rsidRPr="00A97F45" w:rsidRDefault="00A97F45" w:rsidP="00270855">
      <w:pPr>
        <w:pStyle w:val="SingleTxt"/>
        <w:keepNext/>
        <w:keepLines/>
      </w:pPr>
      <w:r w:rsidRPr="00A97F45">
        <w:rPr>
          <w:i/>
          <w:iCs/>
        </w:rPr>
        <w:t>Неофициальные документы</w:t>
      </w:r>
      <w:r w:rsidRPr="00A97F45">
        <w:t>:</w:t>
      </w:r>
      <w:r w:rsidRPr="00A97F45">
        <w:tab/>
        <w:t>INF.48 и INF.49</w:t>
      </w:r>
    </w:p>
    <w:p w:rsidR="00A97F45" w:rsidRPr="00A97F45" w:rsidRDefault="00A97F45" w:rsidP="00270855">
      <w:pPr>
        <w:pStyle w:val="SingleTxt"/>
        <w:keepNext/>
        <w:keepLines/>
      </w:pPr>
      <w:r w:rsidRPr="00A97F45">
        <w:t>14.</w:t>
      </w:r>
      <w:r w:rsidRPr="00A97F45">
        <w:tab/>
        <w:t>Совместное совещание рассмотрело доклад Рабочей группы, содержащийся в неофициальном документе INF.48, и пришло к следующим выводам.</w:t>
      </w:r>
    </w:p>
    <w:p w:rsidR="00A97F45" w:rsidRPr="00A97F45" w:rsidRDefault="00A97F45" w:rsidP="00A97F45">
      <w:pPr>
        <w:pStyle w:val="SingleTxt"/>
      </w:pPr>
      <w:r w:rsidRPr="00A97F45">
        <w:t>15.</w:t>
      </w:r>
      <w:r w:rsidRPr="00A97F45">
        <w:tab/>
        <w:t>Касаясь сотрудничества с ЕКС, Совместное совещание одобрило изложе</w:t>
      </w:r>
      <w:r w:rsidRPr="00A97F45">
        <w:t>н</w:t>
      </w:r>
      <w:r w:rsidRPr="00A97F45">
        <w:t xml:space="preserve">ное в разделе 5.1 доклада замечание Группы о том, что работа консультанта ЕКС имеет </w:t>
      </w:r>
      <w:proofErr w:type="gramStart"/>
      <w:r w:rsidRPr="00A97F45">
        <w:t>важное значение</w:t>
      </w:r>
      <w:proofErr w:type="gramEnd"/>
      <w:r w:rsidRPr="00A97F45">
        <w:t>, поскольку он выступает в качестве независимого арби</w:t>
      </w:r>
      <w:r w:rsidRPr="00A97F45">
        <w:t>т</w:t>
      </w:r>
      <w:r w:rsidRPr="00A97F45">
        <w:t>ра между техническими комитетами ЕКС и Совместным совещанием в вопросах соответствия стандартов требованиям МПОГ/ДОПОГ/ВОПОГ. И хотя готовящие стандарты эксперты осведомлены о необходимости обеспечения соответствия правилам, они не располагают подробными сведениями, необходимыми для по</w:t>
      </w:r>
      <w:r w:rsidRPr="00A97F45">
        <w:t>д</w:t>
      </w:r>
      <w:r w:rsidRPr="00A97F45">
        <w:t>готовки документов, которые полностью соответствовали бы таким правилам. Кроме того, члены Рабочей группы по стандартам Совместного совещания не располагают временем для проведения тщательного, но необходимого сопоста</w:t>
      </w:r>
      <w:r w:rsidRPr="00A97F45">
        <w:t>в</w:t>
      </w:r>
      <w:r w:rsidRPr="00A97F45">
        <w:t>ления стандартов и правил, чем занимается консультант ЕКС.</w:t>
      </w:r>
    </w:p>
    <w:p w:rsidR="00A97F45" w:rsidRPr="00A97F45" w:rsidRDefault="00A97F45" w:rsidP="00A97F45">
      <w:pPr>
        <w:pStyle w:val="SingleTxt"/>
      </w:pPr>
      <w:r w:rsidRPr="00A97F45">
        <w:t>16.</w:t>
      </w:r>
      <w:r w:rsidRPr="00A97F45">
        <w:tab/>
        <w:t>Совместное совещание отметило, что все замечания по проектам станда</w:t>
      </w:r>
      <w:r w:rsidRPr="00A97F45">
        <w:t>р</w:t>
      </w:r>
      <w:r w:rsidRPr="00A97F45">
        <w:t>тов, опубликованные секретариатом ЕКС и принятые Рабочей группой, обобщ</w:t>
      </w:r>
      <w:r w:rsidRPr="00A97F45">
        <w:t>е</w:t>
      </w:r>
      <w:r w:rsidRPr="00A97F45">
        <w:t>ны в неофициальном документе INF.49; кроме того, они будут доведены до св</w:t>
      </w:r>
      <w:r w:rsidRPr="00A97F45">
        <w:t>е</w:t>
      </w:r>
      <w:r w:rsidRPr="00A97F45">
        <w:t>дения соответствующих технических комитетов ЕКС.</w:t>
      </w:r>
    </w:p>
    <w:p w:rsidR="00A97F45" w:rsidRPr="00A97F45" w:rsidRDefault="00A97F45" w:rsidP="00A97F45">
      <w:pPr>
        <w:pStyle w:val="SingleTxt"/>
      </w:pPr>
      <w:r w:rsidRPr="00A97F45">
        <w:t>17.</w:t>
      </w:r>
      <w:r w:rsidRPr="00A97F45">
        <w:tab/>
        <w:t>Совместное совещание отметило, что документ -/AC.1/2015/15 и неофиц</w:t>
      </w:r>
      <w:r w:rsidRPr="00A97F45">
        <w:t>и</w:t>
      </w:r>
      <w:r w:rsidRPr="00A97F45">
        <w:t>альный документ INF.36 должны быть рассмотрены на следующей сессии.</w:t>
      </w:r>
    </w:p>
    <w:p w:rsidR="00A97F45" w:rsidRPr="00A97F45" w:rsidRDefault="00A97F45" w:rsidP="00A97F45">
      <w:pPr>
        <w:pStyle w:val="SingleTxt"/>
      </w:pPr>
      <w:r w:rsidRPr="00A97F45">
        <w:t>18.</w:t>
      </w:r>
      <w:r w:rsidRPr="00A97F45">
        <w:tab/>
        <w:t>Совместное совещание приняло поправки к пунктам 6.2.4.1, 6.2.4.2, 6.8.2.6.1, 6.8.2.6.2 и 6.8.3.6, предложенные в неофициальном документе INF.40 (см. приложение II).</w:t>
      </w:r>
    </w:p>
    <w:p w:rsidR="00A97F45" w:rsidRPr="00A97F45" w:rsidRDefault="00A97F45" w:rsidP="00A97F45">
      <w:pPr>
        <w:pStyle w:val="SingleTxt"/>
      </w:pPr>
      <w:r w:rsidRPr="00A97F45">
        <w:t>19.</w:t>
      </w:r>
      <w:r w:rsidRPr="00A97F45">
        <w:tab/>
        <w:t>Совместное совещание приняло предложение 1 Рабочей группы (см. пр</w:t>
      </w:r>
      <w:r w:rsidRPr="00A97F45">
        <w:t>и</w:t>
      </w:r>
      <w:r w:rsidRPr="00A97F45">
        <w:t>ложение II) и рекомендовало WP.15 принять предложение о скорейшем примен</w:t>
      </w:r>
      <w:r w:rsidRPr="00A97F45">
        <w:t>е</w:t>
      </w:r>
      <w:r w:rsidRPr="00A97F45">
        <w:t>нии стандарта EN 12493:2013 + A1:2014 (за исключением приложения С), прежде всего потому, что данный стандарт отсутствует на рынке даже без внесенных в него изменений.</w:t>
      </w:r>
    </w:p>
    <w:p w:rsidR="00A97F45" w:rsidRPr="00A97F45" w:rsidRDefault="00A97F45" w:rsidP="00A97F45">
      <w:pPr>
        <w:pStyle w:val="SingleTxt"/>
      </w:pPr>
      <w:r w:rsidRPr="00A97F45">
        <w:t>20.</w:t>
      </w:r>
      <w:r w:rsidRPr="00A97F45">
        <w:tab/>
        <w:t>Предложения 4</w:t>
      </w:r>
      <w:r w:rsidR="0004325F">
        <w:t>–</w:t>
      </w:r>
      <w:r w:rsidRPr="00A97F45">
        <w:t>7 были приняты с некоторыми исправлениями (</w:t>
      </w:r>
      <w:proofErr w:type="gramStart"/>
      <w:r w:rsidRPr="00A97F45">
        <w:t>см</w:t>
      </w:r>
      <w:proofErr w:type="gramEnd"/>
      <w:r w:rsidRPr="00A97F45">
        <w:t xml:space="preserve"> прил</w:t>
      </w:r>
      <w:r w:rsidRPr="00A97F45">
        <w:t>о</w:t>
      </w:r>
      <w:r w:rsidRPr="00A97F45">
        <w:t>жение II).</w:t>
      </w:r>
    </w:p>
    <w:p w:rsidR="00A97F45" w:rsidRPr="00A97F45" w:rsidRDefault="00A97F45" w:rsidP="00A97F45">
      <w:pPr>
        <w:pStyle w:val="SingleTxt"/>
      </w:pPr>
      <w:r w:rsidRPr="00A97F45">
        <w:t>21.</w:t>
      </w:r>
      <w:r w:rsidRPr="00A97F45">
        <w:tab/>
        <w:t xml:space="preserve">Совместное совещание отметило оговорки Рабочей группы в отношении проекта стандарта </w:t>
      </w:r>
      <w:proofErr w:type="spellStart"/>
      <w:r w:rsidRPr="00A97F45">
        <w:t>prEN</w:t>
      </w:r>
      <w:proofErr w:type="spellEnd"/>
      <w:r w:rsidRPr="00A97F45">
        <w:t xml:space="preserve"> ISO 21029-2 (раздел 5.2 доклада). Оно предложило Раб</w:t>
      </w:r>
      <w:r w:rsidRPr="00A97F45">
        <w:t>о</w:t>
      </w:r>
      <w:r w:rsidRPr="00A97F45">
        <w:t>чей группе по цистернам на следующей сессии изложить свое мнение по ста</w:t>
      </w:r>
      <w:r w:rsidRPr="00A97F45">
        <w:t>н</w:t>
      </w:r>
      <w:r w:rsidRPr="00A97F45">
        <w:t>дарту EN 16522:2014.</w:t>
      </w:r>
    </w:p>
    <w:p w:rsidR="00C45DB0" w:rsidRPr="00034F46" w:rsidRDefault="00C45DB0" w:rsidP="00C45DB0">
      <w:pPr>
        <w:pStyle w:val="SingleTxt"/>
        <w:spacing w:after="0" w:line="120" w:lineRule="exact"/>
        <w:rPr>
          <w:b/>
          <w:bCs/>
          <w:sz w:val="10"/>
        </w:rPr>
      </w:pPr>
    </w:p>
    <w:p w:rsidR="00C45DB0" w:rsidRPr="00034F46" w:rsidRDefault="00C45DB0" w:rsidP="00C45DB0">
      <w:pPr>
        <w:pStyle w:val="SingleTxt"/>
        <w:spacing w:after="0" w:line="120" w:lineRule="exact"/>
        <w:rPr>
          <w:b/>
          <w:bCs/>
          <w:sz w:val="10"/>
        </w:rPr>
      </w:pPr>
    </w:p>
    <w:p w:rsidR="00A97F45" w:rsidRPr="00A97F45" w:rsidRDefault="00C45DB0" w:rsidP="00C45DB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="00A97F45" w:rsidRPr="00A97F45">
        <w:t>V.</w:t>
      </w:r>
      <w:r w:rsidR="00A97F45" w:rsidRPr="00A97F45">
        <w:tab/>
        <w:t xml:space="preserve">Толкование МПОГ/ДОПОГ/ВОПОГ (пункт 4 </w:t>
      </w:r>
      <w:r w:rsidR="00C01AEE">
        <w:br/>
      </w:r>
      <w:r w:rsidR="00A97F45" w:rsidRPr="00A97F45">
        <w:t>повестки дня)</w:t>
      </w:r>
    </w:p>
    <w:p w:rsidR="00A97F45" w:rsidRPr="00C45DB0" w:rsidRDefault="00A97F45" w:rsidP="00C45DB0">
      <w:pPr>
        <w:pStyle w:val="SingleTxt"/>
        <w:spacing w:after="0" w:line="120" w:lineRule="exact"/>
        <w:rPr>
          <w:b/>
          <w:bCs/>
          <w:sz w:val="10"/>
        </w:rPr>
      </w:pPr>
    </w:p>
    <w:p w:rsidR="00C45DB0" w:rsidRPr="00C45DB0" w:rsidRDefault="00C45DB0" w:rsidP="00C45DB0">
      <w:pPr>
        <w:pStyle w:val="SingleTxt"/>
        <w:spacing w:after="0" w:line="120" w:lineRule="exact"/>
        <w:rPr>
          <w:b/>
          <w:bCs/>
          <w:sz w:val="10"/>
        </w:rPr>
      </w:pPr>
    </w:p>
    <w:p w:rsidR="00A97F45" w:rsidRPr="00A97F45" w:rsidRDefault="00A97F45" w:rsidP="00C45DB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tab/>
        <w:t>A.</w:t>
      </w:r>
      <w:r w:rsidRPr="00A97F45">
        <w:tab/>
        <w:t xml:space="preserve">Толкование пункта 1.1.3.3 c) </w:t>
      </w:r>
      <w:r w:rsidR="00C01AEE">
        <w:t>–</w:t>
      </w:r>
      <w:r w:rsidRPr="00A97F45">
        <w:t xml:space="preserve"> внедорожная подвижная техника и ее оборудование</w:t>
      </w:r>
    </w:p>
    <w:p w:rsidR="00C45DB0" w:rsidRPr="00034F46" w:rsidRDefault="00C45DB0" w:rsidP="00C45DB0">
      <w:pPr>
        <w:pStyle w:val="SingleTxt"/>
        <w:spacing w:after="0" w:line="120" w:lineRule="exact"/>
        <w:rPr>
          <w:b/>
          <w:bCs/>
          <w:sz w:val="10"/>
        </w:rPr>
      </w:pPr>
    </w:p>
    <w:p w:rsidR="00C45DB0" w:rsidRPr="00034F46" w:rsidRDefault="00C45DB0" w:rsidP="00C45DB0">
      <w:pPr>
        <w:pStyle w:val="SingleTxt"/>
        <w:spacing w:after="0" w:line="120" w:lineRule="exact"/>
        <w:rPr>
          <w:b/>
          <w:bCs/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rPr>
          <w:i/>
          <w:iCs/>
        </w:rPr>
        <w:t>Неофициальный документ</w:t>
      </w:r>
      <w:r w:rsidRPr="00A97F45">
        <w:t>:</w:t>
      </w:r>
      <w:r w:rsidRPr="00A97F45">
        <w:tab/>
        <w:t>INF.11 (Швеция)</w:t>
      </w:r>
    </w:p>
    <w:p w:rsidR="00A97F45" w:rsidRPr="00A97F45" w:rsidRDefault="00A97F45" w:rsidP="00A97F45">
      <w:pPr>
        <w:pStyle w:val="SingleTxt"/>
      </w:pPr>
      <w:r w:rsidRPr="00A97F45">
        <w:t>22.</w:t>
      </w:r>
      <w:r w:rsidRPr="00A97F45">
        <w:tab/>
        <w:t>Представитель Швейцарии отметил, что не наличие или отсутствие двиг</w:t>
      </w:r>
      <w:r w:rsidRPr="00A97F45">
        <w:t>а</w:t>
      </w:r>
      <w:r w:rsidRPr="00A97F45">
        <w:t>теля внутреннего сгорания определяет освобождение, применяемое к оборудов</w:t>
      </w:r>
      <w:r w:rsidRPr="00A97F45">
        <w:t>а</w:t>
      </w:r>
      <w:r w:rsidRPr="00A97F45">
        <w:t>нию, а тип его использования во время перевозки или только в месте назначения без какого-либо передвижения. Большинство делегаций сочло, что предложенное Швецией толкование является правильным, и просило ее представителя подгот</w:t>
      </w:r>
      <w:r w:rsidRPr="00A97F45">
        <w:t>о</w:t>
      </w:r>
      <w:r w:rsidRPr="00A97F45">
        <w:lastRenderedPageBreak/>
        <w:t>вить предложение по уточнению формулировки с учетом того, что Специальная рабочая группа по согласованию МПОГ/ДОПОГ/ВОПОГ с Рекомендациями ООН по перевозке опасных грузов, безусловно, проведет обсуждение взаимосвязи между подразделом 1.1.3.3 и специальным положением 363.</w:t>
      </w:r>
    </w:p>
    <w:p w:rsidR="00C45DB0" w:rsidRPr="00034F46" w:rsidRDefault="00C45DB0" w:rsidP="00C45DB0">
      <w:pPr>
        <w:pStyle w:val="SingleTxt"/>
        <w:spacing w:after="0" w:line="120" w:lineRule="exact"/>
        <w:rPr>
          <w:sz w:val="10"/>
        </w:rPr>
      </w:pPr>
    </w:p>
    <w:p w:rsidR="00C45DB0" w:rsidRPr="00034F46" w:rsidRDefault="00C45DB0" w:rsidP="00C45DB0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7A41D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tab/>
        <w:t>B.</w:t>
      </w:r>
      <w:r w:rsidRPr="00A97F45">
        <w:tab/>
        <w:t>Расхождения в вариантах текста подпункта 1.1.3.3 c) на разных языках</w:t>
      </w:r>
    </w:p>
    <w:p w:rsidR="00A97F45" w:rsidRPr="00C45DB0" w:rsidRDefault="00A97F45" w:rsidP="00C45DB0">
      <w:pPr>
        <w:pStyle w:val="SingleTxt"/>
        <w:spacing w:after="0" w:line="120" w:lineRule="exact"/>
        <w:rPr>
          <w:sz w:val="10"/>
        </w:rPr>
      </w:pPr>
    </w:p>
    <w:p w:rsidR="00C45DB0" w:rsidRPr="00C45DB0" w:rsidRDefault="00C45DB0" w:rsidP="00C45DB0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rPr>
          <w:i/>
          <w:iCs/>
        </w:rPr>
        <w:t>Неофициальный документ</w:t>
      </w:r>
      <w:r w:rsidRPr="00A97F45">
        <w:t>:</w:t>
      </w:r>
      <w:r w:rsidRPr="00A97F45">
        <w:tab/>
        <w:t>INF.16 (Швейцария)</w:t>
      </w:r>
    </w:p>
    <w:p w:rsidR="00A97F45" w:rsidRPr="00A97F45" w:rsidRDefault="00A97F45" w:rsidP="00A97F45">
      <w:pPr>
        <w:pStyle w:val="SingleTxt"/>
      </w:pPr>
      <w:r w:rsidRPr="00A97F45">
        <w:t>23.</w:t>
      </w:r>
      <w:r w:rsidRPr="00A97F45">
        <w:tab/>
        <w:t>Было отмечено, что двигатели, упоминаемые во втором предложении по</w:t>
      </w:r>
      <w:r w:rsidRPr="00A97F45">
        <w:t>д</w:t>
      </w:r>
      <w:r w:rsidRPr="00A97F45">
        <w:t>пункта 1.1.3.3 c), могут быть только теми двигателями, которые используются внедорожной подвижной техникой, упоминаемой в первом предложении. Поэт</w:t>
      </w:r>
      <w:r w:rsidRPr="00A97F45">
        <w:t>о</w:t>
      </w:r>
      <w:r w:rsidRPr="00A97F45">
        <w:t xml:space="preserve">му, как представляется, нет необходимости включать в текст на английском языке уточнение </w:t>
      </w:r>
      <w:r w:rsidR="00D47C74">
        <w:t>«</w:t>
      </w:r>
      <w:proofErr w:type="spellStart"/>
      <w:r w:rsidRPr="00A97F45">
        <w:t>vehicle</w:t>
      </w:r>
      <w:proofErr w:type="spellEnd"/>
      <w:r w:rsidRPr="00A97F45">
        <w:t xml:space="preserve"> </w:t>
      </w:r>
      <w:proofErr w:type="spellStart"/>
      <w:r w:rsidRPr="00A97F45">
        <w:t>engine</w:t>
      </w:r>
      <w:proofErr w:type="spellEnd"/>
      <w:r w:rsidR="00D47C74">
        <w:t>»</w:t>
      </w:r>
      <w:r w:rsidRPr="00A97F45">
        <w:t xml:space="preserve"> (двигатель транспортного средства). Однако некот</w:t>
      </w:r>
      <w:r w:rsidRPr="00A97F45">
        <w:t>о</w:t>
      </w:r>
      <w:r w:rsidRPr="00A97F45">
        <w:t xml:space="preserve">рые делегации сочли, что положение, содержащееся во втором предложении, должно применяться только в том случае, если техника снабжена средством тяги. По итогам голосования предложение Швейцарии об исключении слова </w:t>
      </w:r>
      <w:r w:rsidR="00D47C74">
        <w:t>«</w:t>
      </w:r>
      <w:proofErr w:type="spellStart"/>
      <w:r w:rsidRPr="00A97F45">
        <w:t>vehicle</w:t>
      </w:r>
      <w:proofErr w:type="spellEnd"/>
      <w:r w:rsidR="00D47C74">
        <w:t>»</w:t>
      </w:r>
      <w:r w:rsidRPr="00A97F45">
        <w:t xml:space="preserve"> (транспортное средство) было принято (см. приложение II).</w:t>
      </w:r>
    </w:p>
    <w:p w:rsidR="00A97F45" w:rsidRPr="00C45DB0" w:rsidRDefault="00A97F45" w:rsidP="00C45DB0">
      <w:pPr>
        <w:pStyle w:val="SingleTxt"/>
        <w:spacing w:after="0" w:line="120" w:lineRule="exact"/>
        <w:rPr>
          <w:b/>
          <w:bCs/>
          <w:sz w:val="10"/>
        </w:rPr>
      </w:pPr>
    </w:p>
    <w:p w:rsidR="00C45DB0" w:rsidRPr="00C45DB0" w:rsidRDefault="00C45DB0" w:rsidP="00C45DB0">
      <w:pPr>
        <w:pStyle w:val="SingleTxt"/>
        <w:spacing w:after="0" w:line="120" w:lineRule="exact"/>
        <w:rPr>
          <w:b/>
          <w:bCs/>
          <w:sz w:val="10"/>
        </w:rPr>
      </w:pPr>
    </w:p>
    <w:p w:rsidR="00A97F45" w:rsidRPr="00A97F45" w:rsidRDefault="00A97F45" w:rsidP="007A41D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tab/>
        <w:t>C.</w:t>
      </w:r>
      <w:r w:rsidRPr="00A97F45">
        <w:tab/>
        <w:t>Гидравлическое испытание газовых баллонов</w:t>
      </w:r>
    </w:p>
    <w:p w:rsidR="00A97F45" w:rsidRPr="00C45DB0" w:rsidRDefault="00A97F45" w:rsidP="00C45DB0">
      <w:pPr>
        <w:pStyle w:val="SingleTxt"/>
        <w:spacing w:after="0" w:line="120" w:lineRule="exact"/>
        <w:rPr>
          <w:sz w:val="10"/>
        </w:rPr>
      </w:pPr>
    </w:p>
    <w:p w:rsidR="00C45DB0" w:rsidRPr="00C45DB0" w:rsidRDefault="00C45DB0" w:rsidP="00C45DB0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rPr>
          <w:i/>
          <w:iCs/>
        </w:rPr>
        <w:t>Неофициальный документ</w:t>
      </w:r>
      <w:r w:rsidRPr="00A97F45">
        <w:t>:</w:t>
      </w:r>
      <w:r w:rsidRPr="00A97F45">
        <w:tab/>
        <w:t>INF.26 (Швеция)</w:t>
      </w:r>
    </w:p>
    <w:p w:rsidR="00A97F45" w:rsidRPr="00A97F45" w:rsidRDefault="00A97F45" w:rsidP="00A97F45">
      <w:pPr>
        <w:pStyle w:val="SingleTxt"/>
      </w:pPr>
      <w:r w:rsidRPr="00A97F45">
        <w:t>24.</w:t>
      </w:r>
      <w:r w:rsidRPr="00A97F45">
        <w:tab/>
        <w:t>Совместное совещание сочло, что в обычном контексте правил для этого испытания следует использовать воду или жидкость, соответствующую опред</w:t>
      </w:r>
      <w:r w:rsidRPr="00A97F45">
        <w:t>е</w:t>
      </w:r>
      <w:r w:rsidRPr="00A97F45">
        <w:t>лению, содержащемуся в разделе 1.2.1, но вместе с тем в некоторых случаях можно также использовать сжиженный газ с согласия компетентного органа.</w:t>
      </w:r>
    </w:p>
    <w:p w:rsidR="00A97F45" w:rsidRPr="00C45DB0" w:rsidRDefault="00A97F45" w:rsidP="00C45DB0">
      <w:pPr>
        <w:pStyle w:val="SingleTxt"/>
        <w:spacing w:after="0" w:line="120" w:lineRule="exact"/>
        <w:rPr>
          <w:sz w:val="10"/>
        </w:rPr>
      </w:pPr>
    </w:p>
    <w:p w:rsidR="00C45DB0" w:rsidRPr="00C45DB0" w:rsidRDefault="00C45DB0" w:rsidP="00C45DB0">
      <w:pPr>
        <w:pStyle w:val="SingleTxt"/>
        <w:spacing w:after="0" w:line="120" w:lineRule="exact"/>
        <w:rPr>
          <w:sz w:val="10"/>
        </w:rPr>
      </w:pPr>
    </w:p>
    <w:p w:rsidR="00A97F45" w:rsidRPr="00A97F45" w:rsidRDefault="007A41D3" w:rsidP="007A41D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="00A97F45" w:rsidRPr="00A97F45">
        <w:t>D.</w:t>
      </w:r>
      <w:r w:rsidR="00A97F45" w:rsidRPr="00A97F45">
        <w:tab/>
        <w:t>Изъятия, связанные с газами</w:t>
      </w:r>
    </w:p>
    <w:p w:rsidR="00A97F45" w:rsidRPr="00270855" w:rsidRDefault="00A97F45" w:rsidP="00270855">
      <w:pPr>
        <w:pStyle w:val="SingleTxt"/>
        <w:spacing w:after="0" w:line="120" w:lineRule="exact"/>
        <w:rPr>
          <w:b/>
          <w:bCs/>
          <w:sz w:val="10"/>
        </w:rPr>
      </w:pPr>
    </w:p>
    <w:p w:rsidR="00270855" w:rsidRPr="00C45DB0" w:rsidRDefault="00270855" w:rsidP="00C45DB0">
      <w:pPr>
        <w:pStyle w:val="SingleTxt"/>
        <w:spacing w:after="0" w:line="120" w:lineRule="exact"/>
        <w:rPr>
          <w:b/>
          <w:bCs/>
          <w:sz w:val="10"/>
        </w:rPr>
      </w:pPr>
    </w:p>
    <w:p w:rsidR="00A97F45" w:rsidRPr="00AF519B" w:rsidRDefault="00A97F45" w:rsidP="00AF51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tab/>
      </w:r>
      <w:r w:rsidRPr="00AF519B">
        <w:t>1.</w:t>
      </w:r>
      <w:r w:rsidRPr="00AF519B">
        <w:tab/>
        <w:t>Толкование применения подпунктов 1.1.3.1 b) и 1.1.3.2 c)</w:t>
      </w:r>
    </w:p>
    <w:p w:rsidR="00A97F45" w:rsidRPr="00C45DB0" w:rsidRDefault="00A97F45" w:rsidP="00C45DB0">
      <w:pPr>
        <w:pStyle w:val="SingleTxt"/>
        <w:spacing w:after="0" w:line="120" w:lineRule="exact"/>
        <w:rPr>
          <w:b/>
          <w:bCs/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rPr>
          <w:i/>
          <w:iCs/>
        </w:rPr>
        <w:t>Неофициальный документ</w:t>
      </w:r>
      <w:r w:rsidRPr="00A97F45">
        <w:t xml:space="preserve">: </w:t>
      </w:r>
      <w:r w:rsidRPr="00A97F45">
        <w:tab/>
        <w:t>INF.35 (Германия)</w:t>
      </w:r>
    </w:p>
    <w:p w:rsidR="00A97F45" w:rsidRPr="00A97F45" w:rsidRDefault="00A97F45" w:rsidP="00A97F45">
      <w:pPr>
        <w:pStyle w:val="SingleTxt"/>
      </w:pPr>
      <w:r w:rsidRPr="00A97F45">
        <w:t>25.</w:t>
      </w:r>
      <w:r w:rsidRPr="00A97F45">
        <w:tab/>
        <w:t>Участники не достигли консенсуса по вопросу о том, существует или не существует какая-либо система приоритетов между изъятиями, предусмотре</w:t>
      </w:r>
      <w:r w:rsidRPr="00A97F45">
        <w:t>н</w:t>
      </w:r>
      <w:r w:rsidRPr="00A97F45">
        <w:t>ными в разделе 1.1.3. Некоторые делегаты сочли, что текст можно было бы уто</w:t>
      </w:r>
      <w:r w:rsidRPr="00A97F45">
        <w:t>ч</w:t>
      </w:r>
      <w:r w:rsidRPr="00A97F45">
        <w:t>нить в этом отношении.</w:t>
      </w:r>
    </w:p>
    <w:p w:rsidR="00A97F45" w:rsidRPr="00C45DB0" w:rsidRDefault="00A97F45" w:rsidP="00C45DB0">
      <w:pPr>
        <w:pStyle w:val="SingleTxt"/>
        <w:spacing w:after="0" w:line="120" w:lineRule="exact"/>
        <w:rPr>
          <w:sz w:val="10"/>
        </w:rPr>
      </w:pPr>
    </w:p>
    <w:p w:rsidR="00A97F45" w:rsidRPr="00AF519B" w:rsidRDefault="00A97F45" w:rsidP="00AF51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tab/>
      </w:r>
      <w:r w:rsidRPr="00AF519B">
        <w:t>2.</w:t>
      </w:r>
      <w:r w:rsidRPr="00AF519B">
        <w:tab/>
        <w:t>Изъятие, касающееся ламп, содержащих газы групп A и O под давлением, не</w:t>
      </w:r>
      <w:r w:rsidR="00D219A1">
        <w:rPr>
          <w:lang w:val="en-US"/>
        </w:rPr>
        <w:t> </w:t>
      </w:r>
      <w:r w:rsidRPr="00AF519B">
        <w:t>превышающим 200 кПа (2 бар)</w:t>
      </w:r>
    </w:p>
    <w:p w:rsidR="00A97F45" w:rsidRPr="00C45DB0" w:rsidRDefault="00A97F45" w:rsidP="00C45DB0">
      <w:pPr>
        <w:pStyle w:val="SingleTxt"/>
        <w:spacing w:after="0" w:line="120" w:lineRule="exact"/>
        <w:rPr>
          <w:b/>
          <w:bCs/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rPr>
          <w:i/>
          <w:iCs/>
        </w:rPr>
        <w:t>Неофициальный документ</w:t>
      </w:r>
      <w:r w:rsidRPr="00A97F45">
        <w:t xml:space="preserve">: </w:t>
      </w:r>
      <w:r w:rsidRPr="00A97F45">
        <w:tab/>
        <w:t>INF.43 (Швейцария)</w:t>
      </w:r>
    </w:p>
    <w:p w:rsidR="00A97F45" w:rsidRPr="00A97F45" w:rsidRDefault="00A97F45" w:rsidP="00A97F45">
      <w:pPr>
        <w:pStyle w:val="SingleTxt"/>
      </w:pPr>
      <w:r w:rsidRPr="00A97F45">
        <w:t>26.</w:t>
      </w:r>
      <w:r w:rsidRPr="00A97F45">
        <w:tab/>
        <w:t xml:space="preserve">Совместное совещание отметило, что затронутая Швейцарией проблема не связана </w:t>
      </w:r>
      <w:r w:rsidRPr="0004325F">
        <w:rPr>
          <w:spacing w:val="0"/>
        </w:rPr>
        <w:t xml:space="preserve">с вопросом толкования, поскольку в ПРИМЕЧАНИИ к подпункту 1.1.3.2 c) </w:t>
      </w:r>
      <w:r w:rsidRPr="00A97F45">
        <w:t>четко указано, что изъятие, предусмотренное в этом подпункте, не касается ламп и что изъятия, касающиеся ламп, предусмотрены в подразделе 1.1.3.10. Таким образом, предложение Швейцарии не решит вопрос толкования, а скорее изменит предусмотренные в настоящее время условия для применения изъятия.</w:t>
      </w:r>
    </w:p>
    <w:p w:rsidR="00A97F45" w:rsidRPr="00A97F45" w:rsidRDefault="00A97F45" w:rsidP="00A97F45">
      <w:pPr>
        <w:pStyle w:val="SingleTxt"/>
      </w:pPr>
      <w:r w:rsidRPr="00A97F45">
        <w:t>27.</w:t>
      </w:r>
      <w:r w:rsidRPr="00A97F45">
        <w:tab/>
      </w:r>
      <w:proofErr w:type="gramStart"/>
      <w:r w:rsidRPr="00A97F45">
        <w:t>Представитель Швейцарии заявил, что, по его мнению, нынешние тексты МПОГ и ДОПОГ не соответствуют Рекомендациям ООН, так как пункт 2.2.2.4 Типовых правил применяется только к грузам, которые считаются опасными, а лампы, содержащие газы групп A и O, перевозимые под давлением, не превыш</w:t>
      </w:r>
      <w:r w:rsidRPr="00A97F45">
        <w:t>а</w:t>
      </w:r>
      <w:r w:rsidRPr="00A97F45">
        <w:lastRenderedPageBreak/>
        <w:t>ющим 2 бар, уже освобождены от действия предписаний на основании пун</w:t>
      </w:r>
      <w:r w:rsidRPr="00A97F45">
        <w:t>к</w:t>
      </w:r>
      <w:r w:rsidRPr="00A97F45">
        <w:t>та</w:t>
      </w:r>
      <w:r w:rsidR="00D47C74">
        <w:t> </w:t>
      </w:r>
      <w:r w:rsidRPr="00A97F45">
        <w:t>2.2.2.3.</w:t>
      </w:r>
      <w:proofErr w:type="gramEnd"/>
      <w:r w:rsidRPr="00A97F45">
        <w:t xml:space="preserve"> Он отметил, что термин </w:t>
      </w:r>
      <w:r w:rsidR="00D47C74">
        <w:t>«</w:t>
      </w:r>
      <w:r w:rsidRPr="00A97F45">
        <w:t>сосуд</w:t>
      </w:r>
      <w:r w:rsidR="00D47C74">
        <w:t>»</w:t>
      </w:r>
      <w:r w:rsidRPr="00A97F45">
        <w:t>, определяемый в разделе 1.2.1, мог бы охватывать лампы.</w:t>
      </w:r>
    </w:p>
    <w:p w:rsidR="00A97F45" w:rsidRPr="00A97F45" w:rsidRDefault="00A97F45" w:rsidP="00A97F45">
      <w:pPr>
        <w:pStyle w:val="SingleTxt"/>
      </w:pPr>
      <w:r w:rsidRPr="00A97F45">
        <w:t>28.</w:t>
      </w:r>
      <w:r w:rsidRPr="00A97F45">
        <w:tab/>
        <w:t>Другие делегации высказали мнение, что подпункт 1.1.3.2 c) МПОГ/</w:t>
      </w:r>
      <w:r w:rsidR="0004325F">
        <w:br/>
      </w:r>
      <w:r w:rsidRPr="00A97F45">
        <w:t>ДОПОГ/ВОПОГ предусмотрен для перевозки газов, содержащихся в сосуде или цистерне, и сочли, что не всякая лампа может быть приравнена к сосуду. Кроме того, в лампах редко содержатся только газы групп A и O, а, напротив, обычно в них содержатся следовые или малые количества других опасных веществ, и н</w:t>
      </w:r>
      <w:r w:rsidRPr="00A97F45">
        <w:t>е</w:t>
      </w:r>
      <w:r w:rsidRPr="00A97F45">
        <w:t xml:space="preserve">возможно исключить опасность имплозии, </w:t>
      </w:r>
      <w:proofErr w:type="gramStart"/>
      <w:r w:rsidRPr="00A97F45">
        <w:t>например</w:t>
      </w:r>
      <w:proofErr w:type="gramEnd"/>
      <w:r w:rsidRPr="00A97F45">
        <w:t xml:space="preserve"> частично </w:t>
      </w:r>
      <w:proofErr w:type="spellStart"/>
      <w:r w:rsidRPr="00A97F45">
        <w:t>вакуумизирова</w:t>
      </w:r>
      <w:r w:rsidRPr="00A97F45">
        <w:t>н</w:t>
      </w:r>
      <w:r w:rsidRPr="00A97F45">
        <w:t>ных</w:t>
      </w:r>
      <w:proofErr w:type="spellEnd"/>
      <w:r w:rsidRPr="00A97F45">
        <w:t xml:space="preserve"> трубок. В этой связи данные делегации высказали опасения по поводу того, что предложение Швейцарии может привести к осуществлению перевозок ламп в ненадлежащих условиях, в частности использованных ламп, в обход требований подраздела 1.1.3.10.</w:t>
      </w:r>
    </w:p>
    <w:p w:rsidR="00A97F45" w:rsidRPr="00A97F45" w:rsidRDefault="00A97F45" w:rsidP="00A97F45">
      <w:pPr>
        <w:pStyle w:val="SingleTxt"/>
      </w:pPr>
      <w:r w:rsidRPr="00A97F45">
        <w:t>29.</w:t>
      </w:r>
      <w:r w:rsidRPr="00A97F45">
        <w:tab/>
        <w:t>Совместное совещание сочло нежелательным вносить изменения в сущ</w:t>
      </w:r>
      <w:r w:rsidRPr="00A97F45">
        <w:t>е</w:t>
      </w:r>
      <w:r w:rsidRPr="00A97F45">
        <w:t>ствующие положения на основе неофициального документа, представленного с</w:t>
      </w:r>
      <w:r w:rsidR="0004325F">
        <w:t> </w:t>
      </w:r>
      <w:r w:rsidRPr="00A97F45">
        <w:t>запозданием.</w:t>
      </w:r>
    </w:p>
    <w:p w:rsidR="00A97F45" w:rsidRPr="00C45DB0" w:rsidRDefault="00A97F45" w:rsidP="00C45DB0">
      <w:pPr>
        <w:pStyle w:val="SingleTxt"/>
        <w:spacing w:after="0" w:line="120" w:lineRule="exact"/>
        <w:rPr>
          <w:sz w:val="10"/>
        </w:rPr>
      </w:pPr>
    </w:p>
    <w:p w:rsidR="00C45DB0" w:rsidRPr="00C45DB0" w:rsidRDefault="00C45DB0" w:rsidP="00C45DB0">
      <w:pPr>
        <w:pStyle w:val="SingleTxt"/>
        <w:spacing w:after="0" w:line="120" w:lineRule="exact"/>
        <w:rPr>
          <w:sz w:val="10"/>
        </w:rPr>
      </w:pPr>
    </w:p>
    <w:p w:rsidR="00A97F45" w:rsidRPr="00A97F45" w:rsidRDefault="00547B3B" w:rsidP="00547B3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="00A97F45" w:rsidRPr="00A97F45">
        <w:t>E.</w:t>
      </w:r>
      <w:r w:rsidR="00A97F45" w:rsidRPr="00A97F45">
        <w:tab/>
        <w:t>Толкование пункта 7.5.2.1 (запрещение совместной погрузки взрывчатых веществ)</w:t>
      </w:r>
    </w:p>
    <w:p w:rsidR="00A97F45" w:rsidRPr="00C45DB0" w:rsidRDefault="00A97F45" w:rsidP="00C45DB0">
      <w:pPr>
        <w:pStyle w:val="SingleTxt"/>
        <w:spacing w:after="0" w:line="120" w:lineRule="exact"/>
        <w:rPr>
          <w:b/>
          <w:bCs/>
          <w:sz w:val="10"/>
        </w:rPr>
      </w:pPr>
    </w:p>
    <w:p w:rsidR="00C45DB0" w:rsidRPr="00C45DB0" w:rsidRDefault="00C45DB0" w:rsidP="00C45DB0">
      <w:pPr>
        <w:pStyle w:val="SingleTxt"/>
        <w:spacing w:after="0" w:line="120" w:lineRule="exact"/>
        <w:rPr>
          <w:b/>
          <w:bCs/>
          <w:sz w:val="10"/>
        </w:rPr>
      </w:pPr>
    </w:p>
    <w:p w:rsidR="00A97F45" w:rsidRPr="00A97F45" w:rsidRDefault="00A97F45" w:rsidP="00D47C74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4133" w:hanging="2866"/>
        <w:jc w:val="left"/>
      </w:pPr>
      <w:r w:rsidRPr="00A97F45">
        <w:rPr>
          <w:i/>
          <w:iCs/>
        </w:rPr>
        <w:t>Документ</w:t>
      </w:r>
      <w:r w:rsidRPr="00A97F45">
        <w:t>:</w:t>
      </w:r>
      <w:r w:rsidRPr="00A97F45">
        <w:tab/>
        <w:t>ECE/TRANS/WP.15/AC.1/2015/2 (Германия)</w:t>
      </w:r>
    </w:p>
    <w:p w:rsidR="00A97F45" w:rsidRPr="00A97F45" w:rsidRDefault="00A97F45" w:rsidP="00A97F45">
      <w:pPr>
        <w:pStyle w:val="SingleTxt"/>
      </w:pPr>
      <w:r w:rsidRPr="00A97F45">
        <w:rPr>
          <w:i/>
          <w:iCs/>
        </w:rPr>
        <w:t>Неофициальный документ</w:t>
      </w:r>
      <w:r w:rsidRPr="00A97F45">
        <w:t>:</w:t>
      </w:r>
      <w:r w:rsidRPr="00A97F45">
        <w:tab/>
        <w:t>INF.44 (Германия)</w:t>
      </w:r>
    </w:p>
    <w:p w:rsidR="00A97F45" w:rsidRPr="00034F46" w:rsidRDefault="00A97F45" w:rsidP="00A97F45">
      <w:pPr>
        <w:pStyle w:val="SingleTxt"/>
      </w:pPr>
      <w:r w:rsidRPr="00A97F45">
        <w:t>30.</w:t>
      </w:r>
      <w:r w:rsidRPr="00A97F45">
        <w:tab/>
        <w:t>Совместное совещание подтвердило, что в случае совместной погрузки о</w:t>
      </w:r>
      <w:r w:rsidRPr="00A97F45">
        <w:t>т</w:t>
      </w:r>
      <w:r w:rsidRPr="00A97F45">
        <w:t>личающихся друг от друга грузов класса 1 нет необходимости учитывать знак дополнительной опасности. Оно приняло поправку к существующему тексту, чтобы уточнить данное толкование (см. приложение II).</w:t>
      </w:r>
    </w:p>
    <w:p w:rsidR="00C45DB0" w:rsidRPr="00034F46" w:rsidRDefault="00C45DB0" w:rsidP="00C45DB0">
      <w:pPr>
        <w:pStyle w:val="SingleTxt"/>
        <w:spacing w:after="0" w:line="120" w:lineRule="exact"/>
        <w:rPr>
          <w:sz w:val="10"/>
        </w:rPr>
      </w:pPr>
    </w:p>
    <w:p w:rsidR="00C45DB0" w:rsidRPr="00034F46" w:rsidRDefault="00C45DB0" w:rsidP="00C45DB0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547B3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tab/>
        <w:t>F.</w:t>
      </w:r>
      <w:r w:rsidRPr="00A97F45">
        <w:tab/>
        <w:t>Погрузчик и разгрузчик</w:t>
      </w:r>
    </w:p>
    <w:p w:rsidR="00C45DB0" w:rsidRPr="00034F46" w:rsidRDefault="00C45DB0" w:rsidP="00C45DB0">
      <w:pPr>
        <w:pStyle w:val="SingleTxt"/>
        <w:spacing w:after="0" w:line="120" w:lineRule="exact"/>
        <w:rPr>
          <w:i/>
          <w:iCs/>
          <w:sz w:val="10"/>
        </w:rPr>
      </w:pPr>
    </w:p>
    <w:p w:rsidR="00C45DB0" w:rsidRPr="00034F46" w:rsidRDefault="00C45DB0" w:rsidP="00C45DB0">
      <w:pPr>
        <w:pStyle w:val="SingleTxt"/>
        <w:spacing w:after="0" w:line="120" w:lineRule="exact"/>
        <w:rPr>
          <w:i/>
          <w:iCs/>
          <w:sz w:val="10"/>
        </w:rPr>
      </w:pPr>
    </w:p>
    <w:p w:rsidR="00A97F45" w:rsidRPr="00C45DB0" w:rsidRDefault="00A97F45" w:rsidP="00547B3B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4133" w:hanging="2866"/>
        <w:jc w:val="left"/>
      </w:pPr>
      <w:r w:rsidRPr="00A97F45">
        <w:rPr>
          <w:i/>
          <w:iCs/>
        </w:rPr>
        <w:t>Документы</w:t>
      </w:r>
      <w:r w:rsidRPr="00A97F45">
        <w:t>:</w:t>
      </w:r>
      <w:r w:rsidRPr="00A97F45">
        <w:tab/>
        <w:t>ECE/TRANS/WP.15/AC.1/2015/6 (Швеция)</w:t>
      </w:r>
      <w:r w:rsidR="00547B3B" w:rsidRPr="00547B3B">
        <w:br/>
      </w:r>
      <w:r w:rsidRPr="00A97F45">
        <w:rPr>
          <w:lang w:val="en-US"/>
        </w:rPr>
        <w:t>ECE</w:t>
      </w:r>
      <w:r w:rsidRPr="00C45DB0">
        <w:t>/</w:t>
      </w:r>
      <w:r w:rsidRPr="00A97F45">
        <w:rPr>
          <w:lang w:val="en-US"/>
        </w:rPr>
        <w:t>TRANS</w:t>
      </w:r>
      <w:r w:rsidRPr="00C45DB0">
        <w:t>/</w:t>
      </w:r>
      <w:r w:rsidRPr="00A97F45">
        <w:rPr>
          <w:lang w:val="en-US"/>
        </w:rPr>
        <w:t>WP</w:t>
      </w:r>
      <w:r w:rsidRPr="00C45DB0">
        <w:t>.15/</w:t>
      </w:r>
      <w:r w:rsidRPr="00A97F45">
        <w:rPr>
          <w:lang w:val="en-US"/>
        </w:rPr>
        <w:t>AC</w:t>
      </w:r>
      <w:r w:rsidRPr="00C45DB0">
        <w:t>.1/2015/7 (</w:t>
      </w:r>
      <w:r w:rsidRPr="00A97F45">
        <w:t>Испания</w:t>
      </w:r>
      <w:r w:rsidRPr="00C45DB0">
        <w:t>)</w:t>
      </w:r>
    </w:p>
    <w:p w:rsidR="00A97F45" w:rsidRPr="00A97F45" w:rsidRDefault="00A97F45" w:rsidP="00D219A1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4133" w:hanging="2866"/>
        <w:jc w:val="left"/>
      </w:pPr>
      <w:r w:rsidRPr="00A97F45">
        <w:rPr>
          <w:i/>
          <w:iCs/>
        </w:rPr>
        <w:t>Неофициальные документы</w:t>
      </w:r>
      <w:r w:rsidRPr="00A97F45">
        <w:t>:</w:t>
      </w:r>
      <w:r w:rsidRPr="00A97F45">
        <w:tab/>
        <w:t>INF.21 (Швеция)</w:t>
      </w:r>
      <w:r w:rsidR="00D219A1" w:rsidRPr="00D219A1">
        <w:br/>
      </w:r>
      <w:r w:rsidRPr="00A97F45">
        <w:t>INF.46 и INF.47 (Швеция и Испания)</w:t>
      </w:r>
    </w:p>
    <w:p w:rsidR="00A97F45" w:rsidRPr="00A97F45" w:rsidRDefault="00A97F45" w:rsidP="00A97F45">
      <w:pPr>
        <w:pStyle w:val="SingleTxt"/>
      </w:pPr>
      <w:r w:rsidRPr="00A97F45">
        <w:t>31.</w:t>
      </w:r>
      <w:r w:rsidRPr="00A97F45">
        <w:tab/>
        <w:t>Предложения Швеции и Испании, имеющие целью уточнить определения погрузчика и разгрузчика и их обязанности, стали предметом продолжительного обсуждения. По завершении этого обсуждения было решено, что предложения, содержащиеся в неофициальных документах INF.46 и INF.47, требуют дальне</w:t>
      </w:r>
      <w:r w:rsidRPr="00A97F45">
        <w:t>й</w:t>
      </w:r>
      <w:r w:rsidRPr="00A97F45">
        <w:t>шего рассмотрения. На следующей сессии будет представлен новый документ, в котором будут приняты во внимание различные выступления.</w:t>
      </w:r>
    </w:p>
    <w:p w:rsidR="00A97F45" w:rsidRPr="00547B3B" w:rsidRDefault="00A97F45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27085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lastRenderedPageBreak/>
        <w:tab/>
        <w:t>VI.</w:t>
      </w:r>
      <w:r w:rsidRPr="00A97F45">
        <w:tab/>
        <w:t>Предложения о внесении поправок в МПОГ/ДОПОГ/</w:t>
      </w:r>
      <w:r w:rsidR="00D219A1" w:rsidRPr="00D219A1">
        <w:br/>
      </w:r>
      <w:r w:rsidRPr="00A97F45">
        <w:t>ВОПОГ (пункт 5 повестки дня)</w:t>
      </w:r>
    </w:p>
    <w:p w:rsidR="00547B3B" w:rsidRPr="00547B3B" w:rsidRDefault="00547B3B" w:rsidP="00270855">
      <w:pPr>
        <w:pStyle w:val="SingleTxt"/>
        <w:keepNext/>
        <w:spacing w:after="0" w:line="120" w:lineRule="exact"/>
        <w:rPr>
          <w:sz w:val="10"/>
        </w:rPr>
      </w:pPr>
    </w:p>
    <w:p w:rsidR="00547B3B" w:rsidRPr="00547B3B" w:rsidRDefault="00547B3B" w:rsidP="00270855">
      <w:pPr>
        <w:pStyle w:val="SingleTxt"/>
        <w:keepNext/>
        <w:spacing w:after="0" w:line="120" w:lineRule="exact"/>
        <w:rPr>
          <w:sz w:val="10"/>
        </w:rPr>
      </w:pPr>
    </w:p>
    <w:p w:rsidR="00A97F45" w:rsidRPr="00A97F45" w:rsidRDefault="00A97F45" w:rsidP="00270855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tab/>
        <w:t>A.</w:t>
      </w:r>
      <w:r w:rsidRPr="00A97F45">
        <w:tab/>
        <w:t>Нерассмотренные вопросы</w:t>
      </w:r>
    </w:p>
    <w:p w:rsidR="00547B3B" w:rsidRPr="00547B3B" w:rsidRDefault="00547B3B" w:rsidP="00270855">
      <w:pPr>
        <w:pStyle w:val="SingleTxt"/>
        <w:keepNext/>
        <w:spacing w:after="0" w:line="120" w:lineRule="exact"/>
        <w:rPr>
          <w:sz w:val="10"/>
        </w:rPr>
      </w:pPr>
    </w:p>
    <w:p w:rsidR="00547B3B" w:rsidRPr="00547B3B" w:rsidRDefault="00547B3B" w:rsidP="00270855">
      <w:pPr>
        <w:pStyle w:val="SingleTxt"/>
        <w:keepNext/>
        <w:spacing w:after="0" w:line="120" w:lineRule="exact"/>
        <w:rPr>
          <w:sz w:val="10"/>
        </w:rPr>
      </w:pPr>
    </w:p>
    <w:p w:rsidR="00A97F45" w:rsidRPr="00AF519B" w:rsidRDefault="00547B3B" w:rsidP="002708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="00A97F45" w:rsidRPr="00AF519B">
        <w:t>1.</w:t>
      </w:r>
      <w:r w:rsidR="00A97F45" w:rsidRPr="00AF519B">
        <w:tab/>
        <w:t>Маркировка на упаковках, размещение знаков уменьшенных размеров на</w:t>
      </w:r>
      <w:r w:rsidR="00D219A1">
        <w:rPr>
          <w:lang w:val="en-US"/>
        </w:rPr>
        <w:t> </w:t>
      </w:r>
      <w:r w:rsidR="00A97F45" w:rsidRPr="00AF519B">
        <w:t>баллонах для СНГ</w:t>
      </w:r>
    </w:p>
    <w:p w:rsidR="00A97F45" w:rsidRPr="00547B3B" w:rsidRDefault="00A97F45" w:rsidP="00270855">
      <w:pPr>
        <w:pStyle w:val="SingleTxt"/>
        <w:keepNext/>
        <w:spacing w:after="0" w:line="120" w:lineRule="exact"/>
        <w:rPr>
          <w:sz w:val="10"/>
        </w:rPr>
      </w:pPr>
    </w:p>
    <w:p w:rsidR="00A97F45" w:rsidRPr="00506C6B" w:rsidRDefault="00A97F45" w:rsidP="00270855">
      <w:pPr>
        <w:pStyle w:val="SingleTxt"/>
        <w:keepNext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4133" w:hanging="2866"/>
        <w:jc w:val="left"/>
        <w:rPr>
          <w:lang w:val="en-GB"/>
        </w:rPr>
      </w:pPr>
      <w:r w:rsidRPr="00270855">
        <w:rPr>
          <w:i/>
        </w:rPr>
        <w:t>Документ</w:t>
      </w:r>
      <w:r w:rsidRPr="00506C6B">
        <w:rPr>
          <w:lang w:val="en-GB"/>
        </w:rPr>
        <w:t>:</w:t>
      </w:r>
      <w:r w:rsidR="00D219A1" w:rsidRPr="00506C6B">
        <w:rPr>
          <w:lang w:val="en-GB"/>
        </w:rPr>
        <w:tab/>
      </w:r>
      <w:r w:rsidRPr="00506C6B">
        <w:rPr>
          <w:lang w:val="en-GB"/>
        </w:rPr>
        <w:t>ECE/TRANS/WP.15/AC.1/2015/12 (</w:t>
      </w:r>
      <w:r w:rsidRPr="00A97F45">
        <w:t>ЕАСНГ</w:t>
      </w:r>
      <w:r w:rsidRPr="00506C6B">
        <w:rPr>
          <w:lang w:val="en-GB"/>
        </w:rPr>
        <w:t>)</w:t>
      </w:r>
    </w:p>
    <w:p w:rsidR="00A97F45" w:rsidRPr="00A97F45" w:rsidRDefault="00A97F45" w:rsidP="00270855">
      <w:pPr>
        <w:pStyle w:val="SingleTxt"/>
        <w:keepNext/>
      </w:pPr>
      <w:r w:rsidRPr="00A97F45">
        <w:t>32.</w:t>
      </w:r>
      <w:r w:rsidRPr="00A97F45">
        <w:tab/>
        <w:t>Некоторые делегации высказали оговорки по поводу данного предложения, поскольку, по их мнению, размещение знаков уменьшенных размеров в соотве</w:t>
      </w:r>
      <w:r w:rsidRPr="00A97F45">
        <w:t>т</w:t>
      </w:r>
      <w:r w:rsidRPr="00A97F45">
        <w:t>ствии со стандартом ISO 7225 не повышает уровень безопасности перевозок, е</w:t>
      </w:r>
      <w:r w:rsidRPr="00A97F45">
        <w:t>с</w:t>
      </w:r>
      <w:r w:rsidRPr="00A97F45">
        <w:t>ли возможно размещать знаки нормальных или промежуточных размеров. Со</w:t>
      </w:r>
      <w:r w:rsidRPr="00A97F45">
        <w:t>в</w:t>
      </w:r>
      <w:r w:rsidRPr="00A97F45">
        <w:t>местное совещание согласилось с тем, что ЕАСНГ может представить новое предложение на следующей сессии с учетом высказанных замечаний.</w:t>
      </w:r>
    </w:p>
    <w:p w:rsidR="00A97F45" w:rsidRPr="00547B3B" w:rsidRDefault="00A97F45" w:rsidP="00547B3B">
      <w:pPr>
        <w:pStyle w:val="SingleTxt"/>
        <w:spacing w:after="0" w:line="120" w:lineRule="exact"/>
        <w:rPr>
          <w:sz w:val="10"/>
        </w:rPr>
      </w:pPr>
    </w:p>
    <w:p w:rsidR="00A97F45" w:rsidRPr="00AF519B" w:rsidRDefault="00547B3B" w:rsidP="00AF51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="00A97F45" w:rsidRPr="00AF519B">
        <w:t>2.</w:t>
      </w:r>
      <w:r w:rsidR="00A97F45" w:rsidRPr="00AF519B">
        <w:tab/>
        <w:t>Поправки к положениям раздела 1.8.3</w:t>
      </w:r>
    </w:p>
    <w:p w:rsidR="00547B3B" w:rsidRPr="00034F46" w:rsidRDefault="00547B3B" w:rsidP="00547B3B">
      <w:pPr>
        <w:pStyle w:val="SingleTxt"/>
        <w:spacing w:after="0" w:line="120" w:lineRule="exact"/>
        <w:rPr>
          <w:i/>
          <w:iCs/>
          <w:sz w:val="10"/>
        </w:rPr>
      </w:pPr>
    </w:p>
    <w:p w:rsidR="00A97F45" w:rsidRPr="00034F46" w:rsidRDefault="00A97F45" w:rsidP="0004325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4133" w:hanging="2866"/>
        <w:jc w:val="left"/>
      </w:pPr>
      <w:r w:rsidRPr="00270855">
        <w:rPr>
          <w:i/>
        </w:rPr>
        <w:t>Документ</w:t>
      </w:r>
      <w:r w:rsidRPr="00034F46">
        <w:t>:</w:t>
      </w:r>
      <w:r w:rsidRPr="00034F46">
        <w:tab/>
      </w:r>
      <w:r w:rsidRPr="0004325F">
        <w:t>ECE</w:t>
      </w:r>
      <w:r w:rsidRPr="00034F46">
        <w:t>/</w:t>
      </w:r>
      <w:r w:rsidRPr="0004325F">
        <w:t>TRANS</w:t>
      </w:r>
      <w:r w:rsidRPr="00034F46">
        <w:t>/</w:t>
      </w:r>
      <w:r w:rsidRPr="0004325F">
        <w:t>WP</w:t>
      </w:r>
      <w:r w:rsidRPr="00034F46">
        <w:t>.15/</w:t>
      </w:r>
      <w:r w:rsidRPr="0004325F">
        <w:t>AC</w:t>
      </w:r>
      <w:r w:rsidRPr="00034F46">
        <w:t>.1/2015/18 (</w:t>
      </w:r>
      <w:r w:rsidRPr="00A97F45">
        <w:t>Румыния</w:t>
      </w:r>
      <w:r w:rsidRPr="00034F46">
        <w:t>)</w:t>
      </w:r>
    </w:p>
    <w:p w:rsidR="00A97F45" w:rsidRPr="00A97F45" w:rsidRDefault="00A97F45" w:rsidP="00A97F45">
      <w:pPr>
        <w:pStyle w:val="SingleTxt"/>
      </w:pPr>
      <w:r w:rsidRPr="00A97F45">
        <w:rPr>
          <w:i/>
          <w:iCs/>
        </w:rPr>
        <w:t>Неофициальный документ</w:t>
      </w:r>
      <w:r w:rsidRPr="00A97F45">
        <w:t xml:space="preserve">: </w:t>
      </w:r>
      <w:r w:rsidRPr="00A97F45">
        <w:tab/>
        <w:t>INF.45 (Румыния)</w:t>
      </w:r>
    </w:p>
    <w:p w:rsidR="00A97F45" w:rsidRPr="00A97F45" w:rsidRDefault="00A97F45" w:rsidP="00A97F45">
      <w:pPr>
        <w:pStyle w:val="SingleTxt"/>
      </w:pPr>
      <w:r w:rsidRPr="00A97F45">
        <w:t>33.</w:t>
      </w:r>
      <w:r w:rsidRPr="00A97F45">
        <w:tab/>
        <w:t>Большинство делегаций сочли, что для деятельности, связанной с упаков</w:t>
      </w:r>
      <w:r w:rsidRPr="00A97F45">
        <w:t>ы</w:t>
      </w:r>
      <w:r w:rsidRPr="00A97F45">
        <w:t>ванием и наполнением тары или цистерн в соответствии с требованиями к пер</w:t>
      </w:r>
      <w:r w:rsidRPr="00A97F45">
        <w:t>е</w:t>
      </w:r>
      <w:r w:rsidRPr="00A97F45">
        <w:t>возке, оправданным является использование услуг консультантов по вопросам безопасности и, кроме того, это уже предусмотрено в законодательстве их стран. По итогам проведенного голосования предложение о включении четкого соотве</w:t>
      </w:r>
      <w:r w:rsidRPr="00A97F45">
        <w:t>т</w:t>
      </w:r>
      <w:r w:rsidRPr="00A97F45">
        <w:t xml:space="preserve">ствующего указания на этот счет в различные пункты раздела 1.8.3 было принято (см. приложение II). В результате проведенного голосования устное предложение Бельгии о том, чтобы не включать соответствующую формулировку в некоторые пункты, с </w:t>
      </w:r>
      <w:proofErr w:type="gramStart"/>
      <w:r w:rsidRPr="00A97F45">
        <w:t>тем</w:t>
      </w:r>
      <w:proofErr w:type="gramEnd"/>
      <w:r w:rsidRPr="00A97F45">
        <w:t xml:space="preserve"> чтобы избежать, в частности, увеличения числа отчетов в тех сл</w:t>
      </w:r>
      <w:r w:rsidRPr="00A97F45">
        <w:t>у</w:t>
      </w:r>
      <w:r w:rsidRPr="00A97F45">
        <w:t>чаях, когда инциденты или аварии, произошедшие в ходе этих операций, не им</w:t>
      </w:r>
      <w:r w:rsidRPr="00A97F45">
        <w:t>е</w:t>
      </w:r>
      <w:r w:rsidRPr="00A97F45">
        <w:t>ли каких-либо прямых последствий для перевозки, не было принято.</w:t>
      </w:r>
    </w:p>
    <w:p w:rsidR="00A97F45" w:rsidRPr="00A97F45" w:rsidRDefault="00A97F45" w:rsidP="00A97F45">
      <w:pPr>
        <w:pStyle w:val="SingleTxt"/>
      </w:pPr>
      <w:r w:rsidRPr="00A97F45">
        <w:t>34.</w:t>
      </w:r>
      <w:r w:rsidRPr="00A97F45">
        <w:tab/>
        <w:t>На основе предложения, изложенного в неофициальном документе INF.45, для внесения изменений в текст образца свидетельства был также предусмотрен переходный период (см. приложение II).</w:t>
      </w:r>
    </w:p>
    <w:p w:rsidR="00547B3B" w:rsidRPr="00034F46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034F46" w:rsidRDefault="00A97F45" w:rsidP="00B66B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  <w:t>3.</w:t>
      </w:r>
      <w:r w:rsidRPr="00034F46">
        <w:tab/>
        <w:t>Возможность использования электронных сре</w:t>
      </w:r>
      <w:proofErr w:type="gramStart"/>
      <w:r w:rsidRPr="00034F46">
        <w:t>дств в пр</w:t>
      </w:r>
      <w:proofErr w:type="gramEnd"/>
      <w:r w:rsidRPr="00034F46">
        <w:t xml:space="preserve">оцессе </w:t>
      </w:r>
      <w:proofErr w:type="spellStart"/>
      <w:r w:rsidRPr="00034F46">
        <w:t>экзаменования</w:t>
      </w:r>
      <w:proofErr w:type="spellEnd"/>
      <w:r w:rsidRPr="00034F46">
        <w:t xml:space="preserve"> консультантов по вопросам безопасности</w:t>
      </w:r>
    </w:p>
    <w:p w:rsidR="00547B3B" w:rsidRPr="00034F46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04325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4133" w:hanging="2866"/>
        <w:jc w:val="left"/>
      </w:pPr>
      <w:r w:rsidRPr="00A97F45">
        <w:rPr>
          <w:i/>
          <w:iCs/>
        </w:rPr>
        <w:t>Документ</w:t>
      </w:r>
      <w:r w:rsidRPr="00A97F45">
        <w:t>:</w:t>
      </w:r>
      <w:r w:rsidRPr="00A97F45">
        <w:tab/>
        <w:t>ECE/TRANS/WP.15/AC.1/2015/21 (Германия)</w:t>
      </w:r>
    </w:p>
    <w:p w:rsidR="00A335AC" w:rsidRPr="00A97F45" w:rsidRDefault="00A335AC" w:rsidP="00A335AC">
      <w:pPr>
        <w:pStyle w:val="SingleTxt"/>
      </w:pPr>
      <w:r w:rsidRPr="00A97F45">
        <w:rPr>
          <w:i/>
          <w:iCs/>
        </w:rPr>
        <w:t>Неофициальный документ</w:t>
      </w:r>
      <w:r w:rsidRPr="00A97F45">
        <w:t xml:space="preserve">: </w:t>
      </w:r>
      <w:r w:rsidRPr="00A97F45">
        <w:tab/>
        <w:t>INF.4 (</w:t>
      </w:r>
      <w:r>
        <w:t>Германия</w:t>
      </w:r>
      <w:r w:rsidRPr="00A97F45">
        <w:t>)</w:t>
      </w:r>
    </w:p>
    <w:p w:rsidR="00A97F45" w:rsidRPr="00A97F45" w:rsidRDefault="00A97F45" w:rsidP="00A97F45">
      <w:pPr>
        <w:pStyle w:val="SingleTxt"/>
      </w:pPr>
      <w:r w:rsidRPr="00A97F45">
        <w:t>35.</w:t>
      </w:r>
      <w:r w:rsidRPr="00A97F45">
        <w:tab/>
        <w:t>Совместное совещание в принципе одобрило включение положений об и</w:t>
      </w:r>
      <w:r w:rsidRPr="00A97F45">
        <w:t>с</w:t>
      </w:r>
      <w:r w:rsidRPr="00A97F45">
        <w:t>пользовании электронных сре</w:t>
      </w:r>
      <w:proofErr w:type="gramStart"/>
      <w:r w:rsidRPr="00A97F45">
        <w:t>дств в пр</w:t>
      </w:r>
      <w:proofErr w:type="gramEnd"/>
      <w:r w:rsidRPr="00A97F45">
        <w:t xml:space="preserve">оцессе </w:t>
      </w:r>
      <w:proofErr w:type="spellStart"/>
      <w:r w:rsidRPr="00A97F45">
        <w:t>экзаменования</w:t>
      </w:r>
      <w:proofErr w:type="spellEnd"/>
      <w:r w:rsidRPr="00A97F45">
        <w:t xml:space="preserve"> консультантов по вопросам безопасности. Ввиду того, что по поводу деталей данного предложения был высказан ряд замечаний, представитель Германии обратился к заинтерес</w:t>
      </w:r>
      <w:r w:rsidRPr="00A97F45">
        <w:t>о</w:t>
      </w:r>
      <w:r w:rsidRPr="00A97F45">
        <w:t xml:space="preserve">ванным делегациям с просьбой передать ему свои замечания в письменном виде, с </w:t>
      </w:r>
      <w:proofErr w:type="gramStart"/>
      <w:r w:rsidRPr="00A97F45">
        <w:t>тем</w:t>
      </w:r>
      <w:proofErr w:type="gramEnd"/>
      <w:r w:rsidRPr="00A97F45">
        <w:t xml:space="preserve"> чтобы он смог представить пересмотренное предложение.</w:t>
      </w:r>
    </w:p>
    <w:p w:rsidR="00547B3B" w:rsidRPr="00034F46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034F46" w:rsidRDefault="00A97F45" w:rsidP="00A335A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lastRenderedPageBreak/>
        <w:tab/>
        <w:t>4.</w:t>
      </w:r>
      <w:r w:rsidRPr="00034F46">
        <w:tab/>
        <w:t>Перевозка живых животных</w:t>
      </w:r>
    </w:p>
    <w:p w:rsidR="00547B3B" w:rsidRPr="00034F46" w:rsidRDefault="00547B3B" w:rsidP="00A335AC">
      <w:pPr>
        <w:pStyle w:val="SingleTxt"/>
        <w:keepNext/>
        <w:spacing w:after="0" w:line="120" w:lineRule="exact"/>
        <w:rPr>
          <w:sz w:val="10"/>
        </w:rPr>
      </w:pPr>
    </w:p>
    <w:p w:rsidR="00A97F45" w:rsidRPr="00A97F45" w:rsidRDefault="00A97F45" w:rsidP="00A335AC">
      <w:pPr>
        <w:pStyle w:val="SingleTxt"/>
        <w:keepNext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4133" w:hanging="2866"/>
        <w:jc w:val="left"/>
      </w:pPr>
      <w:r w:rsidRPr="00A97F45">
        <w:rPr>
          <w:i/>
          <w:iCs/>
        </w:rPr>
        <w:t>Документ</w:t>
      </w:r>
      <w:r w:rsidRPr="00A97F45">
        <w:t>:</w:t>
      </w:r>
      <w:r w:rsidRPr="00A97F45">
        <w:tab/>
        <w:t>ECE/TRANS/WP.15/AC.1/2015/5 (секретариат)</w:t>
      </w:r>
    </w:p>
    <w:p w:rsidR="00A97F45" w:rsidRPr="00A97F45" w:rsidRDefault="00A97F45" w:rsidP="00A335AC">
      <w:pPr>
        <w:pStyle w:val="SingleTxt"/>
        <w:keepNext/>
      </w:pPr>
      <w:r w:rsidRPr="00A97F45">
        <w:rPr>
          <w:i/>
          <w:iCs/>
        </w:rPr>
        <w:t>Неофициальный документ</w:t>
      </w:r>
      <w:r w:rsidRPr="00A97F45">
        <w:t>:</w:t>
      </w:r>
      <w:r w:rsidRPr="00A97F45">
        <w:tab/>
        <w:t>INF.20 (Испания)</w:t>
      </w:r>
    </w:p>
    <w:p w:rsidR="00A97F45" w:rsidRPr="00A97F45" w:rsidRDefault="00A97F45" w:rsidP="00A335AC">
      <w:pPr>
        <w:pStyle w:val="SingleTxt"/>
        <w:keepNext/>
      </w:pPr>
      <w:r w:rsidRPr="00A97F45">
        <w:t>36.</w:t>
      </w:r>
      <w:r w:rsidRPr="00A97F45">
        <w:tab/>
        <w:t>Совместное совещание подтвердило тексты, принятые в ходе весенней се</w:t>
      </w:r>
      <w:r w:rsidRPr="00A97F45">
        <w:t>с</w:t>
      </w:r>
      <w:r w:rsidRPr="00A97F45">
        <w:t xml:space="preserve">сии 2014 года, опустив при этом квадратные скобки, в которые было заключено слово </w:t>
      </w:r>
      <w:r w:rsidR="00D47C74">
        <w:t>«</w:t>
      </w:r>
      <w:r w:rsidRPr="00A97F45">
        <w:t>преднамеренно</w:t>
      </w:r>
      <w:r w:rsidR="00D47C74">
        <w:t>»</w:t>
      </w:r>
      <w:r w:rsidRPr="00A97F45">
        <w:t xml:space="preserve"> в ПРИМЕЧАНИИ 1 в пункте 2.2.62.1.1 (см. прилож</w:t>
      </w:r>
      <w:r w:rsidRPr="00A97F45">
        <w:t>е</w:t>
      </w:r>
      <w:r w:rsidRPr="00A97F45">
        <w:t>ние</w:t>
      </w:r>
      <w:r w:rsidR="0004325F">
        <w:t> </w:t>
      </w:r>
      <w:r w:rsidRPr="00A97F45">
        <w:t>II).</w:t>
      </w:r>
    </w:p>
    <w:p w:rsidR="00A97F45" w:rsidRPr="00A97F45" w:rsidRDefault="00A97F45" w:rsidP="00A97F45">
      <w:pPr>
        <w:pStyle w:val="SingleTxt"/>
      </w:pPr>
      <w:r w:rsidRPr="00A97F45">
        <w:t>37.</w:t>
      </w:r>
      <w:r w:rsidRPr="00A97F45">
        <w:tab/>
        <w:t xml:space="preserve">По поводу предложения Испании, предусматривавшего включение ссылки на </w:t>
      </w:r>
      <w:proofErr w:type="spellStart"/>
      <w:r w:rsidRPr="00A97F45">
        <w:t>Картахенский</w:t>
      </w:r>
      <w:proofErr w:type="spellEnd"/>
      <w:r w:rsidRPr="00A97F45">
        <w:t xml:space="preserve"> протокол по биобезопасности, ряд делегаций указали, что Дог</w:t>
      </w:r>
      <w:r w:rsidRPr="00A97F45">
        <w:t>о</w:t>
      </w:r>
      <w:r w:rsidRPr="00A97F45">
        <w:t>варивающимся сторонам данного Протокола реально необходимо соблюдать его требования, однако, как представляется, им не следует ссылаться на него, так как это может привести к путанице. После голосования по данному предложению оно не было принято.</w:t>
      </w:r>
    </w:p>
    <w:p w:rsidR="00547B3B" w:rsidRPr="00034F46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B66B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tab/>
        <w:t>5.</w:t>
      </w:r>
      <w:r w:rsidRPr="00A97F45">
        <w:tab/>
        <w:t>Утверждение тары для инфекционных веществ</w:t>
      </w:r>
    </w:p>
    <w:p w:rsidR="00547B3B" w:rsidRPr="00034F46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04325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4133" w:hanging="2866"/>
        <w:jc w:val="left"/>
      </w:pPr>
      <w:r w:rsidRPr="00A97F45">
        <w:rPr>
          <w:i/>
          <w:iCs/>
        </w:rPr>
        <w:t>Документ</w:t>
      </w:r>
      <w:r w:rsidRPr="00A97F45">
        <w:t>:</w:t>
      </w:r>
      <w:r w:rsidRPr="00A97F45">
        <w:tab/>
        <w:t>ECE/TRANS/WP.15/AC.1/2015/9 (Швейцария)</w:t>
      </w:r>
    </w:p>
    <w:p w:rsidR="00A97F45" w:rsidRPr="00A97F45" w:rsidRDefault="00A97F45" w:rsidP="00A97F45">
      <w:pPr>
        <w:pStyle w:val="SingleTxt"/>
      </w:pPr>
      <w:r w:rsidRPr="00A97F45">
        <w:t>38.</w:t>
      </w:r>
      <w:r w:rsidRPr="00A97F45">
        <w:tab/>
        <w:t>Совместное совещание приняло предложенную поправку к пункту 4.1.8.2</w:t>
      </w:r>
      <w:r w:rsidR="00A335AC">
        <w:t xml:space="preserve"> (см. приложение II).</w:t>
      </w:r>
    </w:p>
    <w:p w:rsidR="00A97F45" w:rsidRPr="00A97F45" w:rsidRDefault="00A97F45" w:rsidP="00A97F45">
      <w:pPr>
        <w:pStyle w:val="SingleTxt"/>
      </w:pPr>
      <w:r w:rsidRPr="00A97F45">
        <w:t>39.</w:t>
      </w:r>
      <w:r w:rsidRPr="00A97F45">
        <w:tab/>
        <w:t>В ответ на поставленный Швейцарией вопрос большинство делегаций о</w:t>
      </w:r>
      <w:r w:rsidRPr="00A97F45">
        <w:t>т</w:t>
      </w:r>
      <w:r w:rsidRPr="00A97F45">
        <w:t>метили, что для перевозки клинических отходов существующие правила требуют использования тары утвержденного типа конструкции и что они не видят каких-либо причин для изменения данного требования. В любом случае Совместное совещание сочло, что затронутые вопросы относятся к компетенции Подкомит</w:t>
      </w:r>
      <w:r w:rsidRPr="00A97F45">
        <w:t>е</w:t>
      </w:r>
      <w:r w:rsidRPr="00A97F45">
        <w:t>та экспертов Организации Объединенных Наций.</w:t>
      </w:r>
    </w:p>
    <w:p w:rsidR="00547B3B" w:rsidRPr="00034F46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B66B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tab/>
        <w:t>6.</w:t>
      </w:r>
      <w:r w:rsidRPr="00A97F45">
        <w:tab/>
        <w:t xml:space="preserve">Перевозка отработавшего электрического и электронного оборудования </w:t>
      </w:r>
    </w:p>
    <w:p w:rsidR="00547B3B" w:rsidRPr="00034F46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rPr>
          <w:i/>
          <w:iCs/>
        </w:rPr>
        <w:t>Неофициальный документ</w:t>
      </w:r>
      <w:r w:rsidRPr="00A97F45">
        <w:t>:</w:t>
      </w:r>
      <w:r w:rsidRPr="00A97F45">
        <w:tab/>
        <w:t>INF.13 и Add.1 (Германия)</w:t>
      </w:r>
    </w:p>
    <w:p w:rsidR="00A97F45" w:rsidRPr="00A97F45" w:rsidRDefault="00A97F45" w:rsidP="00A97F45">
      <w:pPr>
        <w:pStyle w:val="SingleTxt"/>
      </w:pPr>
      <w:r w:rsidRPr="00A97F45">
        <w:t>40.</w:t>
      </w:r>
      <w:r w:rsidRPr="00A97F45">
        <w:tab/>
        <w:t>Совместное совещание приняло предложение Германии представить резул</w:t>
      </w:r>
      <w:r w:rsidRPr="00A97F45">
        <w:t>ь</w:t>
      </w:r>
      <w:r w:rsidRPr="00A97F45">
        <w:t>таты рассылки вопросника и тексты, предложенные в неофициальном документе INF.13, неофициальной рабочей группе для решения вопроса об отходах эле</w:t>
      </w:r>
      <w:r w:rsidRPr="00A97F45">
        <w:t>к</w:t>
      </w:r>
      <w:r w:rsidRPr="00A97F45">
        <w:t>трического и электронного оборудования, в отношении которых известно, что они содержат литиевые батареи.</w:t>
      </w:r>
    </w:p>
    <w:p w:rsidR="00A97F45" w:rsidRPr="00A97F45" w:rsidRDefault="00A97F45" w:rsidP="00A97F45">
      <w:pPr>
        <w:pStyle w:val="SingleTxt"/>
      </w:pPr>
      <w:r w:rsidRPr="00A97F45">
        <w:t>41.</w:t>
      </w:r>
      <w:r w:rsidRPr="00A97F45">
        <w:tab/>
        <w:t>Представитель Швейцарии высказал надежду на то, что эта группа ра</w:t>
      </w:r>
      <w:r w:rsidRPr="00A97F45">
        <w:t>с</w:t>
      </w:r>
      <w:r w:rsidRPr="00A97F45">
        <w:t>смотрит также вопросы перевозки других отходов электрического и электронн</w:t>
      </w:r>
      <w:r w:rsidRPr="00A97F45">
        <w:t>о</w:t>
      </w:r>
      <w:r w:rsidRPr="00A97F45">
        <w:t xml:space="preserve">го оборудования, таких как использованные лампы и </w:t>
      </w:r>
      <w:proofErr w:type="spellStart"/>
      <w:r w:rsidRPr="00A97F45">
        <w:t>дымосигнализаторы</w:t>
      </w:r>
      <w:proofErr w:type="spellEnd"/>
      <w:r w:rsidRPr="00A97F45">
        <w:t>. Со</w:t>
      </w:r>
      <w:r w:rsidRPr="00A97F45">
        <w:t>в</w:t>
      </w:r>
      <w:r w:rsidRPr="00A97F45">
        <w:t>местное совещание сочло, что работа группы должна касаться только отходов, указанных в неофициальном документе INF.13. В случае необходимости ра</w:t>
      </w:r>
      <w:r w:rsidRPr="00A97F45">
        <w:t>с</w:t>
      </w:r>
      <w:r w:rsidRPr="00A97F45">
        <w:t>смотрения других вопросов соответствующее правительство или организация должны будут согласиться организовать заседания еще одной неофициальной р</w:t>
      </w:r>
      <w:r w:rsidRPr="00A97F45">
        <w:t>а</w:t>
      </w:r>
      <w:r w:rsidRPr="00A97F45">
        <w:t>бочей группы.</w:t>
      </w:r>
    </w:p>
    <w:p w:rsidR="00A97F45" w:rsidRPr="00547B3B" w:rsidRDefault="00A97F45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B66BA3" w:rsidP="00B66B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="00A97F45" w:rsidRPr="00A97F45">
        <w:t>7.</w:t>
      </w:r>
      <w:r w:rsidR="00A97F45" w:rsidRPr="00A97F45">
        <w:tab/>
        <w:t>Обновление ссылок на документы Европейского союза (токсичные вещества; коррозионные вещества; вещества, опасные для водной среды)</w:t>
      </w:r>
    </w:p>
    <w:p w:rsidR="00547B3B" w:rsidRPr="00B66BA3" w:rsidRDefault="00547B3B" w:rsidP="00547B3B">
      <w:pPr>
        <w:pStyle w:val="SingleTxt"/>
        <w:spacing w:after="0" w:line="120" w:lineRule="exact"/>
        <w:rPr>
          <w:i/>
          <w:iCs/>
          <w:sz w:val="10"/>
        </w:rPr>
      </w:pPr>
    </w:p>
    <w:p w:rsidR="00A97F45" w:rsidRPr="00506C6B" w:rsidRDefault="00A97F45" w:rsidP="0004325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4133" w:hanging="2866"/>
        <w:jc w:val="left"/>
        <w:rPr>
          <w:lang w:val="en-GB"/>
        </w:rPr>
      </w:pPr>
      <w:r w:rsidRPr="00A97F45">
        <w:rPr>
          <w:i/>
          <w:iCs/>
        </w:rPr>
        <w:t>Документ</w:t>
      </w:r>
      <w:r w:rsidRPr="00506C6B">
        <w:rPr>
          <w:lang w:val="en-GB"/>
        </w:rPr>
        <w:t>:</w:t>
      </w:r>
      <w:r w:rsidRPr="00506C6B">
        <w:rPr>
          <w:lang w:val="en-GB"/>
        </w:rPr>
        <w:tab/>
      </w:r>
      <w:r w:rsidRPr="00547B3B">
        <w:rPr>
          <w:lang w:val="en-US"/>
        </w:rPr>
        <w:t>ECE</w:t>
      </w:r>
      <w:r w:rsidRPr="00506C6B">
        <w:rPr>
          <w:lang w:val="en-GB"/>
        </w:rPr>
        <w:t>/</w:t>
      </w:r>
      <w:r w:rsidRPr="00547B3B">
        <w:rPr>
          <w:lang w:val="en-US"/>
        </w:rPr>
        <w:t>TRANS</w:t>
      </w:r>
      <w:r w:rsidRPr="00506C6B">
        <w:rPr>
          <w:lang w:val="en-GB"/>
        </w:rPr>
        <w:t>/</w:t>
      </w:r>
      <w:r w:rsidRPr="00547B3B">
        <w:rPr>
          <w:lang w:val="en-US"/>
        </w:rPr>
        <w:t>WP</w:t>
      </w:r>
      <w:r w:rsidRPr="00506C6B">
        <w:rPr>
          <w:lang w:val="en-GB"/>
        </w:rPr>
        <w:t>.15/</w:t>
      </w:r>
      <w:r w:rsidRPr="00547B3B">
        <w:rPr>
          <w:lang w:val="en-US"/>
        </w:rPr>
        <w:t>AC</w:t>
      </w:r>
      <w:r w:rsidRPr="00506C6B">
        <w:rPr>
          <w:lang w:val="en-GB"/>
        </w:rPr>
        <w:t>.1/2015/11 (</w:t>
      </w:r>
      <w:r w:rsidRPr="00A97F45">
        <w:t>ЕСФХП</w:t>
      </w:r>
      <w:r w:rsidRPr="00506C6B">
        <w:rPr>
          <w:lang w:val="en-GB"/>
        </w:rPr>
        <w:t>)</w:t>
      </w:r>
    </w:p>
    <w:p w:rsidR="00A97F45" w:rsidRPr="00A97F45" w:rsidRDefault="00A97F45" w:rsidP="00A97F45">
      <w:pPr>
        <w:pStyle w:val="SingleTxt"/>
      </w:pPr>
      <w:r w:rsidRPr="00A97F45">
        <w:rPr>
          <w:i/>
          <w:iCs/>
        </w:rPr>
        <w:t>Неофициальный документ</w:t>
      </w:r>
      <w:r w:rsidRPr="00A97F45">
        <w:t>:</w:t>
      </w:r>
      <w:r w:rsidRPr="00A97F45">
        <w:tab/>
        <w:t>INF.31 (ЕСФХП)</w:t>
      </w:r>
    </w:p>
    <w:p w:rsidR="00A97F45" w:rsidRPr="00A97F45" w:rsidRDefault="00A97F45" w:rsidP="00A97F45">
      <w:pPr>
        <w:pStyle w:val="SingleTxt"/>
      </w:pPr>
      <w:r w:rsidRPr="00A97F45">
        <w:t>42.</w:t>
      </w:r>
      <w:r w:rsidRPr="00A97F45">
        <w:tab/>
        <w:t>Совместное совещание отметило, что ссылки на директивы 67/548/E</w:t>
      </w:r>
      <w:proofErr w:type="gramStart"/>
      <w:r w:rsidRPr="00A97F45">
        <w:t>Е</w:t>
      </w:r>
      <w:proofErr w:type="gramEnd"/>
      <w:r w:rsidRPr="00A97F45">
        <w:t>C, 1999/45/EC и на Регламент 1272/2018/ЕС в пунктах 2.2.61.1.14, 2.2.8.1.9 и 2.2.9.1.10.5, изначально предусмотренные для преодоления различий в класс</w:t>
      </w:r>
      <w:r w:rsidRPr="00A97F45">
        <w:t>и</w:t>
      </w:r>
      <w:r w:rsidRPr="00A97F45">
        <w:lastRenderedPageBreak/>
        <w:t>фикации между МПОГ/ДОПОГ/ВОПОГ и другими законодательными докуме</w:t>
      </w:r>
      <w:r w:rsidRPr="00A97F45">
        <w:t>н</w:t>
      </w:r>
      <w:r w:rsidRPr="00A97F45">
        <w:t xml:space="preserve">тами, в конечном итоге создают трудности для этой отрасли из-за различий в толковании участниками транспортной цепи. Тем не </w:t>
      </w:r>
      <w:proofErr w:type="gramStart"/>
      <w:r w:rsidRPr="00A97F45">
        <w:t>менее</w:t>
      </w:r>
      <w:proofErr w:type="gramEnd"/>
      <w:r w:rsidRPr="00A97F45">
        <w:t xml:space="preserve"> решение, предложе</w:t>
      </w:r>
      <w:r w:rsidRPr="00A97F45">
        <w:t>н</w:t>
      </w:r>
      <w:r w:rsidRPr="00A97F45">
        <w:t>ное в неофициальном документе INF.31, который был представлен с запоздан</w:t>
      </w:r>
      <w:r w:rsidRPr="00A97F45">
        <w:t>и</w:t>
      </w:r>
      <w:r w:rsidRPr="00A97F45">
        <w:t>ем, в значительной степени отличается от решения, предложенного в документе</w:t>
      </w:r>
      <w:r w:rsidR="00324FA1" w:rsidRPr="00324FA1">
        <w:t xml:space="preserve"> </w:t>
      </w:r>
      <w:r w:rsidR="00324FA1" w:rsidRPr="00324FA1">
        <w:br/>
      </w:r>
      <w:r w:rsidRPr="00A97F45">
        <w:t>-/AC.1/2015/11, и у делегаций не было времени, чтобы оценить последствия вн</w:t>
      </w:r>
      <w:r w:rsidRPr="00A97F45">
        <w:t>е</w:t>
      </w:r>
      <w:r w:rsidRPr="00A97F45">
        <w:t>сенных в него изменений. Кроме того, в соответствии с поправками к восемн</w:t>
      </w:r>
      <w:r w:rsidRPr="00A97F45">
        <w:t>а</w:t>
      </w:r>
      <w:r w:rsidRPr="00A97F45">
        <w:t>дцатому пересмотренному изданию Типовых правил ООН, содержащимися в д</w:t>
      </w:r>
      <w:r w:rsidRPr="00A97F45">
        <w:t>о</w:t>
      </w:r>
      <w:r w:rsidRPr="00A97F45">
        <w:t>кументе ST/SG/AC.10/42/Add.1, изменен порядок обращения с веществами, ук</w:t>
      </w:r>
      <w:r w:rsidRPr="00A97F45">
        <w:t>а</w:t>
      </w:r>
      <w:r w:rsidRPr="00A97F45">
        <w:t>занными по наименованию в перечне опасных грузов, и приведенная классиф</w:t>
      </w:r>
      <w:r w:rsidRPr="00A97F45">
        <w:t>и</w:t>
      </w:r>
      <w:r w:rsidRPr="00A97F45">
        <w:t>кация которых не соответствует критериям. В силу этого представителю ЕСФХП было предложено представить новое официальное предложение, принимая во внимание те предложения, которые будут сформулированы Специальной рабочей группой по согласованию МПОГ/ДОПОГ/ВОПОГ с Рекомендациями Организ</w:t>
      </w:r>
      <w:r w:rsidRPr="00A97F45">
        <w:t>а</w:t>
      </w:r>
      <w:r w:rsidRPr="00A97F45">
        <w:t>ции Объединенных Наций.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034F46" w:rsidRDefault="00B66BA3" w:rsidP="00B66BA3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="00A97F45" w:rsidRPr="00B66BA3">
        <w:rPr>
          <w:lang w:val="en-US"/>
        </w:rPr>
        <w:t>B</w:t>
      </w:r>
      <w:r w:rsidR="00A97F45" w:rsidRPr="00034F46">
        <w:t>.</w:t>
      </w:r>
      <w:r w:rsidR="00A97F45" w:rsidRPr="00034F46">
        <w:tab/>
        <w:t>Новые предложения</w:t>
      </w:r>
    </w:p>
    <w:p w:rsidR="00547B3B" w:rsidRPr="00547B3B" w:rsidRDefault="00547B3B" w:rsidP="00B66BA3">
      <w:pPr>
        <w:pStyle w:val="SingleTxt"/>
        <w:keepNext/>
        <w:keepLines/>
        <w:spacing w:after="0" w:line="120" w:lineRule="exact"/>
        <w:rPr>
          <w:sz w:val="10"/>
        </w:rPr>
      </w:pPr>
    </w:p>
    <w:p w:rsidR="00547B3B" w:rsidRPr="00547B3B" w:rsidRDefault="00547B3B" w:rsidP="00B66BA3">
      <w:pPr>
        <w:pStyle w:val="SingleTxt"/>
        <w:keepNext/>
        <w:keepLines/>
        <w:spacing w:after="0" w:line="120" w:lineRule="exact"/>
        <w:rPr>
          <w:sz w:val="10"/>
        </w:rPr>
      </w:pPr>
    </w:p>
    <w:p w:rsidR="00A97F45" w:rsidRPr="00A97F45" w:rsidRDefault="00A97F45" w:rsidP="00B66BA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tab/>
      </w:r>
      <w:r w:rsidR="00B66BA3" w:rsidRPr="00034F46">
        <w:tab/>
      </w:r>
      <w:r w:rsidRPr="00A97F45">
        <w:t xml:space="preserve">Перевозка сосудов под давлением, утвержденных Министерством транспорта Соединенных </w:t>
      </w:r>
      <w:r w:rsidRPr="00A97F45">
        <w:tab/>
        <w:t>Штатов Америки (D</w:t>
      </w:r>
      <w:proofErr w:type="gramStart"/>
      <w:r w:rsidRPr="00A97F45">
        <w:t>О</w:t>
      </w:r>
      <w:proofErr w:type="gramEnd"/>
      <w:r w:rsidRPr="00A97F45">
        <w:t>T)</w:t>
      </w:r>
    </w:p>
    <w:p w:rsidR="00547B3B" w:rsidRPr="00B66BA3" w:rsidRDefault="00547B3B" w:rsidP="00B66BA3">
      <w:pPr>
        <w:pStyle w:val="SingleTxt"/>
        <w:keepNext/>
        <w:keepLines/>
        <w:spacing w:after="0" w:line="120" w:lineRule="exact"/>
        <w:rPr>
          <w:sz w:val="10"/>
        </w:rPr>
      </w:pPr>
    </w:p>
    <w:p w:rsidR="00A97F45" w:rsidRPr="00506C6B" w:rsidRDefault="00A97F45" w:rsidP="0004325F">
      <w:pPr>
        <w:pStyle w:val="SingleTxt"/>
        <w:keepNext/>
        <w:keepLines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4133" w:hanging="2866"/>
        <w:jc w:val="left"/>
        <w:rPr>
          <w:lang w:val="en-GB"/>
        </w:rPr>
      </w:pPr>
      <w:r w:rsidRPr="00A97F45">
        <w:rPr>
          <w:i/>
          <w:iCs/>
        </w:rPr>
        <w:t>Документ</w:t>
      </w:r>
      <w:r w:rsidRPr="00506C6B">
        <w:rPr>
          <w:lang w:val="en-GB"/>
        </w:rPr>
        <w:t>:</w:t>
      </w:r>
      <w:r w:rsidR="00B66BA3" w:rsidRPr="00506C6B">
        <w:rPr>
          <w:lang w:val="en-GB"/>
        </w:rPr>
        <w:tab/>
      </w:r>
      <w:r w:rsidRPr="00547B3B">
        <w:rPr>
          <w:lang w:val="en-US"/>
        </w:rPr>
        <w:t>ECE</w:t>
      </w:r>
      <w:r w:rsidRPr="00506C6B">
        <w:rPr>
          <w:lang w:val="en-GB"/>
        </w:rPr>
        <w:t>/</w:t>
      </w:r>
      <w:r w:rsidRPr="00547B3B">
        <w:rPr>
          <w:lang w:val="en-US"/>
        </w:rPr>
        <w:t>TRANS</w:t>
      </w:r>
      <w:r w:rsidRPr="00506C6B">
        <w:rPr>
          <w:lang w:val="en-GB"/>
        </w:rPr>
        <w:t>/</w:t>
      </w:r>
      <w:r w:rsidRPr="00547B3B">
        <w:rPr>
          <w:lang w:val="en-US"/>
        </w:rPr>
        <w:t>WP</w:t>
      </w:r>
      <w:r w:rsidRPr="00506C6B">
        <w:rPr>
          <w:lang w:val="en-GB"/>
        </w:rPr>
        <w:t>.15/</w:t>
      </w:r>
      <w:r w:rsidRPr="00547B3B">
        <w:rPr>
          <w:lang w:val="en-US"/>
        </w:rPr>
        <w:t>AC</w:t>
      </w:r>
      <w:r w:rsidRPr="00506C6B">
        <w:rPr>
          <w:lang w:val="en-GB"/>
        </w:rPr>
        <w:t>.1/2015/4 (</w:t>
      </w:r>
      <w:r w:rsidRPr="00A97F45">
        <w:t>ЕАПГ</w:t>
      </w:r>
      <w:r w:rsidRPr="00506C6B">
        <w:rPr>
          <w:lang w:val="en-GB"/>
        </w:rPr>
        <w:t>)</w:t>
      </w:r>
    </w:p>
    <w:p w:rsidR="00A97F45" w:rsidRPr="00A97F45" w:rsidRDefault="00A97F45" w:rsidP="0004325F">
      <w:pPr>
        <w:pStyle w:val="SingleTxt"/>
        <w:keepNext/>
        <w:keepLines/>
      </w:pPr>
      <w:r w:rsidRPr="00A97F45">
        <w:t>43.</w:t>
      </w:r>
      <w:r w:rsidRPr="00A97F45">
        <w:tab/>
        <w:t>Поскольку срок действия многостороннего соглашения M237 о перевозке газовых баллонов, не соответствующих МПОГ/ДОПОГ, но утвержденных Мин</w:t>
      </w:r>
      <w:r w:rsidRPr="00A97F45">
        <w:t>и</w:t>
      </w:r>
      <w:r w:rsidRPr="00A97F45">
        <w:t>стерством транспорта Соединенных Штатов Америки (D</w:t>
      </w:r>
      <w:proofErr w:type="gramStart"/>
      <w:r w:rsidRPr="00A97F45">
        <w:t>О</w:t>
      </w:r>
      <w:proofErr w:type="gramEnd"/>
      <w:r w:rsidRPr="00A97F45">
        <w:t>T), истекает, ЕАПГ предложила либо продлить срок действия этого соглашения в нарушение при</w:t>
      </w:r>
      <w:r w:rsidRPr="00A97F45">
        <w:t>н</w:t>
      </w:r>
      <w:r w:rsidRPr="00A97F45">
        <w:t>ципа, в соответствии с которым максимальный срок действия многосторонних соглашений составляет пять лет, либо ввести исключение в виде положения МПОГ/ДОПОГ, действующего только до 31 декабря 2030 года.</w:t>
      </w:r>
    </w:p>
    <w:p w:rsidR="00A97F45" w:rsidRPr="00A97F45" w:rsidRDefault="00A97F45" w:rsidP="00A97F45">
      <w:pPr>
        <w:pStyle w:val="SingleTxt"/>
      </w:pPr>
      <w:r w:rsidRPr="00A97F45">
        <w:t>44.</w:t>
      </w:r>
      <w:r w:rsidRPr="00A97F45">
        <w:tab/>
      </w:r>
      <w:proofErr w:type="gramStart"/>
      <w:r w:rsidRPr="00A97F45">
        <w:t xml:space="preserve">Было отмечено, что в целях содействия развитию торговли между Европой и Северной Америкой Подкомитет экспертов Организации Объединенных Наций разработал требования в отношении сосудов для газов </w:t>
      </w:r>
      <w:r w:rsidR="0004325F">
        <w:t>–</w:t>
      </w:r>
      <w:r w:rsidRPr="00A97F45">
        <w:t xml:space="preserve"> так называемых сосудов </w:t>
      </w:r>
      <w:r w:rsidR="00D47C74">
        <w:t>«</w:t>
      </w:r>
      <w:r w:rsidRPr="00A97F45">
        <w:rPr>
          <w:lang w:val="en-US"/>
        </w:rPr>
        <w:t>UN</w:t>
      </w:r>
      <w:r w:rsidR="00D47C74">
        <w:t>»</w:t>
      </w:r>
      <w:r w:rsidRPr="00A97F45">
        <w:t xml:space="preserve"> (сосудов ООН), в частности для устранения трудностей, связанных с тр</w:t>
      </w:r>
      <w:r w:rsidRPr="00A97F45">
        <w:t>е</w:t>
      </w:r>
      <w:r w:rsidRPr="00A97F45">
        <w:t>бованиями к конструкции, наполнению, проверке и т.д., которые отличаются по разные стороны Атлантики.</w:t>
      </w:r>
      <w:proofErr w:type="gramEnd"/>
      <w:r w:rsidRPr="00A97F45">
        <w:t xml:space="preserve"> Эти требования были включены в МПОГ/ДОПОГ, и сосуды ООН, разрешенные в любой стране, в том числе в Соединенных Штатах Америки, допускаются к перевозкам в Европе. Вместе с тем сосуды ООН, утве</w:t>
      </w:r>
      <w:r w:rsidRPr="00A97F45">
        <w:t>р</w:t>
      </w:r>
      <w:r w:rsidRPr="00A97F45">
        <w:t>жденные компетентным органом страны, являющейся Договаривающейся стор</w:t>
      </w:r>
      <w:r w:rsidRPr="00A97F45">
        <w:t>о</w:t>
      </w:r>
      <w:r w:rsidRPr="00A97F45">
        <w:t>ной МПОГ или ДОПОГ, допускаются к перевозке в Соединенных Штатах только в том случае, если они также утверждены D</w:t>
      </w:r>
      <w:proofErr w:type="gramStart"/>
      <w:r w:rsidRPr="00A97F45">
        <w:t>О</w:t>
      </w:r>
      <w:proofErr w:type="gramEnd"/>
      <w:r w:rsidRPr="00A97F45">
        <w:t>T. Кроме того, многостороннее с</w:t>
      </w:r>
      <w:r w:rsidRPr="00A97F45">
        <w:t>о</w:t>
      </w:r>
      <w:r w:rsidRPr="00A97F45">
        <w:t>глашение M237 предусматривает возможность перевозки сосудов D</w:t>
      </w:r>
      <w:proofErr w:type="gramStart"/>
      <w:r w:rsidRPr="00A97F45">
        <w:t>О</w:t>
      </w:r>
      <w:proofErr w:type="gramEnd"/>
      <w:r w:rsidRPr="00A97F45">
        <w:t>T, которые не соответствуют ни требованиям к сосудам МПОГ/ДОПОГ, не являющимся с</w:t>
      </w:r>
      <w:r w:rsidRPr="00A97F45">
        <w:t>о</w:t>
      </w:r>
      <w:r w:rsidRPr="00A97F45">
        <w:t>судами ООН, ни требованиям к сосудам ООН.</w:t>
      </w:r>
    </w:p>
    <w:p w:rsidR="00A97F45" w:rsidRPr="00A97F45" w:rsidRDefault="00A97F45" w:rsidP="00A97F45">
      <w:pPr>
        <w:pStyle w:val="SingleTxt"/>
      </w:pPr>
      <w:r w:rsidRPr="00A97F45">
        <w:t>45.</w:t>
      </w:r>
      <w:r w:rsidRPr="00A97F45">
        <w:tab/>
      </w:r>
      <w:proofErr w:type="gramStart"/>
      <w:r w:rsidRPr="00A97F45">
        <w:t>В связи с этим несколько делегаций отметили, что европейские страны уже предприняли серьезные шаги для содействия перевозкам в Европе сосудов, утвержденных в Соединенных Штатах, даже в тех случаях, когда они не соотве</w:t>
      </w:r>
      <w:r w:rsidRPr="00A97F45">
        <w:t>т</w:t>
      </w:r>
      <w:r w:rsidRPr="00A97F45">
        <w:t>ствуют европейским правилам, и выразили сожаление по поводу того, что и</w:t>
      </w:r>
      <w:r w:rsidRPr="00A97F45">
        <w:t>с</w:t>
      </w:r>
      <w:r w:rsidRPr="00A97F45">
        <w:t>пользуемые в Европе сосуды не всегда принимаются в Соединенных Штатах, даже когда речь идет о сосудах ООН.</w:t>
      </w:r>
      <w:proofErr w:type="gramEnd"/>
      <w:r w:rsidRPr="00A97F45">
        <w:t xml:space="preserve"> Некоторые делегации указали, что они г</w:t>
      </w:r>
      <w:r w:rsidRPr="00A97F45">
        <w:t>о</w:t>
      </w:r>
      <w:r w:rsidRPr="00A97F45">
        <w:t>товы были бы поддержать возобновление соглашения M237, но они хотели бы в свою очередь</w:t>
      </w:r>
      <w:r w:rsidR="00A335AC">
        <w:t>,</w:t>
      </w:r>
      <w:r w:rsidRPr="00A97F45">
        <w:t xml:space="preserve"> чтобы и Соединенные Штаты предприняли шаги в интересах пр</w:t>
      </w:r>
      <w:r w:rsidRPr="00A97F45">
        <w:t>и</w:t>
      </w:r>
      <w:r w:rsidRPr="00A97F45">
        <w:t>знания сосудов, утвержденных в Европе. Впрочем, большинство делегаций в</w:t>
      </w:r>
      <w:r w:rsidRPr="00A97F45">
        <w:t>ы</w:t>
      </w:r>
      <w:r w:rsidRPr="00A97F45">
        <w:t>сказали свои возражения по поводу второго предложения, которое может прив</w:t>
      </w:r>
      <w:r w:rsidRPr="00A97F45">
        <w:t>е</w:t>
      </w:r>
      <w:r w:rsidRPr="00A97F45">
        <w:lastRenderedPageBreak/>
        <w:t>сти к тому, что сосуды D</w:t>
      </w:r>
      <w:proofErr w:type="gramStart"/>
      <w:r w:rsidRPr="00A97F45">
        <w:t>О</w:t>
      </w:r>
      <w:proofErr w:type="gramEnd"/>
      <w:r w:rsidRPr="00A97F45">
        <w:t>T будут разрешены в МПОГ/ДОПОГ, в то время как в Соединенных Штатах не предприняты конкретные шаги в направлении взаимн</w:t>
      </w:r>
      <w:r w:rsidRPr="00A97F45">
        <w:t>о</w:t>
      </w:r>
      <w:r w:rsidRPr="00A97F45">
        <w:t>го признания этих сосудов.</w:t>
      </w:r>
    </w:p>
    <w:p w:rsidR="00A97F45" w:rsidRPr="00A97F45" w:rsidRDefault="00A97F45" w:rsidP="00A97F45">
      <w:pPr>
        <w:pStyle w:val="SingleTxt"/>
      </w:pPr>
      <w:r w:rsidRPr="00A97F45">
        <w:t>46.</w:t>
      </w:r>
      <w:r w:rsidRPr="00A97F45">
        <w:tab/>
        <w:t>Представитель Соединенных Штатов заявил, что на самом деле было бы л</w:t>
      </w:r>
      <w:r w:rsidRPr="00A97F45">
        <w:t>о</w:t>
      </w:r>
      <w:r w:rsidRPr="00A97F45">
        <w:t>гично, чтобы его страна предусмотрела принятие мер взаимного характера, одн</w:t>
      </w:r>
      <w:r w:rsidRPr="00A97F45">
        <w:t>а</w:t>
      </w:r>
      <w:r w:rsidRPr="00A97F45">
        <w:t xml:space="preserve">ко Министерство транспорта не может гарантировать, что это будет сделано, так как включение любой поправки в правила потребует задействования процедур, предусмотренных законодательством. В первую очередь необходимо представить </w:t>
      </w:r>
      <w:r w:rsidR="00D47C74">
        <w:t>«</w:t>
      </w:r>
      <w:r w:rsidRPr="00A97F45">
        <w:t>ходатайство о разработке нормативного документа</w:t>
      </w:r>
      <w:r w:rsidR="00D47C74">
        <w:t>»</w:t>
      </w:r>
      <w:r w:rsidRPr="00A97F45">
        <w:t>, провести оценку технич</w:t>
      </w:r>
      <w:r w:rsidRPr="00A97F45">
        <w:t>е</w:t>
      </w:r>
      <w:r w:rsidRPr="00A97F45">
        <w:t>ских аспектов компетентными службами Министерства транспорта, а самое главное – направить данное предложение для публичного рассмотрения. На сл</w:t>
      </w:r>
      <w:r w:rsidRPr="00A97F45">
        <w:t>е</w:t>
      </w:r>
      <w:r w:rsidRPr="00A97F45">
        <w:t>дующей сессии он сможет проинформировать Совместное совещание о развитии ситуации.</w:t>
      </w:r>
    </w:p>
    <w:p w:rsidR="00A97F45" w:rsidRPr="00A97F45" w:rsidRDefault="00A97F45" w:rsidP="00A97F45">
      <w:pPr>
        <w:pStyle w:val="SingleTxt"/>
      </w:pPr>
      <w:r w:rsidRPr="00A97F45">
        <w:t>47.</w:t>
      </w:r>
      <w:r w:rsidRPr="00A97F45">
        <w:tab/>
        <w:t>Совместное совещание согласилось возобновить данную дискуссию, если будет представлена информация о новых событиях в связи с ситуацией в области взаимного признания.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B66BA3" w:rsidP="00B66BA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="00A97F45" w:rsidRPr="00A97F45">
        <w:t>VII.</w:t>
      </w:r>
      <w:r w:rsidR="00A97F45" w:rsidRPr="00A97F45">
        <w:tab/>
        <w:t xml:space="preserve">Доклады неофициальных рабочих групп </w:t>
      </w:r>
      <w:r w:rsidRPr="00B66BA3">
        <w:br/>
      </w:r>
      <w:r w:rsidR="00A97F45" w:rsidRPr="00A97F45">
        <w:t>(пункт 6 повестки дня)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B66BA3" w:rsidRDefault="00A97F45" w:rsidP="00B66BA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66BA3">
        <w:tab/>
        <w:t>А.</w:t>
      </w:r>
      <w:r w:rsidRPr="00B66BA3">
        <w:tab/>
        <w:t xml:space="preserve">Неофициальная рабочая группа по </w:t>
      </w:r>
      <w:proofErr w:type="spellStart"/>
      <w:r w:rsidRPr="00B66BA3">
        <w:t>телематике</w:t>
      </w:r>
      <w:proofErr w:type="spellEnd"/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rPr>
          <w:i/>
          <w:iCs/>
        </w:rPr>
        <w:t>Неофициальный документ</w:t>
      </w:r>
      <w:r w:rsidRPr="00A97F45">
        <w:t>:</w:t>
      </w:r>
      <w:r w:rsidRPr="00A97F45">
        <w:tab/>
        <w:t>INF.33 (Франция)</w:t>
      </w:r>
    </w:p>
    <w:p w:rsidR="00A97F45" w:rsidRPr="00A97F45" w:rsidRDefault="00A97F45" w:rsidP="00A97F45">
      <w:pPr>
        <w:pStyle w:val="SingleTxt"/>
      </w:pPr>
      <w:r w:rsidRPr="00A97F45">
        <w:t>48.</w:t>
      </w:r>
      <w:r w:rsidRPr="00A97F45">
        <w:tab/>
        <w:t>Несмотря на то, что со времени последней сессии Совместного совещания заседания данной группы не проводились, представитель Франции сообщил о положении в этой области, в том числе об обсуждении с Европейской комиссией вопроса об оказании помощи в продолжени</w:t>
      </w:r>
      <w:proofErr w:type="gramStart"/>
      <w:r w:rsidRPr="00A97F45">
        <w:t>и</w:t>
      </w:r>
      <w:proofErr w:type="gramEnd"/>
      <w:r w:rsidRPr="00A97F45">
        <w:t xml:space="preserve"> работы. Работа неофициальной р</w:t>
      </w:r>
      <w:r w:rsidRPr="00A97F45">
        <w:t>а</w:t>
      </w:r>
      <w:r w:rsidRPr="00A97F45">
        <w:t>бочей группы замедлилась, поскольку Европейская комиссия не смогла взять на себя обязательства в отношении предложений, выдвинутых этой группой, в том числе по вопросам, связанным с управлением информационными потоками (см.</w:t>
      </w:r>
      <w:r w:rsidR="0004325F">
        <w:t> </w:t>
      </w:r>
      <w:r w:rsidRPr="00A97F45">
        <w:t>приложение I к докладу, содержащемуся в неофициальном документе INF.6 предыдущей сессии). Европейская комиссия потребовала предварительного представления исследования, касающегося последствий осуществления таких предложений, и в настоящее время во Франции ведется подготовка к работе над элементами оценки последствий в соответствии с руководящими указаниями ЕК по оценке последствий. Член делегации Европейского союза, представляющий ЕЖДА, заявил, что оценка последствий касается не только данной темы. Агентство провело большое число исследований, касающихся последствий ос</w:t>
      </w:r>
      <w:r w:rsidRPr="00A97F45">
        <w:t>у</w:t>
      </w:r>
      <w:r w:rsidRPr="00A97F45">
        <w:t>ществления аналогичных проектов, и он предложил Совместному совещанию ознакомиться с его опытом в этой области.</w:t>
      </w:r>
    </w:p>
    <w:p w:rsidR="00A97F45" w:rsidRPr="00A97F45" w:rsidRDefault="00A97F45" w:rsidP="00A97F45">
      <w:pPr>
        <w:pStyle w:val="SingleTxt"/>
      </w:pPr>
      <w:r w:rsidRPr="00A97F45">
        <w:t>49.</w:t>
      </w:r>
      <w:r w:rsidRPr="00A97F45">
        <w:tab/>
      </w:r>
      <w:proofErr w:type="gramStart"/>
      <w:r w:rsidRPr="00A97F45">
        <w:t>Многие делегации выразили разочарование в связи с задержками в работе, указав, что одновременно реализуется большое число различных инициатив и что Европейский союз только выиграет в том случае, если удастся избежать ув</w:t>
      </w:r>
      <w:r w:rsidRPr="00A97F45">
        <w:t>е</w:t>
      </w:r>
      <w:r w:rsidRPr="00A97F45">
        <w:t>личения числа применяемых нескоординированных подходов и обеспечить, чт</w:t>
      </w:r>
      <w:r w:rsidRPr="00A97F45">
        <w:t>о</w:t>
      </w:r>
      <w:r w:rsidRPr="00A97F45">
        <w:t xml:space="preserve">бы внедрение систем </w:t>
      </w:r>
      <w:proofErr w:type="spellStart"/>
      <w:r w:rsidRPr="00A97F45">
        <w:t>телематики</w:t>
      </w:r>
      <w:proofErr w:type="spellEnd"/>
      <w:r w:rsidRPr="00A97F45">
        <w:t xml:space="preserve"> для регулирования перевозки опасных грузов происходило в логическом порядке, на основе согласованных и скоординирова</w:t>
      </w:r>
      <w:r w:rsidRPr="00A97F45">
        <w:t>н</w:t>
      </w:r>
      <w:r w:rsidRPr="00A97F45">
        <w:t>ных норм не только в Европейском</w:t>
      </w:r>
      <w:proofErr w:type="gramEnd"/>
      <w:r w:rsidRPr="00A97F45">
        <w:t xml:space="preserve"> </w:t>
      </w:r>
      <w:proofErr w:type="gramStart"/>
      <w:r w:rsidRPr="00A97F45">
        <w:t>союзе</w:t>
      </w:r>
      <w:proofErr w:type="gramEnd"/>
      <w:r w:rsidRPr="00A97F45">
        <w:t>, но и во всех Договаривающихся ст</w:t>
      </w:r>
      <w:r w:rsidRPr="00A97F45">
        <w:t>о</w:t>
      </w:r>
      <w:r w:rsidRPr="00A97F45">
        <w:t>ронах МПОГ, ДОПОГ и ВОПОГ. Совместное совещание с сожалением отметило неучастие представителя Европейской комиссии в этой дискуссии и выразило надежду на то, что он, по крайней мере, будет присутствовать на следующем с</w:t>
      </w:r>
      <w:r w:rsidRPr="00A97F45">
        <w:t>о</w:t>
      </w:r>
      <w:r w:rsidRPr="00A97F45">
        <w:lastRenderedPageBreak/>
        <w:t xml:space="preserve">вещании рабочей группы, с </w:t>
      </w:r>
      <w:proofErr w:type="gramStart"/>
      <w:r w:rsidRPr="00A97F45">
        <w:t>тем</w:t>
      </w:r>
      <w:proofErr w:type="gramEnd"/>
      <w:r w:rsidRPr="00A97F45">
        <w:t xml:space="preserve"> чтобы продемонстрировать свою заинтересова</w:t>
      </w:r>
      <w:r w:rsidRPr="00A97F45">
        <w:t>н</w:t>
      </w:r>
      <w:r w:rsidRPr="00A97F45">
        <w:t>ность в развитии интеллектуальных транспортных систем.</w:t>
      </w:r>
    </w:p>
    <w:p w:rsidR="00A97F45" w:rsidRPr="00A97F45" w:rsidRDefault="00A97F45" w:rsidP="00A97F45">
      <w:pPr>
        <w:pStyle w:val="SingleTxt"/>
      </w:pPr>
      <w:r w:rsidRPr="00A97F45">
        <w:t>50.</w:t>
      </w:r>
      <w:r w:rsidRPr="00A97F45">
        <w:tab/>
        <w:t>Совместное совещание приняло предложение Франции провести сессию неофициальной рабочей группы 6−8 октября 2015 года в Бордо параллельно с Всемирным конгрессом по ИТС. Рабочая группа могла бы обсудить вопросы, указанные в документе INF.33, а также другие рабочие вопросы, которые учас</w:t>
      </w:r>
      <w:r w:rsidRPr="00A97F45">
        <w:t>т</w:t>
      </w:r>
      <w:r w:rsidRPr="00A97F45">
        <w:t>ники сочтут необходимыми.</w:t>
      </w:r>
    </w:p>
    <w:p w:rsidR="00A97F45" w:rsidRPr="00A97F45" w:rsidRDefault="00A97F45" w:rsidP="00A97F45">
      <w:pPr>
        <w:pStyle w:val="SingleTxt"/>
      </w:pPr>
      <w:r w:rsidRPr="00A97F45">
        <w:t>51.</w:t>
      </w:r>
      <w:r w:rsidRPr="00A97F45">
        <w:tab/>
        <w:t>Представитель Германии сообщил, что, поскольку переговоры с Европе</w:t>
      </w:r>
      <w:r w:rsidRPr="00A97F45">
        <w:t>й</w:t>
      </w:r>
      <w:r w:rsidRPr="00A97F45">
        <w:t xml:space="preserve">ской комиссией по поводу дальнейшей работы в соответствии с рекомендациями рабочей группы зашли в тупик и поскольку эта проблема в краткосрочном или среднесрочном плане, по-видимому, не будет решена, его страна создала рабочую группу, с </w:t>
      </w:r>
      <w:proofErr w:type="gramStart"/>
      <w:r w:rsidRPr="00A97F45">
        <w:t>тем</w:t>
      </w:r>
      <w:proofErr w:type="gramEnd"/>
      <w:r w:rsidRPr="00A97F45">
        <w:t xml:space="preserve"> чтобы в максимально возможной степени использовать архитектуру </w:t>
      </w:r>
      <w:proofErr w:type="spellStart"/>
      <w:r w:rsidRPr="00A97F45">
        <w:t>телематики</w:t>
      </w:r>
      <w:proofErr w:type="spellEnd"/>
      <w:r w:rsidRPr="00A97F45">
        <w:t xml:space="preserve">, утвержденную неофициальной рабочей группой, при разработке электронного транспортного документа на национальном </w:t>
      </w:r>
      <w:proofErr w:type="gramStart"/>
      <w:r w:rsidRPr="00A97F45">
        <w:t>уровне</w:t>
      </w:r>
      <w:proofErr w:type="gramEnd"/>
      <w:r w:rsidRPr="00A97F45">
        <w:t>. Он сообщил запланированные даты совещания этой группы и пригласил делегатов Совмес</w:t>
      </w:r>
      <w:r w:rsidRPr="00A97F45">
        <w:t>т</w:t>
      </w:r>
      <w:r w:rsidRPr="00A97F45">
        <w:t>ного совещания, желающих принять в нем участие, вступить с ним в контакт.</w:t>
      </w:r>
    </w:p>
    <w:p w:rsidR="00A97F45" w:rsidRPr="00A97F45" w:rsidRDefault="00A97F45" w:rsidP="00A97F45">
      <w:pPr>
        <w:pStyle w:val="SingleTxt"/>
      </w:pPr>
      <w:r w:rsidRPr="00A97F45">
        <w:t>52.</w:t>
      </w:r>
      <w:r w:rsidRPr="00A97F45">
        <w:tab/>
        <w:t>Представитель ЕЖДА напомнил о том, что обмен данными, указанный в ТУЭС-ПСТГП, включал элементы информации, предписанные в главе 5.4 МПОГ.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B66BA3" w:rsidRDefault="00B66BA3" w:rsidP="00B66BA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="00A97F45" w:rsidRPr="00B66BA3">
        <w:t>В.</w:t>
      </w:r>
      <w:r w:rsidR="00A97F45" w:rsidRPr="00B66BA3">
        <w:tab/>
      </w:r>
      <w:r w:rsidR="00A335AC">
        <w:t>Неофициальная р</w:t>
      </w:r>
      <w:r w:rsidR="00A97F45" w:rsidRPr="00B66BA3">
        <w:t>абочая группа по альтернативным методам проведения периодической проверки переносных сосудов многоразового использования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rPr>
          <w:i/>
          <w:iCs/>
        </w:rPr>
        <w:t>Неофициальный документ</w:t>
      </w:r>
      <w:r w:rsidRPr="00A97F45">
        <w:t xml:space="preserve">: </w:t>
      </w:r>
      <w:r w:rsidRPr="00A97F45">
        <w:tab/>
        <w:t>INF.23 (ЕАСНГ)</w:t>
      </w:r>
    </w:p>
    <w:p w:rsidR="00A97F45" w:rsidRPr="00A97F45" w:rsidRDefault="00A97F45" w:rsidP="00A97F45">
      <w:pPr>
        <w:pStyle w:val="SingleTxt"/>
      </w:pPr>
      <w:r w:rsidRPr="00A97F45">
        <w:t>53.</w:t>
      </w:r>
      <w:r w:rsidRPr="00A97F45">
        <w:tab/>
        <w:t>Совместное совещание приняло к сведению прогресс, достигнутый рабочей группой, и программу ее работы. Комментарии по поводу аспектов деятельности группы следует направлять непосредственно в ее адрес.</w:t>
      </w:r>
    </w:p>
    <w:p w:rsidR="00A97F45" w:rsidRPr="00A97F45" w:rsidRDefault="00A97F45" w:rsidP="00A97F45">
      <w:pPr>
        <w:pStyle w:val="SingleTxt"/>
      </w:pPr>
      <w:r w:rsidRPr="00A97F45">
        <w:t>54.</w:t>
      </w:r>
      <w:r w:rsidRPr="00A97F45">
        <w:tab/>
        <w:t>Хотя основным объектом деятельности являются сосуды с формованным кожухом, необходимо также рассмотреть применимость этих альтернативных м</w:t>
      </w:r>
      <w:r w:rsidRPr="00A97F45">
        <w:t>е</w:t>
      </w:r>
      <w:r w:rsidRPr="00A97F45">
        <w:t>тодов для проведения периодической проверки сосудов других типов.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B66BA3" w:rsidRDefault="00B66BA3" w:rsidP="00B66BA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="00A97F45" w:rsidRPr="00B66BA3">
        <w:rPr>
          <w:lang w:val="en-US"/>
        </w:rPr>
        <w:t>C</w:t>
      </w:r>
      <w:r w:rsidR="00A97F45" w:rsidRPr="00B66BA3">
        <w:t>.</w:t>
      </w:r>
      <w:r w:rsidR="00A97F45" w:rsidRPr="00B66BA3">
        <w:tab/>
        <w:t>Неофициальная рабочая группа по положениям, касающимся оборудования цистерн и сосудов под давлением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rPr>
          <w:i/>
          <w:iCs/>
        </w:rPr>
        <w:t>Неофициальный документ</w:t>
      </w:r>
      <w:r w:rsidRPr="00A97F45">
        <w:t xml:space="preserve">: </w:t>
      </w:r>
      <w:r w:rsidRPr="00A97F45">
        <w:tab/>
        <w:t>INF.24 (ЕАПГ)</w:t>
      </w:r>
    </w:p>
    <w:p w:rsidR="00A97F45" w:rsidRPr="00A97F45" w:rsidRDefault="00A97F45" w:rsidP="00A97F45">
      <w:pPr>
        <w:pStyle w:val="SingleTxt"/>
      </w:pPr>
      <w:r w:rsidRPr="00A97F45">
        <w:t>55.</w:t>
      </w:r>
      <w:r w:rsidRPr="00A97F45">
        <w:tab/>
        <w:t>Совместное совещание приняло к сведению прогресс, достигнутый гру</w:t>
      </w:r>
      <w:r w:rsidRPr="00A97F45">
        <w:t>п</w:t>
      </w:r>
      <w:r w:rsidRPr="00A97F45">
        <w:t>пой. Ожидается, что предложение, касающееся сосудов под давлением, будет представлено в ходе следующей сессии. После этого группа приступит к ра</w:t>
      </w:r>
      <w:r w:rsidRPr="00A97F45">
        <w:t>с</w:t>
      </w:r>
      <w:r w:rsidRPr="00A97F45">
        <w:t>смотрению вопроса о цистернах.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B66BA3" w:rsidP="00B66BA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proofErr w:type="gramStart"/>
      <w:r w:rsidR="00A97F45" w:rsidRPr="00A97F45">
        <w:rPr>
          <w:lang w:val="en-US"/>
        </w:rPr>
        <w:t>D</w:t>
      </w:r>
      <w:r w:rsidR="00547B3B">
        <w:t>.</w:t>
      </w:r>
      <w:r w:rsidR="00A97F45" w:rsidRPr="00A97F45">
        <w:tab/>
        <w:t>Неофициальная рабочая группа по трансграничному утверждению цистерн в практике государств − членов Европейского союза.</w:t>
      </w:r>
      <w:proofErr w:type="gramEnd"/>
      <w:r w:rsidR="00A97F45" w:rsidRPr="00A97F45">
        <w:t xml:space="preserve"> Возможность расширения сферы применения TPED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rPr>
          <w:i/>
          <w:iCs/>
        </w:rPr>
        <w:t>Документ</w:t>
      </w:r>
      <w:r w:rsidRPr="00A97F45">
        <w:t>:</w:t>
      </w:r>
      <w:r w:rsidRPr="00A97F45">
        <w:tab/>
      </w:r>
      <w:r w:rsidRPr="00A97F45">
        <w:tab/>
      </w:r>
      <w:r w:rsidR="00B66BA3" w:rsidRPr="00B66BA3">
        <w:tab/>
      </w:r>
      <w:r w:rsidR="00B66BA3" w:rsidRPr="00B66BA3">
        <w:tab/>
      </w:r>
      <w:r w:rsidRPr="00A97F45">
        <w:t>ECE/TRANS/WP.15/AC.1/2015/13 (Германия)</w:t>
      </w:r>
    </w:p>
    <w:p w:rsidR="00A97F45" w:rsidRPr="00A97F45" w:rsidRDefault="00A97F45" w:rsidP="00A97F45">
      <w:pPr>
        <w:pStyle w:val="SingleTxt"/>
      </w:pPr>
      <w:r w:rsidRPr="00A97F45">
        <w:t>56.</w:t>
      </w:r>
      <w:r w:rsidRPr="00A97F45">
        <w:tab/>
        <w:t>Совместное совещание одобрило выводы неофициальной рабочей группы и согласилось с тем, что эту работу следует продолжить, как указано в разделе</w:t>
      </w:r>
      <w:proofErr w:type="gramStart"/>
      <w:r w:rsidRPr="00A97F45">
        <w:t xml:space="preserve"> А</w:t>
      </w:r>
      <w:proofErr w:type="gramEnd"/>
      <w:r w:rsidRPr="00A97F45">
        <w:t xml:space="preserve"> </w:t>
      </w:r>
      <w:r w:rsidRPr="00A97F45">
        <w:lastRenderedPageBreak/>
        <w:t>части VIII доклада. Если они еще не сделали этого, делегациям, желающим пр</w:t>
      </w:r>
      <w:r w:rsidRPr="00A97F45">
        <w:t>и</w:t>
      </w:r>
      <w:r w:rsidRPr="00A97F45">
        <w:t>нять участие, предлагается представить такую же информацию, как и та, которая приводится в приложении к документу -/AC.1/2015/13.</w:t>
      </w:r>
    </w:p>
    <w:p w:rsidR="00A97F45" w:rsidRPr="00A97F45" w:rsidRDefault="00A97F45" w:rsidP="00A97F45">
      <w:pPr>
        <w:pStyle w:val="SingleTxt"/>
      </w:pPr>
      <w:r w:rsidRPr="00A97F45">
        <w:t>57.</w:t>
      </w:r>
      <w:r w:rsidRPr="00A97F45">
        <w:tab/>
        <w:t>Совместное совещание решило создать новую неофициальную рабочую группу для рассмотрения вопросов, поставленных в рамках пункта 13 доклада Рабочей группы по цистернам (пункт 31), и вопросов, затронутых в разделе</w:t>
      </w:r>
      <w:proofErr w:type="gramStart"/>
      <w:r w:rsidRPr="00A97F45">
        <w:t xml:space="preserve"> А</w:t>
      </w:r>
      <w:proofErr w:type="gramEnd"/>
      <w:r w:rsidRPr="00A97F45">
        <w:t xml:space="preserve"> части VIII доклада -/AC.1/2015/13.</w:t>
      </w:r>
    </w:p>
    <w:p w:rsidR="00A97F45" w:rsidRPr="00A97F45" w:rsidRDefault="00A97F45" w:rsidP="00A97F45">
      <w:pPr>
        <w:pStyle w:val="SingleTxt"/>
      </w:pPr>
      <w:r w:rsidRPr="00A97F45">
        <w:t>58.</w:t>
      </w:r>
      <w:r w:rsidRPr="00A97F45">
        <w:tab/>
        <w:t>Правительство Соединенного Королевства организует сессию этой группы в Лондоне в начале лета 2015 года.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B66BA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tab/>
        <w:t>VIII.</w:t>
      </w:r>
      <w:r w:rsidRPr="00A97F45">
        <w:tab/>
        <w:t>Аварии и управление рисками (пункт 7 повестки дня)</w:t>
      </w:r>
    </w:p>
    <w:p w:rsidR="00547B3B" w:rsidRPr="00547B3B" w:rsidRDefault="00547B3B" w:rsidP="00B66BA3">
      <w:pPr>
        <w:pStyle w:val="SingleTxt"/>
        <w:keepNext/>
        <w:keepLines/>
        <w:spacing w:after="0" w:line="120" w:lineRule="exact"/>
        <w:rPr>
          <w:sz w:val="10"/>
        </w:rPr>
      </w:pPr>
    </w:p>
    <w:p w:rsidR="00547B3B" w:rsidRPr="00547B3B" w:rsidRDefault="00547B3B" w:rsidP="00B66BA3">
      <w:pPr>
        <w:pStyle w:val="SingleTxt"/>
        <w:keepNext/>
        <w:keepLines/>
        <w:spacing w:after="0" w:line="120" w:lineRule="exact"/>
        <w:rPr>
          <w:sz w:val="10"/>
        </w:rPr>
      </w:pPr>
    </w:p>
    <w:p w:rsidR="00A97F45" w:rsidRPr="007B48BC" w:rsidRDefault="00A97F45" w:rsidP="0004325F">
      <w:pPr>
        <w:pStyle w:val="SingleTxt"/>
        <w:keepNext/>
        <w:keepLines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 w:hanging="2866"/>
        <w:rPr>
          <w:spacing w:val="0"/>
        </w:rPr>
      </w:pPr>
      <w:r w:rsidRPr="00A97F45">
        <w:rPr>
          <w:i/>
          <w:iCs/>
        </w:rPr>
        <w:t>Документы:</w:t>
      </w:r>
      <w:r w:rsidRPr="00A97F45">
        <w:tab/>
        <w:t>ECE/TRANS/WP.15/AC.1/2014/</w:t>
      </w:r>
      <w:r w:rsidRPr="007B48BC">
        <w:rPr>
          <w:spacing w:val="0"/>
        </w:rPr>
        <w:t>44 (Бельгия и Н</w:t>
      </w:r>
      <w:r w:rsidRPr="007B48BC">
        <w:rPr>
          <w:spacing w:val="0"/>
        </w:rPr>
        <w:t>и</w:t>
      </w:r>
      <w:r w:rsidRPr="007B48BC">
        <w:rPr>
          <w:spacing w:val="0"/>
        </w:rPr>
        <w:t>дерланды)</w:t>
      </w:r>
    </w:p>
    <w:p w:rsidR="00A97F45" w:rsidRPr="00A335AC" w:rsidRDefault="00B66BA3" w:rsidP="00A335AC">
      <w:pPr>
        <w:pStyle w:val="SingleTxt"/>
        <w:keepNext/>
        <w:keepLines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 w:hanging="2866"/>
      </w:pPr>
      <w:r w:rsidRPr="00034F46">
        <w:tab/>
      </w:r>
      <w:r w:rsidR="00A97F45" w:rsidRPr="00A335AC">
        <w:t>ECE/TRANS/WP.15/AC.1/2014/52 (секретариат и</w:t>
      </w:r>
      <w:r w:rsidR="00A335AC">
        <w:t> </w:t>
      </w:r>
      <w:r w:rsidR="00A97F45" w:rsidRPr="00A335AC">
        <w:t>Франция)</w:t>
      </w:r>
    </w:p>
    <w:p w:rsidR="00A97F45" w:rsidRPr="00A97F45" w:rsidRDefault="00A97F45" w:rsidP="0004325F">
      <w:pPr>
        <w:pStyle w:val="SingleTxt"/>
        <w:keepNext/>
        <w:keepLines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 w:hanging="2866"/>
      </w:pPr>
      <w:r w:rsidRPr="00A97F45">
        <w:rPr>
          <w:i/>
          <w:iCs/>
        </w:rPr>
        <w:t>Неофициальные документы</w:t>
      </w:r>
      <w:r w:rsidRPr="00A97F45">
        <w:t>:</w:t>
      </w:r>
      <w:r w:rsidRPr="00A97F45">
        <w:tab/>
        <w:t>INF.16 (осенняя сессия 2014 года) (ЕЖДА)</w:t>
      </w:r>
    </w:p>
    <w:p w:rsidR="00A97F45" w:rsidRPr="00A97F45" w:rsidRDefault="00A97F45" w:rsidP="0004325F">
      <w:pPr>
        <w:pStyle w:val="SingleTxt"/>
        <w:keepNext/>
        <w:keepLines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 w:hanging="2866"/>
      </w:pPr>
      <w:r w:rsidRPr="00A97F45">
        <w:tab/>
        <w:t>INF.44 (осенняя сессия 2014 года) (ЕАСНГ)</w:t>
      </w:r>
    </w:p>
    <w:p w:rsidR="00A97F45" w:rsidRPr="00A97F45" w:rsidRDefault="00A97F45" w:rsidP="00B66BA3">
      <w:pPr>
        <w:pStyle w:val="SingleTxt"/>
        <w:keepNext/>
        <w:keepLines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spacing w:after="0"/>
        <w:ind w:left="4133" w:hanging="2866"/>
        <w:jc w:val="left"/>
      </w:pPr>
      <w:r w:rsidRPr="00A97F45">
        <w:tab/>
        <w:t>INF.29 и INF.30 (ЕЖДА)</w:t>
      </w:r>
    </w:p>
    <w:p w:rsidR="00A97F45" w:rsidRPr="00A97F45" w:rsidRDefault="00A97F45" w:rsidP="00B66BA3">
      <w:pPr>
        <w:pStyle w:val="SingleTxt"/>
        <w:keepNext/>
        <w:keepLines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4133" w:hanging="2866"/>
        <w:jc w:val="left"/>
      </w:pPr>
      <w:r w:rsidRPr="00A97F45">
        <w:tab/>
        <w:t>INF.34 и Add.1 (Франция)</w:t>
      </w:r>
    </w:p>
    <w:p w:rsidR="00A97F45" w:rsidRPr="00A97F45" w:rsidRDefault="00A97F45" w:rsidP="00B66BA3">
      <w:pPr>
        <w:pStyle w:val="SingleTxt"/>
        <w:keepNext/>
        <w:keepLines/>
      </w:pPr>
      <w:r w:rsidRPr="00A97F45">
        <w:t>59.</w:t>
      </w:r>
      <w:r w:rsidRPr="00A97F45">
        <w:tab/>
        <w:t>Совместное совещание приняло к сведению итоги второго и третьего раб</w:t>
      </w:r>
      <w:r w:rsidRPr="00A97F45">
        <w:t>о</w:t>
      </w:r>
      <w:r w:rsidRPr="00A97F45">
        <w:t>чих совещаний по управлению рисками в контексте перевозки опасных грузов железнодорожным, автомобильным и внутренним водным транспортом, пров</w:t>
      </w:r>
      <w:r w:rsidRPr="00A97F45">
        <w:t>е</w:t>
      </w:r>
      <w:r w:rsidRPr="00A97F45">
        <w:t>денных ЕЖ</w:t>
      </w:r>
      <w:r w:rsidR="00D219A1">
        <w:t>ДА 28</w:t>
      </w:r>
      <w:r w:rsidR="00D219A1" w:rsidRPr="00D219A1">
        <w:t>–</w:t>
      </w:r>
      <w:r w:rsidR="00D219A1">
        <w:t>30 октября 2014 года и 17</w:t>
      </w:r>
      <w:r w:rsidR="00D219A1" w:rsidRPr="00D219A1">
        <w:t>–</w:t>
      </w:r>
      <w:r w:rsidRPr="00A97F45">
        <w:t>19 февраля 2015 года в Валансьен (Франция). К настоящему моменту результатом этой работы стала выработка принципов, которые должны соблюдаться в дальнейшей деятельности. Данные принципы были проанализированы и поддержаны участниками рабочих совещ</w:t>
      </w:r>
      <w:r w:rsidRPr="00A97F45">
        <w:t>а</w:t>
      </w:r>
      <w:r w:rsidRPr="00A97F45">
        <w:t>ний. Делегат от ЕЖДА также упомянул о практических договоренностях в отн</w:t>
      </w:r>
      <w:r w:rsidRPr="00A97F45">
        <w:t>о</w:t>
      </w:r>
      <w:r w:rsidRPr="00A97F45">
        <w:t>шении проведения предстоящих рабочих совещаний и разработке двух проектов руководящих документов. Он вновь пригласил делегатов Совместного совещания  принять участие в этих рабочих совещаниях. Он, в частности, заявил, что было определено, что информация, которую предписано указывать в отчете о прои</w:t>
      </w:r>
      <w:r w:rsidRPr="00A97F45">
        <w:t>с</w:t>
      </w:r>
      <w:r w:rsidRPr="00A97F45">
        <w:t xml:space="preserve">шествиях в соответствии с разделом 1.8.5, не является достаточно подробной для ее использования в рамках анализа рисков, в </w:t>
      </w:r>
      <w:proofErr w:type="gramStart"/>
      <w:r w:rsidRPr="00A97F45">
        <w:t>связи</w:t>
      </w:r>
      <w:proofErr w:type="gramEnd"/>
      <w:r w:rsidRPr="00A97F45">
        <w:t xml:space="preserve"> с чем возникает вопрос о дальнейших действиях по созданию базы данных (документ -/AC.1/2014/52).</w:t>
      </w:r>
    </w:p>
    <w:p w:rsidR="00A97F45" w:rsidRPr="00A97F45" w:rsidRDefault="00A97F45" w:rsidP="00A97F45">
      <w:pPr>
        <w:pStyle w:val="SingleTxt"/>
      </w:pPr>
      <w:r w:rsidRPr="00A97F45">
        <w:t>60.</w:t>
      </w:r>
      <w:r w:rsidRPr="00A97F45">
        <w:tab/>
        <w:t>Сотрудник секретариата отметил, что некоторые правительства приняли участие в эксперименте по созданию базы данных и их опыт свидетельствует о том, что можно собирать данные, используя базы данных, созданные при по</w:t>
      </w:r>
      <w:r w:rsidRPr="00A97F45">
        <w:t>д</w:t>
      </w:r>
      <w:r w:rsidRPr="00A97F45">
        <w:t xml:space="preserve">держке со стороны правительства Франции. </w:t>
      </w:r>
      <w:proofErr w:type="gramStart"/>
      <w:r w:rsidRPr="00A97F45">
        <w:t>Вместе с тем, прежде чем прист</w:t>
      </w:r>
      <w:r w:rsidRPr="00A97F45">
        <w:t>у</w:t>
      </w:r>
      <w:r w:rsidRPr="00A97F45">
        <w:t>пать к более продвинутому этапу данной работы, необходимо определить, след</w:t>
      </w:r>
      <w:r w:rsidRPr="00A97F45">
        <w:t>у</w:t>
      </w:r>
      <w:r w:rsidRPr="00A97F45">
        <w:t>ет ли внести изменения в раздел 1.8.5, с тем чтобы включить в него более п</w:t>
      </w:r>
      <w:r w:rsidRPr="00A97F45">
        <w:t>о</w:t>
      </w:r>
      <w:r w:rsidRPr="00A97F45">
        <w:t xml:space="preserve">дробную информацию, а также то, какую схему уровня услуг </w:t>
      </w:r>
      <w:r w:rsidR="007B48BC">
        <w:t>–</w:t>
      </w:r>
      <w:r w:rsidRPr="00A97F45">
        <w:t xml:space="preserve"> 1, 2 или 3, с</w:t>
      </w:r>
      <w:r w:rsidRPr="00A97F45">
        <w:t>о</w:t>
      </w:r>
      <w:r w:rsidRPr="00A97F45">
        <w:t>гласно документу -/AC.1/2014/52, Договаривающиеся стороны желают использ</w:t>
      </w:r>
      <w:r w:rsidRPr="00A97F45">
        <w:t>о</w:t>
      </w:r>
      <w:r w:rsidRPr="00A97F45">
        <w:t>вать.</w:t>
      </w:r>
      <w:proofErr w:type="gramEnd"/>
      <w:r w:rsidRPr="00A97F45">
        <w:t xml:space="preserve"> Совместное совещание приняло предложение Франции и Германии подг</w:t>
      </w:r>
      <w:r w:rsidRPr="00A97F45">
        <w:t>о</w:t>
      </w:r>
      <w:r w:rsidRPr="00A97F45">
        <w:t>товить вопросник для получения информации о том, каким образом в настоящее время каждое правительство обрабатывает данные, полученные из отчетов в с</w:t>
      </w:r>
      <w:r w:rsidRPr="00A97F45">
        <w:t>о</w:t>
      </w:r>
      <w:r w:rsidRPr="00A97F45">
        <w:t>ответствии с разделом 1.8.5, и какую более подробную информацию следует с</w:t>
      </w:r>
      <w:r w:rsidRPr="00A97F45">
        <w:t>о</w:t>
      </w:r>
      <w:r w:rsidRPr="00A97F45">
        <w:t xml:space="preserve">бирать, с </w:t>
      </w:r>
      <w:proofErr w:type="gramStart"/>
      <w:r w:rsidRPr="00A97F45">
        <w:t>тем</w:t>
      </w:r>
      <w:proofErr w:type="gramEnd"/>
      <w:r w:rsidRPr="00A97F45">
        <w:t xml:space="preserve"> чтобы ее можно было бы использовать в рамках управления риск</w:t>
      </w:r>
      <w:r w:rsidRPr="00A97F45">
        <w:t>а</w:t>
      </w:r>
      <w:r w:rsidRPr="00A97F45">
        <w:t>ми. Ответы на этот вопросник следует направить правительству Франции, а ит</w:t>
      </w:r>
      <w:r w:rsidRPr="00A97F45">
        <w:t>о</w:t>
      </w:r>
      <w:r w:rsidRPr="00A97F45">
        <w:t>ги этого опроса будут представлены на следующей сессии. Наряду с этим, ЕЖДА продолжит осуществление своей программы проведения рабочих совещаний.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B66BA3" w:rsidP="00B66BA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="00A97F45" w:rsidRPr="00A97F45">
        <w:rPr>
          <w:lang w:val="en-US"/>
        </w:rPr>
        <w:t>IX</w:t>
      </w:r>
      <w:r w:rsidR="00A97F45" w:rsidRPr="00A97F45">
        <w:t>.</w:t>
      </w:r>
      <w:r w:rsidR="00A97F45" w:rsidRPr="00A97F45">
        <w:tab/>
        <w:t>Будущая работа (пункт 8 повестки дня)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B66BA3" w:rsidRDefault="00B66BA3" w:rsidP="00B66BA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19A1">
        <w:tab/>
      </w:r>
      <w:r w:rsidR="00A97F45" w:rsidRPr="00B66BA3">
        <w:t>А.</w:t>
      </w:r>
      <w:r w:rsidR="00A97F45" w:rsidRPr="00B66BA3">
        <w:tab/>
        <w:t>Дискуссия по вопросу о необходимости согласованного подхода к</w:t>
      </w:r>
      <w:r w:rsidR="00D219A1">
        <w:rPr>
          <w:lang w:val="en-US"/>
        </w:rPr>
        <w:t> </w:t>
      </w:r>
      <w:r w:rsidR="00A97F45" w:rsidRPr="00B66BA3">
        <w:t>письменным инструкциям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324FA1">
      <w:pPr>
        <w:pStyle w:val="SingleTxt"/>
        <w:keepNext/>
        <w:keepLines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</w:tabs>
        <w:ind w:left="4133" w:hanging="2866"/>
      </w:pPr>
      <w:r w:rsidRPr="00A97F45">
        <w:rPr>
          <w:i/>
          <w:iCs/>
        </w:rPr>
        <w:t>Документ</w:t>
      </w:r>
      <w:r w:rsidRPr="00A97F45">
        <w:t>:</w:t>
      </w:r>
      <w:r w:rsidR="00B66BA3" w:rsidRPr="00B66BA3">
        <w:tab/>
      </w:r>
      <w:r w:rsidRPr="00A97F45">
        <w:t>ECE/TRANS/WP.15/AC.1/2015/1 (Румыния)</w:t>
      </w:r>
    </w:p>
    <w:p w:rsidR="00A97F45" w:rsidRPr="00A97F45" w:rsidRDefault="00A97F45" w:rsidP="00A97F45">
      <w:pPr>
        <w:pStyle w:val="SingleTxt"/>
      </w:pPr>
      <w:r w:rsidRPr="00A97F45">
        <w:t>61.</w:t>
      </w:r>
      <w:r w:rsidRPr="00A97F45">
        <w:tab/>
        <w:t xml:space="preserve"> Делегация Румынии подготовит новый документ для следующей сессии, и</w:t>
      </w:r>
      <w:r w:rsidR="00D219A1">
        <w:rPr>
          <w:lang w:val="en-US"/>
        </w:rPr>
        <w:t> </w:t>
      </w:r>
      <w:r w:rsidRPr="00A97F45">
        <w:t>делегациям было предложено прислать ей свои замечания.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B66BA3" w:rsidP="00B66BA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219A1">
        <w:tab/>
      </w:r>
      <w:r w:rsidR="00A97F45" w:rsidRPr="00A97F45">
        <w:t>В.</w:t>
      </w:r>
      <w:r w:rsidR="00A97F45" w:rsidRPr="00A97F45">
        <w:tab/>
        <w:t>Сроки проведения следующей сессии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62.</w:t>
      </w:r>
      <w:r w:rsidRPr="00A97F45">
        <w:tab/>
        <w:t>С учетом любых непредвиденных административных обстоятель</w:t>
      </w:r>
      <w:proofErr w:type="gramStart"/>
      <w:r w:rsidRPr="00A97F45">
        <w:t>ств сл</w:t>
      </w:r>
      <w:proofErr w:type="gramEnd"/>
      <w:r w:rsidRPr="00A97F45">
        <w:t>ед</w:t>
      </w:r>
      <w:r w:rsidRPr="00A97F45">
        <w:t>у</w:t>
      </w:r>
      <w:r w:rsidRPr="00A97F45">
        <w:t>ющая сессия будет проведена 15</w:t>
      </w:r>
      <w:r w:rsidR="007B48BC">
        <w:t>–</w:t>
      </w:r>
      <w:r w:rsidRPr="00A97F45">
        <w:t>25 сентября 2015 года в Женеве. Поскольку среда, 23 сентября 2015 года, будет выходным днем в Организации Объедине</w:t>
      </w:r>
      <w:r w:rsidRPr="00A97F45">
        <w:t>н</w:t>
      </w:r>
      <w:r w:rsidRPr="00A97F45">
        <w:t>ных Наций, в этот день услуги устного перевода предоставляться не будут, и этот день будет зарезервирован для заседаний рабочих групп и, возможно, для чтения имеющихся частей проекта доклада. Рабочие группы по цистернам и стандартам проведут свои заседания в течени</w:t>
      </w:r>
      <w:proofErr w:type="gramStart"/>
      <w:r w:rsidRPr="00A97F45">
        <w:t>и</w:t>
      </w:r>
      <w:proofErr w:type="gramEnd"/>
      <w:r w:rsidRPr="00A97F45">
        <w:t xml:space="preserve"> второй недели. Чтение доклада или после</w:t>
      </w:r>
      <w:r w:rsidRPr="00A97F45">
        <w:t>д</w:t>
      </w:r>
      <w:r w:rsidRPr="00A97F45">
        <w:t>ней части доклада состоится в пятницу, 25 сентября.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B66BA3" w:rsidP="00B66BA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="00A97F45" w:rsidRPr="00A97F45">
        <w:rPr>
          <w:lang w:val="en-US"/>
        </w:rPr>
        <w:t>X</w:t>
      </w:r>
      <w:r w:rsidR="00A97F45" w:rsidRPr="00A97F45">
        <w:t>.</w:t>
      </w:r>
      <w:r w:rsidR="00A97F45" w:rsidRPr="00A97F45">
        <w:tab/>
        <w:t>Прочие вопросы (пункт 9 повестки дня)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B66BA3" w:rsidP="00B66BA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="00A97F45" w:rsidRPr="00A97F45">
        <w:rPr>
          <w:lang w:val="en-US"/>
        </w:rPr>
        <w:t>A</w:t>
      </w:r>
      <w:r w:rsidR="00A97F45" w:rsidRPr="00A97F45">
        <w:t>.</w:t>
      </w:r>
      <w:r w:rsidR="00A97F45" w:rsidRPr="00A97F45">
        <w:tab/>
        <w:t>Просьба о предоставлении консультативного статуса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rPr>
          <w:i/>
          <w:iCs/>
        </w:rPr>
        <w:t>Неофициальный документ</w:t>
      </w:r>
      <w:r w:rsidRPr="00A97F45">
        <w:t xml:space="preserve">: </w:t>
      </w:r>
      <w:r w:rsidRPr="00A97F45">
        <w:tab/>
        <w:t>INF.5 (ЕАКБ)</w:t>
      </w:r>
    </w:p>
    <w:p w:rsidR="00A97F45" w:rsidRPr="00A97F45" w:rsidRDefault="00A97F45" w:rsidP="00A97F45">
      <w:pPr>
        <w:pStyle w:val="SingleTxt"/>
      </w:pPr>
      <w:r w:rsidRPr="00A97F45">
        <w:t>63.</w:t>
      </w:r>
      <w:r w:rsidRPr="00A97F45">
        <w:tab/>
        <w:t>Совместное совещание решило предоставить консультативный статус ЕАКБ при том понимании, что консультации с этой организацией будут проводиться только по вопросам, касающимся консультантов по вопросам безопасности, к</w:t>
      </w:r>
      <w:r w:rsidRPr="00A97F45">
        <w:t>о</w:t>
      </w:r>
      <w:r w:rsidRPr="00A97F45">
        <w:t>торые четко относятся к сфере ее деятельности, и что ссылка на ЕЖДА в ее уст</w:t>
      </w:r>
      <w:r w:rsidRPr="00A97F45">
        <w:t>а</w:t>
      </w:r>
      <w:r w:rsidRPr="00A97F45">
        <w:t>ве должна быть исключена.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547B3B" w:rsidP="00547B3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="00A97F45" w:rsidRPr="00A97F45">
        <w:t>В.</w:t>
      </w:r>
      <w:r w:rsidR="00A97F45" w:rsidRPr="00A97F45">
        <w:tab/>
        <w:t xml:space="preserve">Выражения признательности г-ну Дж. М. </w:t>
      </w:r>
      <w:proofErr w:type="spellStart"/>
      <w:r w:rsidR="00A97F45" w:rsidRPr="00A97F45">
        <w:t>Харту</w:t>
      </w:r>
      <w:proofErr w:type="spellEnd"/>
      <w:r w:rsidR="00A97F45" w:rsidRPr="00A97F45">
        <w:t xml:space="preserve">, </w:t>
      </w:r>
      <w:r w:rsidR="00B66BA3" w:rsidRPr="00B66BA3">
        <w:br/>
      </w:r>
      <w:r w:rsidR="00A97F45" w:rsidRPr="00A97F45">
        <w:t xml:space="preserve">г-ну П. </w:t>
      </w:r>
      <w:proofErr w:type="spellStart"/>
      <w:r w:rsidR="00A97F45" w:rsidRPr="00A97F45">
        <w:t>Хурдеману</w:t>
      </w:r>
      <w:proofErr w:type="spellEnd"/>
      <w:r w:rsidR="00A97F45" w:rsidRPr="00A97F45">
        <w:t xml:space="preserve"> и г-ну М. </w:t>
      </w:r>
      <w:proofErr w:type="spellStart"/>
      <w:r w:rsidR="00A97F45" w:rsidRPr="00A97F45">
        <w:t>Богерту</w:t>
      </w:r>
      <w:proofErr w:type="spellEnd"/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64.</w:t>
      </w:r>
      <w:r w:rsidRPr="00A97F45">
        <w:tab/>
        <w:t xml:space="preserve">Совместное совещание было проинформировано о том, что г-н </w:t>
      </w:r>
      <w:proofErr w:type="spellStart"/>
      <w:r w:rsidRPr="00A97F45">
        <w:t>Харт</w:t>
      </w:r>
      <w:proofErr w:type="spellEnd"/>
      <w:r w:rsidRPr="00A97F45">
        <w:t xml:space="preserve"> (С</w:t>
      </w:r>
      <w:r w:rsidRPr="00A97F45">
        <w:t>о</w:t>
      </w:r>
      <w:r w:rsidRPr="00A97F45">
        <w:t xml:space="preserve">единенное Королевство) и г-н </w:t>
      </w:r>
      <w:proofErr w:type="spellStart"/>
      <w:r w:rsidRPr="00A97F45">
        <w:t>Хурдеман</w:t>
      </w:r>
      <w:proofErr w:type="spellEnd"/>
      <w:r w:rsidRPr="00A97F45">
        <w:t xml:space="preserve"> (Нидерланды) вскоре выходят в отставку и эта сессия является для них последней. И тот, и другой в качестве главы или члена делегации своей страны участвовали в работе почти всех сессий Совмес</w:t>
      </w:r>
      <w:r w:rsidRPr="00A97F45">
        <w:t>т</w:t>
      </w:r>
      <w:r w:rsidRPr="00A97F45">
        <w:t xml:space="preserve">ного совещания (г-н </w:t>
      </w:r>
      <w:proofErr w:type="spellStart"/>
      <w:r w:rsidRPr="00A97F45">
        <w:t>Харт</w:t>
      </w:r>
      <w:proofErr w:type="spellEnd"/>
      <w:r w:rsidRPr="00A97F45">
        <w:t xml:space="preserve"> с 1997 года, а г-н </w:t>
      </w:r>
      <w:proofErr w:type="spellStart"/>
      <w:r w:rsidRPr="00A97F45">
        <w:t>Хурдеман</w:t>
      </w:r>
      <w:proofErr w:type="spellEnd"/>
      <w:r w:rsidRPr="00A97F45">
        <w:t xml:space="preserve"> с 1985 года), а также се</w:t>
      </w:r>
      <w:r w:rsidRPr="00A97F45">
        <w:t>с</w:t>
      </w:r>
      <w:r w:rsidRPr="00A97F45">
        <w:t>сий других органов, в частности Подкомитета экспертов Организации Объед</w:t>
      </w:r>
      <w:r w:rsidRPr="00A97F45">
        <w:t>и</w:t>
      </w:r>
      <w:r w:rsidRPr="00A97F45">
        <w:t>ненных Наций по перевозке опасных грузов. Совместное совещание выразило им свою глубокую признательность и пожелало им долгой и счастливой жизни п</w:t>
      </w:r>
      <w:r w:rsidRPr="00A97F45">
        <w:t>о</w:t>
      </w:r>
      <w:r w:rsidRPr="00A97F45">
        <w:t>сле выхода в отставку.</w:t>
      </w:r>
    </w:p>
    <w:p w:rsidR="00A97F45" w:rsidRPr="00A97F45" w:rsidRDefault="00A97F45" w:rsidP="00A97F45">
      <w:pPr>
        <w:pStyle w:val="SingleTxt"/>
      </w:pPr>
      <w:r w:rsidRPr="00A97F45">
        <w:t>65.</w:t>
      </w:r>
      <w:r w:rsidRPr="00A97F45">
        <w:tab/>
        <w:t xml:space="preserve">Совместное совещание выразило глубокое сожаление в связи с тем, что вследствие перераспределения полномочий в администрации Бельгии г-н </w:t>
      </w:r>
      <w:proofErr w:type="spellStart"/>
      <w:r w:rsidRPr="00A97F45">
        <w:t>Богерт</w:t>
      </w:r>
      <w:proofErr w:type="spellEnd"/>
      <w:r w:rsidRPr="00A97F45">
        <w:t xml:space="preserve"> не будет более участвовать в его работе. Г-н </w:t>
      </w:r>
      <w:proofErr w:type="spellStart"/>
      <w:r w:rsidRPr="00A97F45">
        <w:t>Богерт</w:t>
      </w:r>
      <w:proofErr w:type="spellEnd"/>
      <w:r w:rsidRPr="00A97F45">
        <w:t xml:space="preserve"> начал участвовать в межд</w:t>
      </w:r>
      <w:r w:rsidRPr="00A97F45">
        <w:t>у</w:t>
      </w:r>
      <w:r w:rsidRPr="00A97F45">
        <w:t>народной деятельности в области перевозок опасных грузов относительно н</w:t>
      </w:r>
      <w:r w:rsidRPr="00A97F45">
        <w:t>е</w:t>
      </w:r>
      <w:r w:rsidRPr="00A97F45">
        <w:t>давно, но быстро продемонстрировал высокий уровень компетентности в данной области, а также ценные навыки в проведении переговоров на сессиях Совмес</w:t>
      </w:r>
      <w:r w:rsidRPr="00A97F45">
        <w:t>т</w:t>
      </w:r>
      <w:r w:rsidRPr="00A97F45">
        <w:t>ного совещания и на других форумах, таких как Подкомитет экспертов Орган</w:t>
      </w:r>
      <w:r w:rsidRPr="00A97F45">
        <w:t>и</w:t>
      </w:r>
      <w:r w:rsidRPr="00A97F45">
        <w:lastRenderedPageBreak/>
        <w:t xml:space="preserve">зации Объединенных Наций и </w:t>
      </w:r>
      <w:r w:rsidRPr="00A97F45">
        <w:rPr>
          <w:lang w:val="en-US"/>
        </w:rPr>
        <w:t>WP</w:t>
      </w:r>
      <w:r w:rsidRPr="00A97F45">
        <w:t>.15. Совместное совещание пожелало ему вс</w:t>
      </w:r>
      <w:r w:rsidRPr="00A97F45">
        <w:t>я</w:t>
      </w:r>
      <w:r w:rsidRPr="00A97F45">
        <w:t>ческих успехов в новой сфере его деятельности.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547B3B" w:rsidP="00547B3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="00A97F45" w:rsidRPr="00A97F45">
        <w:t>С.</w:t>
      </w:r>
      <w:r w:rsidR="00A97F45" w:rsidRPr="00A97F45">
        <w:tab/>
        <w:t>Исправления к изданию МПОГ/ДОПОГ/ВОПОГ 2015 года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rPr>
          <w:i/>
          <w:iCs/>
        </w:rPr>
        <w:t>Неофициальный документ</w:t>
      </w:r>
      <w:r w:rsidRPr="00A97F45">
        <w:t xml:space="preserve">: </w:t>
      </w:r>
      <w:r w:rsidRPr="00A97F45">
        <w:tab/>
        <w:t>INF.14 (секретариат ОТИФ)</w:t>
      </w:r>
    </w:p>
    <w:p w:rsidR="00A97F45" w:rsidRPr="00A97F45" w:rsidRDefault="00A97F45" w:rsidP="00A97F45">
      <w:pPr>
        <w:pStyle w:val="SingleTxt"/>
      </w:pPr>
      <w:r w:rsidRPr="00A97F45">
        <w:t>66.</w:t>
      </w:r>
      <w:r w:rsidRPr="00A97F45">
        <w:tab/>
        <w:t>Совместное совещание приняло предложенные исправления (см. прилож</w:t>
      </w:r>
      <w:r w:rsidRPr="00A97F45">
        <w:t>е</w:t>
      </w:r>
      <w:r w:rsidRPr="00A97F45">
        <w:t xml:space="preserve">ние </w:t>
      </w:r>
      <w:r w:rsidRPr="00A97F45">
        <w:rPr>
          <w:lang w:val="en-US"/>
        </w:rPr>
        <w:t>III</w:t>
      </w:r>
      <w:r w:rsidRPr="00A97F45">
        <w:t>). Сотрудник секретариата ЕЭК ООН отметил, что если в МПОГ действ</w:t>
      </w:r>
      <w:r w:rsidRPr="00A97F45">
        <w:t>и</w:t>
      </w:r>
      <w:r w:rsidRPr="00A97F45">
        <w:t xml:space="preserve">тельно следует устранить противоречие между специальным положением 529 и приведенной в алфавитном указателе информацией, касающейся классификации хлорида ртути </w:t>
      </w:r>
      <w:r w:rsidRPr="00A97F45">
        <w:rPr>
          <w:lang w:val="en-US"/>
        </w:rPr>
        <w:t>I</w:t>
      </w:r>
      <w:r w:rsidRPr="00A97F45">
        <w:t xml:space="preserve"> (каломель), то в ДОПОГ и ВОПОГ существует иная ситуация, так как указатель не имеет в них юридического статуса. Поэтому для ДОПОГ и ВОПОГ данное исправление необходимо будет рассматривать как поправку к специальному положению 529, и принять решение по этой ситуации должна б</w:t>
      </w:r>
      <w:r w:rsidRPr="00A97F45">
        <w:t>у</w:t>
      </w:r>
      <w:r w:rsidRPr="00A97F45">
        <w:t xml:space="preserve">дет </w:t>
      </w:r>
      <w:r w:rsidRPr="00A97F45">
        <w:rPr>
          <w:lang w:val="en-US"/>
        </w:rPr>
        <w:t>WP</w:t>
      </w:r>
      <w:r w:rsidRPr="00A97F45">
        <w:t>.15 с учетом того, что текст приложений</w:t>
      </w:r>
      <w:proofErr w:type="gramStart"/>
      <w:r w:rsidRPr="00A97F45">
        <w:t xml:space="preserve"> А</w:t>
      </w:r>
      <w:proofErr w:type="gramEnd"/>
      <w:r w:rsidRPr="00A97F45">
        <w:t xml:space="preserve"> и В к ДОПОГ (и Правилам, прилагаемым к ВОПОГ) имеет преимущественную силу перед любой информ</w:t>
      </w:r>
      <w:r w:rsidRPr="00A97F45">
        <w:t>а</w:t>
      </w:r>
      <w:r w:rsidRPr="00A97F45">
        <w:t>цией, приведенной в указателе.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547B3B" w:rsidP="00547B3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="00A97F45" w:rsidRPr="00A97F45">
        <w:t>X</w:t>
      </w:r>
      <w:r w:rsidR="00A97F45" w:rsidRPr="00A97F45">
        <w:rPr>
          <w:lang w:val="en-US"/>
        </w:rPr>
        <w:t>I</w:t>
      </w:r>
      <w:r w:rsidR="00A97F45" w:rsidRPr="00A97F45">
        <w:t>.</w:t>
      </w:r>
      <w:r w:rsidR="00A97F45" w:rsidRPr="00A97F45">
        <w:tab/>
        <w:t>Утверждение доклада (пункт 10 повестки дня)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67.</w:t>
      </w:r>
      <w:r w:rsidRPr="00A97F45">
        <w:tab/>
        <w:t>Совместное совещание утвердило доклад о работе своей весенней сессии 2015 года и приложения к нему на основе проекта, подготовленного секретари</w:t>
      </w:r>
      <w:r w:rsidRPr="00A97F45">
        <w:t>а</w:t>
      </w:r>
      <w:r w:rsidRPr="00A97F45">
        <w:t>тами.</w:t>
      </w:r>
    </w:p>
    <w:p w:rsidR="00A97F45" w:rsidRPr="00A97F45" w:rsidRDefault="00547B3B" w:rsidP="00D219A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A97F45" w:rsidRPr="00A97F45">
        <w:lastRenderedPageBreak/>
        <w:t>Приложение I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A97F45" w:rsidRDefault="00D219A1" w:rsidP="00D219A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Pr="00034F46">
        <w:tab/>
      </w:r>
      <w:r w:rsidR="00A97F45" w:rsidRPr="00A97F45">
        <w:t>Доклад Рабочей группы по цистернам</w:t>
      </w: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547B3B" w:rsidRPr="00547B3B" w:rsidRDefault="00547B3B" w:rsidP="00547B3B">
      <w:pPr>
        <w:pStyle w:val="SingleTxt"/>
        <w:spacing w:after="0" w:line="120" w:lineRule="exact"/>
        <w:rPr>
          <w:sz w:val="10"/>
        </w:rPr>
      </w:pPr>
    </w:p>
    <w:p w:rsidR="00A97F45" w:rsidRPr="00034F46" w:rsidRDefault="00A97F45" w:rsidP="00A97F45">
      <w:pPr>
        <w:pStyle w:val="SingleTxt"/>
        <w:rPr>
          <w:lang w:val="en-US"/>
        </w:rPr>
      </w:pPr>
      <w:r w:rsidRPr="00034F46">
        <w:rPr>
          <w:lang w:val="en-US"/>
        </w:rPr>
        <w:t>(</w:t>
      </w:r>
      <w:proofErr w:type="gramStart"/>
      <w:r w:rsidRPr="00A97F45">
        <w:t>см</w:t>
      </w:r>
      <w:proofErr w:type="gramEnd"/>
      <w:r w:rsidRPr="00034F46">
        <w:rPr>
          <w:lang w:val="en-US"/>
        </w:rPr>
        <w:t xml:space="preserve">. </w:t>
      </w:r>
      <w:r w:rsidRPr="00A97F45">
        <w:rPr>
          <w:lang w:val="en-US"/>
        </w:rPr>
        <w:t>ECE</w:t>
      </w:r>
      <w:r w:rsidRPr="00034F46">
        <w:rPr>
          <w:lang w:val="en-US"/>
        </w:rPr>
        <w:t>/</w:t>
      </w:r>
      <w:r w:rsidRPr="00A97F45">
        <w:rPr>
          <w:lang w:val="en-US"/>
        </w:rPr>
        <w:t>TRANS</w:t>
      </w:r>
      <w:r w:rsidRPr="00034F46">
        <w:rPr>
          <w:lang w:val="en-US"/>
        </w:rPr>
        <w:t>/</w:t>
      </w:r>
      <w:r w:rsidRPr="00A97F45">
        <w:rPr>
          <w:lang w:val="en-US"/>
        </w:rPr>
        <w:t>WP</w:t>
      </w:r>
      <w:r w:rsidRPr="00034F46">
        <w:rPr>
          <w:lang w:val="en-US"/>
        </w:rPr>
        <w:t>.15/</w:t>
      </w:r>
      <w:r w:rsidRPr="00A97F45">
        <w:rPr>
          <w:lang w:val="en-US"/>
        </w:rPr>
        <w:t>AC</w:t>
      </w:r>
      <w:r w:rsidRPr="00034F46">
        <w:rPr>
          <w:lang w:val="en-US"/>
        </w:rPr>
        <w:t>.1/138/</w:t>
      </w:r>
      <w:r w:rsidRPr="00A97F45">
        <w:rPr>
          <w:lang w:val="en-US"/>
        </w:rPr>
        <w:t>Add</w:t>
      </w:r>
      <w:r w:rsidRPr="00034F46">
        <w:rPr>
          <w:lang w:val="en-US"/>
        </w:rPr>
        <w:t>.1)</w:t>
      </w:r>
    </w:p>
    <w:p w:rsidR="00A97F45" w:rsidRPr="00034F46" w:rsidRDefault="00B66BA3" w:rsidP="00D219A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06C6B">
        <w:br w:type="page"/>
      </w:r>
      <w:r w:rsidR="00A97F45" w:rsidRPr="00A97F45">
        <w:lastRenderedPageBreak/>
        <w:t>Приложение II</w:t>
      </w:r>
    </w:p>
    <w:p w:rsidR="00D219A1" w:rsidRPr="00D219A1" w:rsidRDefault="00D219A1" w:rsidP="00D219A1">
      <w:pPr>
        <w:pStyle w:val="SingleTxt"/>
        <w:spacing w:after="0" w:line="120" w:lineRule="exact"/>
        <w:rPr>
          <w:sz w:val="10"/>
        </w:rPr>
      </w:pPr>
    </w:p>
    <w:p w:rsidR="00D219A1" w:rsidRPr="00034F46" w:rsidRDefault="00D219A1" w:rsidP="00D219A1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D219A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97F45">
        <w:tab/>
      </w:r>
      <w:r w:rsidR="00D219A1" w:rsidRPr="00034F46">
        <w:tab/>
      </w:r>
      <w:r w:rsidRPr="00A97F45">
        <w:t>Проекты поправок к МПОГ, ДОПОГ и ВОПОГ для</w:t>
      </w:r>
      <w:r w:rsidR="00D219A1">
        <w:rPr>
          <w:lang w:val="en-US"/>
        </w:rPr>
        <w:t> </w:t>
      </w:r>
      <w:r w:rsidRPr="00A97F45">
        <w:t>вступления в силу 1 января 2017 года</w:t>
      </w:r>
    </w:p>
    <w:p w:rsidR="00A97F45" w:rsidRPr="00D219A1" w:rsidRDefault="00A97F45" w:rsidP="00D219A1">
      <w:pPr>
        <w:pStyle w:val="SingleTxt"/>
        <w:spacing w:after="0" w:line="120" w:lineRule="exact"/>
        <w:rPr>
          <w:b/>
          <w:bCs/>
          <w:sz w:val="10"/>
        </w:rPr>
      </w:pPr>
    </w:p>
    <w:p w:rsidR="00D219A1" w:rsidRPr="00D219A1" w:rsidRDefault="00D219A1" w:rsidP="00D219A1">
      <w:pPr>
        <w:pStyle w:val="SingleTxt"/>
        <w:spacing w:after="0" w:line="120" w:lineRule="exact"/>
        <w:rPr>
          <w:b/>
          <w:bCs/>
          <w:sz w:val="10"/>
        </w:rPr>
      </w:pPr>
    </w:p>
    <w:p w:rsidR="00A97F45" w:rsidRPr="00A97F45" w:rsidRDefault="00D219A1" w:rsidP="00D219A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Pr="00034F46">
        <w:tab/>
      </w:r>
      <w:r w:rsidR="00A97F45" w:rsidRPr="00A97F45">
        <w:t>Глава 1.1</w:t>
      </w:r>
    </w:p>
    <w:p w:rsidR="00D219A1" w:rsidRPr="00034F46" w:rsidRDefault="00D219A1" w:rsidP="00D219A1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1.1.3.3 c)</w:t>
      </w:r>
      <w:r w:rsidRPr="00A97F45">
        <w:tab/>
        <w:t xml:space="preserve">Во втором предложении после слова </w:t>
      </w:r>
      <w:r w:rsidR="00D47C74">
        <w:t>«</w:t>
      </w:r>
      <w:r w:rsidRPr="00A97F45">
        <w:t>двигателем</w:t>
      </w:r>
      <w:r w:rsidR="00D47C74">
        <w:t>»</w:t>
      </w:r>
      <w:r w:rsidRPr="00A97F45">
        <w:t xml:space="preserve"> исключить слова</w:t>
      </w:r>
      <w:r w:rsidR="00DF0525" w:rsidRPr="00DF0525">
        <w:t xml:space="preserve"> </w:t>
      </w:r>
      <w:r w:rsidR="00D47C74">
        <w:t>«</w:t>
      </w:r>
      <w:r w:rsidRPr="00A97F45">
        <w:t>транспортного средства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INF.16)</w:t>
      </w:r>
    </w:p>
    <w:p w:rsidR="00D219A1" w:rsidRPr="00DF0525" w:rsidRDefault="00D219A1" w:rsidP="00D219A1">
      <w:pPr>
        <w:pStyle w:val="SingleTxt"/>
        <w:spacing w:after="0" w:line="120" w:lineRule="exact"/>
        <w:rPr>
          <w:sz w:val="10"/>
        </w:rPr>
      </w:pPr>
    </w:p>
    <w:p w:rsidR="00A97F45" w:rsidRPr="00034F46" w:rsidRDefault="00DF0525" w:rsidP="00DF052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Pr="00034F46">
        <w:tab/>
      </w:r>
      <w:r w:rsidR="00A97F45" w:rsidRPr="00034F46">
        <w:t>Глава 1.6</w:t>
      </w:r>
    </w:p>
    <w:p w:rsidR="00DF0525" w:rsidRPr="00034F46" w:rsidRDefault="00DF0525" w:rsidP="00DF0525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1.6.1</w:t>
      </w:r>
      <w:proofErr w:type="gramStart"/>
      <w:r w:rsidRPr="00A97F45">
        <w:tab/>
        <w:t>В</w:t>
      </w:r>
      <w:proofErr w:type="gramEnd"/>
      <w:r w:rsidRPr="00A97F45">
        <w:t>ключить новое переходное положение следующего содержания:</w:t>
      </w:r>
    </w:p>
    <w:p w:rsidR="00A97F45" w:rsidRPr="00A97F45" w:rsidRDefault="00D47C74" w:rsidP="00A97F45">
      <w:pPr>
        <w:pStyle w:val="SingleTxt"/>
      </w:pPr>
      <w:r>
        <w:t>«</w:t>
      </w:r>
      <w:r w:rsidR="00A97F45" w:rsidRPr="00A97F45">
        <w:t>1.6.1.37</w:t>
      </w:r>
      <w:r w:rsidR="00A97F45" w:rsidRPr="00A97F45">
        <w:tab/>
        <w:t xml:space="preserve">Договаривающиеся </w:t>
      </w:r>
      <w:proofErr w:type="gramStart"/>
      <w:r w:rsidR="00A97F45" w:rsidRPr="00A97F45">
        <w:t>государства</w:t>
      </w:r>
      <w:proofErr w:type="gramEnd"/>
      <w:r w:rsidR="00A97F45" w:rsidRPr="00A97F45">
        <w:t>/Договаривающиеся стороны могут продолжать выдавать свидетельства о подготовке консультантов по вопросам безопасности перевозок опасных грузов, соответствующие образцу, применя</w:t>
      </w:r>
      <w:r w:rsidR="00A97F45" w:rsidRPr="00A97F45">
        <w:t>е</w:t>
      </w:r>
      <w:r w:rsidR="00A97F45" w:rsidRPr="00A97F45">
        <w:t>мому до 31 декабря 2016 года, вместо свидетельств, соответствующих требов</w:t>
      </w:r>
      <w:r w:rsidR="00A97F45" w:rsidRPr="00A97F45">
        <w:t>а</w:t>
      </w:r>
      <w:r w:rsidR="00A97F45" w:rsidRPr="00A97F45">
        <w:t>ниям пункта 1.8.3.18, применяемым с 1 января 2017 года, до 31 декабря 2018 г</w:t>
      </w:r>
      <w:r w:rsidR="00A97F45" w:rsidRPr="00A97F45">
        <w:t>о</w:t>
      </w:r>
      <w:r w:rsidR="00A97F45" w:rsidRPr="00A97F45">
        <w:t>да. Такие свидетельства могут по-прежнему использоваться до конца их пят</w:t>
      </w:r>
      <w:r w:rsidR="00A97F45" w:rsidRPr="00A97F45">
        <w:t>и</w:t>
      </w:r>
      <w:r w:rsidR="00A97F45" w:rsidRPr="00A97F45">
        <w:t xml:space="preserve">летнего срока </w:t>
      </w:r>
      <w:proofErr w:type="spellStart"/>
      <w:r w:rsidR="00A97F45" w:rsidRPr="00A97F45">
        <w:t>действия</w:t>
      </w:r>
      <w:r w:rsidR="00324FA1">
        <w:t>ю</w:t>
      </w:r>
      <w:proofErr w:type="spellEnd"/>
      <w:r w:rsidR="00324FA1">
        <w:t>.</w:t>
      </w:r>
      <w:r>
        <w:t>»</w:t>
      </w:r>
      <w:r w:rsidR="00A97F45"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r w:rsidRPr="00A97F45">
        <w:t>(</w:t>
      </w:r>
      <w:r w:rsidRPr="00A97F45">
        <w:rPr>
          <w:i/>
          <w:iCs/>
        </w:rPr>
        <w:t>Справочный документ: неофициальный документ INF.45 с поправками)</w:t>
      </w:r>
    </w:p>
    <w:p w:rsidR="00D219A1" w:rsidRPr="00D219A1" w:rsidRDefault="00D219A1" w:rsidP="00D219A1">
      <w:pPr>
        <w:pStyle w:val="SingleTxt"/>
        <w:spacing w:after="0" w:line="120" w:lineRule="exact"/>
        <w:rPr>
          <w:sz w:val="10"/>
        </w:rPr>
      </w:pPr>
    </w:p>
    <w:p w:rsidR="00A97F45" w:rsidRPr="00DF0525" w:rsidRDefault="00DF0525" w:rsidP="00DF052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Pr="00034F46">
        <w:tab/>
      </w:r>
      <w:r w:rsidR="00A97F45" w:rsidRPr="00DF0525">
        <w:t>Глава 1.8</w:t>
      </w:r>
    </w:p>
    <w:p w:rsidR="00D219A1" w:rsidRPr="00DF0525" w:rsidRDefault="00D219A1" w:rsidP="00D219A1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1.8.3.2</w:t>
      </w:r>
      <w:r w:rsidRPr="00A97F45">
        <w:tab/>
        <w:t xml:space="preserve">В пункте с)/b) перед словами </w:t>
      </w:r>
      <w:r w:rsidR="00D47C74">
        <w:t>«</w:t>
      </w:r>
      <w:r w:rsidRPr="00A97F45">
        <w:t>погрузке или разгрузке</w:t>
      </w:r>
      <w:r w:rsidR="00D47C74">
        <w:t>»</w:t>
      </w:r>
      <w:r w:rsidRPr="00A97F45">
        <w:t xml:space="preserve"> добавить слова</w:t>
      </w:r>
      <w:r w:rsidR="00DF0525" w:rsidRPr="00DF0525">
        <w:t xml:space="preserve"> </w:t>
      </w:r>
      <w:r w:rsidR="00D47C74">
        <w:t>«</w:t>
      </w:r>
      <w:r w:rsidRPr="00A97F45">
        <w:t>упаковке, наполнению</w:t>
      </w:r>
      <w:proofErr w:type="gramStart"/>
      <w:r w:rsidRPr="00A97F45">
        <w:t>,</w:t>
      </w:r>
      <w:r w:rsidR="00D47C74">
        <w:t>»</w:t>
      </w:r>
      <w:proofErr w:type="gramEnd"/>
      <w:r w:rsidRPr="00A97F45">
        <w:t xml:space="preserve"> (дважды).</w:t>
      </w:r>
    </w:p>
    <w:p w:rsidR="00A97F45" w:rsidRPr="00A97F45" w:rsidRDefault="00A97F45" w:rsidP="00A97F45">
      <w:pPr>
        <w:pStyle w:val="SingleTxt"/>
        <w:rPr>
          <w:i/>
          <w:iCs/>
        </w:rPr>
      </w:pPr>
      <w:proofErr w:type="gramStart"/>
      <w:r w:rsidRPr="00A97F45">
        <w:rPr>
          <w:i/>
          <w:iCs/>
        </w:rPr>
        <w:t>(Справочный документ:</w:t>
      </w:r>
      <w:proofErr w:type="gramEnd"/>
      <w:r w:rsidRPr="00A97F45">
        <w:rPr>
          <w:i/>
          <w:iCs/>
        </w:rPr>
        <w:t xml:space="preserve"> </w:t>
      </w:r>
      <w:proofErr w:type="gramStart"/>
      <w:r w:rsidRPr="00A97F45">
        <w:rPr>
          <w:i/>
          <w:iCs/>
        </w:rPr>
        <w:t>ECE/TRANS/WP.15/AC.1/2015/18)</w:t>
      </w:r>
      <w:proofErr w:type="gramEnd"/>
    </w:p>
    <w:p w:rsidR="00A97F45" w:rsidRPr="00F405E6" w:rsidRDefault="00A97F45" w:rsidP="00A97F45">
      <w:pPr>
        <w:pStyle w:val="SingleTxt"/>
      </w:pPr>
      <w:r w:rsidRPr="00A97F45">
        <w:t>1.8.3.3</w:t>
      </w:r>
      <w:r w:rsidRPr="00A97F45">
        <w:tab/>
        <w:t xml:space="preserve">В третьем, пятом и шестом подпунктах третьего абзаца перед словами </w:t>
      </w:r>
      <w:r w:rsidR="00D47C74">
        <w:t>«</w:t>
      </w:r>
      <w:r w:rsidRPr="00A97F45">
        <w:t>погрузки или разгрузки</w:t>
      </w:r>
      <w:r w:rsidR="00D47C74">
        <w:t>»</w:t>
      </w:r>
      <w:r w:rsidRPr="00A97F45">
        <w:t xml:space="preserve"> добавить слова </w:t>
      </w:r>
      <w:r w:rsidR="00D47C74">
        <w:t>«</w:t>
      </w:r>
      <w:r w:rsidRPr="00A97F45">
        <w:t>упаковки, наполнения</w:t>
      </w:r>
      <w:proofErr w:type="gramStart"/>
      <w:r w:rsidRPr="00A97F45">
        <w:t>,</w:t>
      </w:r>
      <w:r w:rsidR="00D47C74">
        <w:t>»</w:t>
      </w:r>
      <w:proofErr w:type="gramEnd"/>
      <w:r w:rsidRPr="00A97F45">
        <w:t xml:space="preserve"> (три раза). </w:t>
      </w:r>
    </w:p>
    <w:p w:rsidR="00A97F45" w:rsidRPr="00A97F45" w:rsidRDefault="00A97F45" w:rsidP="00A97F45">
      <w:pPr>
        <w:pStyle w:val="SingleTxt"/>
      </w:pPr>
      <w:r w:rsidRPr="00A97F45">
        <w:t xml:space="preserve">В девятом и десятом подпунктах перед словами </w:t>
      </w:r>
      <w:r w:rsidR="00D47C74">
        <w:t>«</w:t>
      </w:r>
      <w:r w:rsidRPr="00A97F45">
        <w:t>погрузкой или разгрузкой</w:t>
      </w:r>
      <w:r w:rsidR="00D47C74">
        <w:t>»</w:t>
      </w:r>
      <w:r w:rsidRPr="00A97F45">
        <w:t xml:space="preserve"> д</w:t>
      </w:r>
      <w:r w:rsidRPr="00A97F45">
        <w:t>о</w:t>
      </w:r>
      <w:r w:rsidRPr="00A97F45">
        <w:t xml:space="preserve">бавить слова </w:t>
      </w:r>
      <w:r w:rsidR="00D47C74">
        <w:t>«</w:t>
      </w:r>
      <w:r w:rsidRPr="00A97F45">
        <w:t>упаковкой, наполнением</w:t>
      </w:r>
      <w:proofErr w:type="gramStart"/>
      <w:r w:rsidRPr="00A97F45">
        <w:t>,</w:t>
      </w:r>
      <w:r w:rsidR="00D47C74">
        <w:t>»</w:t>
      </w:r>
      <w:proofErr w:type="gramEnd"/>
      <w:r w:rsidRPr="00A97F45">
        <w:t xml:space="preserve"> (дважды).</w:t>
      </w:r>
    </w:p>
    <w:p w:rsidR="00A97F45" w:rsidRPr="00A97F45" w:rsidRDefault="00A97F45" w:rsidP="00A97F45">
      <w:pPr>
        <w:pStyle w:val="SingleTxt"/>
      </w:pPr>
      <w:r w:rsidRPr="00A97F45">
        <w:t>В двенадцатом подпункте перед сл</w:t>
      </w:r>
      <w:r w:rsidR="00D47C74">
        <w:t xml:space="preserve">овами «погрузки или разгрузки» </w:t>
      </w:r>
      <w:r w:rsidRPr="00A97F45">
        <w:t xml:space="preserve">добавить слова </w:t>
      </w:r>
      <w:r w:rsidR="00D47C74">
        <w:t>«</w:t>
      </w:r>
      <w:r w:rsidRPr="00A97F45">
        <w:t>упаковки, наполнения</w:t>
      </w:r>
      <w:proofErr w:type="gramStart"/>
      <w:r w:rsidRPr="00A97F45">
        <w:t>,</w:t>
      </w:r>
      <w:r w:rsidR="00D47C74">
        <w:t>»</w:t>
      </w:r>
      <w:proofErr w:type="gramEnd"/>
      <w:r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proofErr w:type="gramStart"/>
      <w:r w:rsidRPr="00A97F45">
        <w:rPr>
          <w:i/>
          <w:iCs/>
        </w:rPr>
        <w:t>(Справочный документ:</w:t>
      </w:r>
      <w:proofErr w:type="gramEnd"/>
      <w:r w:rsidRPr="00A97F45">
        <w:rPr>
          <w:i/>
          <w:iCs/>
        </w:rPr>
        <w:t xml:space="preserve"> </w:t>
      </w:r>
      <w:proofErr w:type="gramStart"/>
      <w:r w:rsidRPr="00A97F45">
        <w:rPr>
          <w:i/>
          <w:iCs/>
        </w:rPr>
        <w:t>ECE/TRANS/WP.15/AC.1/2015/18)</w:t>
      </w:r>
      <w:proofErr w:type="gramEnd"/>
    </w:p>
    <w:p w:rsidR="00A97F45" w:rsidRPr="00A97F45" w:rsidRDefault="00A97F45" w:rsidP="00A97F45">
      <w:pPr>
        <w:pStyle w:val="SingleTxt"/>
      </w:pPr>
      <w:r w:rsidRPr="00A97F45">
        <w:t>1.8.3.6</w:t>
      </w:r>
      <w:r w:rsidRPr="00A97F45">
        <w:tab/>
        <w:t xml:space="preserve">Перед словами </w:t>
      </w:r>
      <w:r w:rsidR="00D47C74">
        <w:t>«</w:t>
      </w:r>
      <w:r w:rsidRPr="00A97F45">
        <w:t>погрузки или разгрузки</w:t>
      </w:r>
      <w:r w:rsidR="00D47C74">
        <w:t>»</w:t>
      </w:r>
      <w:r w:rsidRPr="00A97F45">
        <w:t xml:space="preserve"> добавить слова</w:t>
      </w:r>
      <w:r w:rsidR="00F405E6" w:rsidRPr="00F405E6">
        <w:t xml:space="preserve"> </w:t>
      </w:r>
      <w:r w:rsidR="00D47C74">
        <w:t>«</w:t>
      </w:r>
      <w:r w:rsidRPr="00A97F45">
        <w:t>упаковки, наполнения</w:t>
      </w:r>
      <w:proofErr w:type="gramStart"/>
      <w:r w:rsidRPr="00A97F45">
        <w:t>,</w:t>
      </w:r>
      <w:r w:rsidR="00D47C74">
        <w:t>»</w:t>
      </w:r>
      <w:proofErr w:type="gramEnd"/>
      <w:r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proofErr w:type="gramStart"/>
      <w:r w:rsidRPr="00A97F45">
        <w:rPr>
          <w:i/>
          <w:iCs/>
        </w:rPr>
        <w:t>(Справочный документ:</w:t>
      </w:r>
      <w:proofErr w:type="gramEnd"/>
      <w:r w:rsidRPr="00A97F45">
        <w:rPr>
          <w:i/>
          <w:iCs/>
        </w:rPr>
        <w:t xml:space="preserve"> </w:t>
      </w:r>
      <w:proofErr w:type="gramStart"/>
      <w:r w:rsidRPr="00A97F45">
        <w:rPr>
          <w:i/>
          <w:iCs/>
        </w:rPr>
        <w:t>ECE/TRANS/WP.15/AC.1/2015/18)</w:t>
      </w:r>
      <w:proofErr w:type="gramEnd"/>
    </w:p>
    <w:p w:rsidR="00A97F45" w:rsidRPr="00A97F45" w:rsidRDefault="00A97F45" w:rsidP="00A97F45">
      <w:pPr>
        <w:pStyle w:val="SingleTxt"/>
      </w:pPr>
      <w:r w:rsidRPr="00A97F45">
        <w:t>1.8.3.9</w:t>
      </w:r>
      <w:proofErr w:type="gramStart"/>
      <w:r w:rsidRPr="00A97F45">
        <w:tab/>
        <w:t>П</w:t>
      </w:r>
      <w:proofErr w:type="gramEnd"/>
      <w:r w:rsidRPr="00A97F45">
        <w:t xml:space="preserve">осле слова </w:t>
      </w:r>
      <w:r w:rsidR="00D47C74">
        <w:t>«</w:t>
      </w:r>
      <w:r w:rsidRPr="00A97F45">
        <w:t>перевозкой</w:t>
      </w:r>
      <w:r w:rsidR="00D47C74">
        <w:t>»</w:t>
      </w:r>
      <w:r w:rsidRPr="00A97F45">
        <w:t xml:space="preserve"> добавить слова</w:t>
      </w:r>
      <w:r w:rsidR="00F405E6" w:rsidRPr="00F405E6">
        <w:t xml:space="preserve"> </w:t>
      </w:r>
      <w:r w:rsidR="00D47C74">
        <w:t>«</w:t>
      </w:r>
      <w:r w:rsidRPr="00A97F45">
        <w:t>упаковкой, наполнением, погрузкой и разгрузкой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proofErr w:type="gramStart"/>
      <w:r w:rsidRPr="00A97F45">
        <w:rPr>
          <w:i/>
          <w:iCs/>
        </w:rPr>
        <w:t>(Справочный документ:</w:t>
      </w:r>
      <w:proofErr w:type="gramEnd"/>
      <w:r w:rsidRPr="00A97F45">
        <w:rPr>
          <w:i/>
          <w:iCs/>
        </w:rPr>
        <w:t xml:space="preserve"> </w:t>
      </w:r>
      <w:proofErr w:type="gramStart"/>
      <w:r w:rsidRPr="00A97F45">
        <w:rPr>
          <w:i/>
          <w:iCs/>
        </w:rPr>
        <w:t>ECE/TRANS/WP.15/AC.1/2015/18)</w:t>
      </w:r>
      <w:proofErr w:type="gramEnd"/>
    </w:p>
    <w:p w:rsidR="00A97F45" w:rsidRPr="00A97F45" w:rsidRDefault="00A97F45" w:rsidP="00A97F45">
      <w:pPr>
        <w:pStyle w:val="SingleTxt"/>
      </w:pPr>
      <w:r w:rsidRPr="00A97F45">
        <w:t>1.8.3.11 b)</w:t>
      </w:r>
      <w:r w:rsidRPr="00A97F45">
        <w:tab/>
      </w:r>
      <w:r w:rsidR="00A335AC">
        <w:tab/>
      </w:r>
      <w:r w:rsidRPr="00A97F45">
        <w:t xml:space="preserve">В десятом подпункте, в скобках перед словами </w:t>
      </w:r>
      <w:r w:rsidR="00D47C74">
        <w:t>«</w:t>
      </w:r>
      <w:r w:rsidRPr="00A97F45">
        <w:t>погрузка и ра</w:t>
      </w:r>
      <w:r w:rsidRPr="00A97F45">
        <w:t>з</w:t>
      </w:r>
      <w:r w:rsidRPr="00A97F45">
        <w:t>грузка</w:t>
      </w:r>
      <w:r w:rsidR="00D47C74">
        <w:t>»</w:t>
      </w:r>
      <w:r w:rsidRPr="00A97F45">
        <w:t xml:space="preserve"> добавить слова</w:t>
      </w:r>
      <w:r w:rsidR="00F405E6" w:rsidRPr="00F405E6">
        <w:t xml:space="preserve"> </w:t>
      </w:r>
      <w:r w:rsidR="00D47C74">
        <w:t>«</w:t>
      </w:r>
      <w:r w:rsidRPr="00A97F45">
        <w:t>упаковка, наполнение</w:t>
      </w:r>
      <w:proofErr w:type="gramStart"/>
      <w:r w:rsidRPr="00A97F45">
        <w:t>,</w:t>
      </w:r>
      <w:r w:rsidR="00D47C74">
        <w:t>»</w:t>
      </w:r>
      <w:proofErr w:type="gramEnd"/>
      <w:r w:rsidRPr="00A97F45">
        <w:t>.</w:t>
      </w:r>
    </w:p>
    <w:p w:rsidR="00A97F45" w:rsidRPr="00A97F45" w:rsidRDefault="00A97F45" w:rsidP="00A97F45">
      <w:pPr>
        <w:pStyle w:val="SingleTxt"/>
      </w:pPr>
      <w:r w:rsidRPr="00A97F45">
        <w:t xml:space="preserve">В одиннадцатом подпункте перед словами </w:t>
      </w:r>
      <w:r w:rsidR="00D47C74">
        <w:t>«</w:t>
      </w:r>
      <w:r w:rsidRPr="00A97F45">
        <w:t>погрузкой и после разгрузки</w:t>
      </w:r>
      <w:r w:rsidR="00D47C74">
        <w:t>»</w:t>
      </w:r>
      <w:r w:rsidRPr="00A97F45">
        <w:t xml:space="preserve"> доб</w:t>
      </w:r>
      <w:r w:rsidRPr="00A97F45">
        <w:t>а</w:t>
      </w:r>
      <w:r w:rsidRPr="00A97F45">
        <w:t>вить слова</w:t>
      </w:r>
      <w:r w:rsidR="00F405E6" w:rsidRPr="00F405E6">
        <w:t xml:space="preserve"> </w:t>
      </w:r>
      <w:r w:rsidR="00D47C74">
        <w:t>«</w:t>
      </w:r>
      <w:r w:rsidRPr="00A97F45">
        <w:t>упаковкой, наполнением</w:t>
      </w:r>
      <w:proofErr w:type="gramStart"/>
      <w:r w:rsidRPr="00A97F45">
        <w:t>,</w:t>
      </w:r>
      <w:r w:rsidR="00D47C74">
        <w:t>»</w:t>
      </w:r>
      <w:proofErr w:type="gramEnd"/>
      <w:r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proofErr w:type="gramStart"/>
      <w:r w:rsidRPr="00A97F45">
        <w:rPr>
          <w:i/>
          <w:iCs/>
        </w:rPr>
        <w:t>(Справочный документ:</w:t>
      </w:r>
      <w:proofErr w:type="gramEnd"/>
      <w:r w:rsidRPr="00A97F45">
        <w:rPr>
          <w:i/>
          <w:iCs/>
        </w:rPr>
        <w:t xml:space="preserve"> </w:t>
      </w:r>
      <w:proofErr w:type="gramStart"/>
      <w:r w:rsidRPr="00A97F45">
        <w:rPr>
          <w:i/>
          <w:iCs/>
        </w:rPr>
        <w:t>ECE/TRANS/WP.15/AC.1/2015/18)</w:t>
      </w:r>
      <w:proofErr w:type="gramEnd"/>
    </w:p>
    <w:p w:rsidR="00A97F45" w:rsidRPr="00A97F45" w:rsidRDefault="00A97F45" w:rsidP="00A97F45">
      <w:pPr>
        <w:pStyle w:val="SingleTxt"/>
      </w:pPr>
      <w:r w:rsidRPr="00A97F45">
        <w:lastRenderedPageBreak/>
        <w:t>1.8.3.18</w:t>
      </w:r>
      <w:r w:rsidRPr="00A97F45">
        <w:tab/>
        <w:t>В восьмой графе (</w:t>
      </w:r>
      <w:r w:rsidR="00D47C74">
        <w:t>«</w:t>
      </w:r>
      <w:r w:rsidRPr="00A97F45">
        <w:t xml:space="preserve">Действительно </w:t>
      </w:r>
      <w:proofErr w:type="gramStart"/>
      <w:r w:rsidRPr="00A97F45">
        <w:t>до</w:t>
      </w:r>
      <w:proofErr w:type="gramEnd"/>
      <w:r w:rsidRPr="00A97F45">
        <w:t xml:space="preserve"> ...</w:t>
      </w:r>
      <w:r w:rsidR="00D47C74">
        <w:t>»</w:t>
      </w:r>
      <w:r w:rsidRPr="00A97F45">
        <w:t xml:space="preserve">) </w:t>
      </w:r>
      <w:proofErr w:type="gramStart"/>
      <w:r w:rsidRPr="00A97F45">
        <w:t>перед</w:t>
      </w:r>
      <w:proofErr w:type="gramEnd"/>
      <w:r w:rsidRPr="00A97F45">
        <w:t xml:space="preserve"> словами </w:t>
      </w:r>
      <w:r w:rsidR="00D47C74">
        <w:t>«</w:t>
      </w:r>
      <w:r w:rsidRPr="00A97F45">
        <w:t>погрузку или разгрузку</w:t>
      </w:r>
      <w:r w:rsidR="00D47C74">
        <w:t>»</w:t>
      </w:r>
      <w:r w:rsidRPr="00A97F45">
        <w:t xml:space="preserve"> добавить слова</w:t>
      </w:r>
      <w:r w:rsidR="00F405E6" w:rsidRPr="00F405E6">
        <w:t xml:space="preserve"> </w:t>
      </w:r>
      <w:r w:rsidR="00D47C74">
        <w:t>«</w:t>
      </w:r>
      <w:r w:rsidRPr="00A97F45">
        <w:t>упаковку, наполнение,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proofErr w:type="gramStart"/>
      <w:r w:rsidRPr="00A97F45">
        <w:t>(</w:t>
      </w:r>
      <w:r w:rsidRPr="00A97F45">
        <w:rPr>
          <w:i/>
          <w:iCs/>
        </w:rPr>
        <w:t>Справочный документ:</w:t>
      </w:r>
      <w:proofErr w:type="gramEnd"/>
      <w:r w:rsidRPr="00A97F45">
        <w:rPr>
          <w:i/>
          <w:iCs/>
        </w:rPr>
        <w:t xml:space="preserve"> </w:t>
      </w:r>
      <w:proofErr w:type="gramStart"/>
      <w:r w:rsidRPr="00A97F45">
        <w:rPr>
          <w:i/>
          <w:iCs/>
        </w:rPr>
        <w:t>ECE/TRANS/WP.15/AC.1/2015/18)</w:t>
      </w:r>
      <w:proofErr w:type="gramEnd"/>
    </w:p>
    <w:p w:rsidR="00D219A1" w:rsidRPr="00F405E6" w:rsidRDefault="00D219A1" w:rsidP="00D219A1">
      <w:pPr>
        <w:pStyle w:val="SingleTxt"/>
        <w:spacing w:after="0" w:line="120" w:lineRule="exact"/>
        <w:rPr>
          <w:sz w:val="10"/>
        </w:rPr>
      </w:pPr>
    </w:p>
    <w:p w:rsidR="00A97F45" w:rsidRPr="00DF0525" w:rsidRDefault="00DF0525" w:rsidP="00DF052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05E6">
        <w:tab/>
      </w:r>
      <w:r w:rsidRPr="00F405E6">
        <w:tab/>
      </w:r>
      <w:r w:rsidR="00A97F45" w:rsidRPr="00DF0525">
        <w:t>Глава 2.2</w:t>
      </w:r>
    </w:p>
    <w:p w:rsidR="00D219A1" w:rsidRPr="00DF0525" w:rsidRDefault="00D219A1" w:rsidP="00D219A1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2.2.62.1.1</w:t>
      </w:r>
      <w:r w:rsidRPr="00A97F45">
        <w:tab/>
        <w:t>Примечание 1 изменить следующим образом:</w:t>
      </w:r>
    </w:p>
    <w:p w:rsidR="00A97F45" w:rsidRPr="007A5D50" w:rsidRDefault="007A5D50" w:rsidP="00A97F45">
      <w:pPr>
        <w:pStyle w:val="SingleTxt"/>
        <w:rPr>
          <w:i/>
          <w:iCs/>
        </w:rPr>
      </w:pPr>
      <w:r w:rsidRPr="00EC0AF7">
        <w:rPr>
          <w:bCs/>
          <w:iCs/>
        </w:rPr>
        <w:t>«</w:t>
      </w:r>
      <w:r w:rsidR="00A97F45" w:rsidRPr="007A5D50">
        <w:rPr>
          <w:b/>
          <w:bCs/>
          <w:i/>
          <w:iCs/>
        </w:rPr>
        <w:t>ПРИМЕЧАНИЕ 1</w:t>
      </w:r>
      <w:r w:rsidR="00A97F45" w:rsidRPr="007A5D50">
        <w:rPr>
          <w:i/>
        </w:rPr>
        <w:t xml:space="preserve">: </w:t>
      </w:r>
      <w:r w:rsidR="00A97F45" w:rsidRPr="007A5D50">
        <w:rPr>
          <w:i/>
          <w:iCs/>
        </w:rPr>
        <w:t>К этому классу должны относиться генетически измене</w:t>
      </w:r>
      <w:r w:rsidR="00A97F45" w:rsidRPr="007A5D50">
        <w:rPr>
          <w:i/>
          <w:iCs/>
        </w:rPr>
        <w:t>н</w:t>
      </w:r>
      <w:r w:rsidR="00A97F45" w:rsidRPr="007A5D50">
        <w:rPr>
          <w:i/>
          <w:iCs/>
        </w:rPr>
        <w:t>ные микроорганизмы и организмы, биологические продукты, диагностические образцы и преднамеренно зараженные живые животные, если они отвечают критериям отнесения к данному классу.</w:t>
      </w:r>
    </w:p>
    <w:p w:rsidR="00A97F45" w:rsidRPr="007A5D50" w:rsidRDefault="00A97F45" w:rsidP="00A97F45">
      <w:pPr>
        <w:pStyle w:val="SingleTxt"/>
        <w:rPr>
          <w:i/>
        </w:rPr>
      </w:pPr>
      <w:r w:rsidRPr="007A5D50">
        <w:rPr>
          <w:i/>
          <w:iCs/>
        </w:rPr>
        <w:t>На перевозку непреднамеренно зараженных или заразившихся естественным путем животных распространяются только соответствующие правила и но</w:t>
      </w:r>
      <w:r w:rsidRPr="007A5D50">
        <w:rPr>
          <w:i/>
          <w:iCs/>
        </w:rPr>
        <w:t>р</w:t>
      </w:r>
      <w:r w:rsidRPr="007A5D50">
        <w:rPr>
          <w:i/>
          <w:iCs/>
        </w:rPr>
        <w:t>мы, действующие в странах проис</w:t>
      </w:r>
      <w:r w:rsidR="007A5D50" w:rsidRPr="007A5D50">
        <w:rPr>
          <w:i/>
          <w:iCs/>
        </w:rPr>
        <w:t>хождения, транзита и назначения</w:t>
      </w:r>
      <w:proofErr w:type="gramStart"/>
      <w:r w:rsidR="00324FA1">
        <w:rPr>
          <w:i/>
          <w:iCs/>
        </w:rPr>
        <w:t>.</w:t>
      </w:r>
      <w:r w:rsidR="007A5D50" w:rsidRPr="00324FA1">
        <w:rPr>
          <w:iCs/>
        </w:rPr>
        <w:t>»</w:t>
      </w:r>
      <w:r w:rsidRPr="007A5D50">
        <w:rPr>
          <w:i/>
        </w:rPr>
        <w:t>.</w:t>
      </w:r>
      <w:proofErr w:type="gramEnd"/>
    </w:p>
    <w:p w:rsidR="00A97F45" w:rsidRPr="00A97F45" w:rsidRDefault="00A97F45" w:rsidP="00A97F45">
      <w:pPr>
        <w:pStyle w:val="SingleTxt"/>
        <w:rPr>
          <w:i/>
          <w:iCs/>
        </w:rPr>
      </w:pPr>
      <w:proofErr w:type="gramStart"/>
      <w:r w:rsidRPr="00A97F45">
        <w:rPr>
          <w:i/>
          <w:iCs/>
        </w:rPr>
        <w:t>(Справочный документ:</w:t>
      </w:r>
      <w:proofErr w:type="gramEnd"/>
      <w:r w:rsidRPr="00A97F45">
        <w:rPr>
          <w:i/>
          <w:iCs/>
        </w:rPr>
        <w:t xml:space="preserve"> </w:t>
      </w:r>
      <w:proofErr w:type="gramStart"/>
      <w:r w:rsidRPr="00A97F45">
        <w:rPr>
          <w:i/>
          <w:iCs/>
        </w:rPr>
        <w:t>ECE/TRANS/WP.15/AC.1/2015/5 с поправками)</w:t>
      </w:r>
      <w:proofErr w:type="gramEnd"/>
    </w:p>
    <w:p w:rsidR="00A97F45" w:rsidRPr="00A97F45" w:rsidRDefault="00A97F45" w:rsidP="00A97F45">
      <w:pPr>
        <w:pStyle w:val="SingleTxt"/>
      </w:pPr>
      <w:r w:rsidRPr="00A97F45">
        <w:t>2.2.62.1.12.1</w:t>
      </w:r>
      <w:proofErr w:type="gramStart"/>
      <w:r w:rsidRPr="00A97F45">
        <w:tab/>
        <w:t>И</w:t>
      </w:r>
      <w:proofErr w:type="gramEnd"/>
      <w:r w:rsidRPr="00A97F45">
        <w:t>сключить сноску (МПОГ:)7/(ДОПОГ/ВОПОГ:)6. Соответств</w:t>
      </w:r>
      <w:r w:rsidRPr="00A97F45">
        <w:t>у</w:t>
      </w:r>
      <w:r w:rsidRPr="00A97F45">
        <w:t>ющим образом изменить нумерацию последующих сносок.</w:t>
      </w:r>
    </w:p>
    <w:p w:rsidR="00A97F45" w:rsidRPr="00A97F45" w:rsidRDefault="00A97F45" w:rsidP="00A97F45">
      <w:pPr>
        <w:pStyle w:val="SingleTxt"/>
      </w:pPr>
      <w:r w:rsidRPr="00A97F45">
        <w:t>Добавить в конце новое примечание следующего содержания:</w:t>
      </w:r>
    </w:p>
    <w:p w:rsidR="00A97F45" w:rsidRPr="00A97F45" w:rsidRDefault="007A5D50" w:rsidP="00A97F45">
      <w:pPr>
        <w:pStyle w:val="SingleTxt"/>
        <w:rPr>
          <w:i/>
          <w:iCs/>
        </w:rPr>
      </w:pPr>
      <w:r w:rsidRPr="00EC0AF7">
        <w:rPr>
          <w:bCs/>
          <w:iCs/>
        </w:rPr>
        <w:t>«</w:t>
      </w:r>
      <w:r w:rsidR="00A97F45" w:rsidRPr="00A97F45">
        <w:rPr>
          <w:b/>
          <w:bCs/>
          <w:i/>
          <w:iCs/>
        </w:rPr>
        <w:t>ПРИМЕЧАНИЕ</w:t>
      </w:r>
      <w:r w:rsidR="00A97F45" w:rsidRPr="00A97F45">
        <w:rPr>
          <w:i/>
          <w:iCs/>
        </w:rPr>
        <w:t>: Компетентные органы выдают утверждение на основе с</w:t>
      </w:r>
      <w:r w:rsidR="00A97F45" w:rsidRPr="00A97F45">
        <w:rPr>
          <w:i/>
          <w:iCs/>
        </w:rPr>
        <w:t>о</w:t>
      </w:r>
      <w:r w:rsidR="00A97F45" w:rsidRPr="00A97F45">
        <w:rPr>
          <w:i/>
          <w:iCs/>
        </w:rPr>
        <w:t>ответствующих правил перевозки живых животных и с учетом аспектов опа</w:t>
      </w:r>
      <w:r w:rsidR="00A97F45" w:rsidRPr="00A97F45">
        <w:rPr>
          <w:i/>
          <w:iCs/>
        </w:rPr>
        <w:t>с</w:t>
      </w:r>
      <w:r w:rsidR="00A97F45" w:rsidRPr="00A97F45">
        <w:rPr>
          <w:i/>
          <w:iCs/>
        </w:rPr>
        <w:t xml:space="preserve">ных грузов. Деятельность органов, компетентных </w:t>
      </w:r>
      <w:proofErr w:type="gramStart"/>
      <w:r w:rsidR="00A97F45" w:rsidRPr="00A97F45">
        <w:rPr>
          <w:i/>
          <w:iCs/>
        </w:rPr>
        <w:t>устанавливать условия</w:t>
      </w:r>
      <w:proofErr w:type="gramEnd"/>
      <w:r w:rsidR="00A97F45" w:rsidRPr="00A97F45">
        <w:rPr>
          <w:i/>
          <w:iCs/>
        </w:rPr>
        <w:t xml:space="preserve"> и пр</w:t>
      </w:r>
      <w:r w:rsidR="00A97F45" w:rsidRPr="00A97F45">
        <w:rPr>
          <w:i/>
          <w:iCs/>
        </w:rPr>
        <w:t>а</w:t>
      </w:r>
      <w:r w:rsidR="00A97F45" w:rsidRPr="00A97F45">
        <w:rPr>
          <w:i/>
          <w:iCs/>
        </w:rPr>
        <w:t>вила выдачи утверждения, регулируется на национальном уровне.</w:t>
      </w:r>
    </w:p>
    <w:p w:rsidR="00A97F45" w:rsidRPr="00A97F45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Если не имеется утверждения, выданного компетентным органом Договарив</w:t>
      </w:r>
      <w:r w:rsidRPr="00A97F45">
        <w:rPr>
          <w:i/>
          <w:iCs/>
        </w:rPr>
        <w:t>а</w:t>
      </w:r>
      <w:r w:rsidRPr="00A97F45">
        <w:rPr>
          <w:i/>
          <w:iCs/>
        </w:rPr>
        <w:t>ющегося государства МПОГ/Договаривающейся стороны ДОПОГ, то комп</w:t>
      </w:r>
      <w:r w:rsidRPr="00A97F45">
        <w:rPr>
          <w:i/>
          <w:iCs/>
        </w:rPr>
        <w:t>е</w:t>
      </w:r>
      <w:r w:rsidRPr="00A97F45">
        <w:rPr>
          <w:i/>
          <w:iCs/>
        </w:rPr>
        <w:t>тентный орган Договаривающегося государства МПОГ/Договаривающейся стороны ДОПОГ может признать утверждение, выданное компетентным о</w:t>
      </w:r>
      <w:r w:rsidRPr="00A97F45">
        <w:rPr>
          <w:i/>
          <w:iCs/>
        </w:rPr>
        <w:t>р</w:t>
      </w:r>
      <w:r w:rsidRPr="00A97F45">
        <w:rPr>
          <w:i/>
          <w:iCs/>
        </w:rPr>
        <w:t>ганом страны, которая не является Дог</w:t>
      </w:r>
      <w:r w:rsidR="007A5D50">
        <w:rPr>
          <w:i/>
          <w:iCs/>
        </w:rPr>
        <w:t>оваривающимся государством МПОГ</w:t>
      </w:r>
      <w:r w:rsidR="00EC0AF7">
        <w:rPr>
          <w:i/>
          <w:iCs/>
        </w:rPr>
        <w:t>/</w:t>
      </w:r>
      <w:r w:rsidR="00EC0AF7">
        <w:rPr>
          <w:i/>
          <w:iCs/>
        </w:rPr>
        <w:br/>
      </w:r>
      <w:r w:rsidRPr="00A97F45">
        <w:rPr>
          <w:i/>
          <w:iCs/>
        </w:rPr>
        <w:t>Договаривающейся стороной ДОПОГ.</w:t>
      </w:r>
    </w:p>
    <w:p w:rsidR="00A97F45" w:rsidRPr="00EC0AF7" w:rsidRDefault="00A97F45" w:rsidP="00A97F45">
      <w:pPr>
        <w:pStyle w:val="SingleTxt"/>
      </w:pPr>
      <w:r w:rsidRPr="00A97F45">
        <w:rPr>
          <w:i/>
          <w:iCs/>
        </w:rPr>
        <w:t>Правила транспортировки сельскохозяйственных животных содержатся, например, в Регламенте Совета (ЕС) № 1/2005 от 22 декабря 2004 года о защ</w:t>
      </w:r>
      <w:r w:rsidRPr="00A97F45">
        <w:rPr>
          <w:i/>
          <w:iCs/>
        </w:rPr>
        <w:t>и</w:t>
      </w:r>
      <w:r w:rsidRPr="00A97F45">
        <w:rPr>
          <w:i/>
          <w:iCs/>
        </w:rPr>
        <w:t>те животных во время перевозки (</w:t>
      </w:r>
      <w:proofErr w:type="spellStart"/>
      <w:r w:rsidRPr="00A97F45">
        <w:rPr>
          <w:i/>
          <w:iCs/>
        </w:rPr>
        <w:t>Official</w:t>
      </w:r>
      <w:proofErr w:type="spellEnd"/>
      <w:r w:rsidRPr="00A97F45">
        <w:rPr>
          <w:i/>
          <w:iCs/>
        </w:rPr>
        <w:t xml:space="preserve"> </w:t>
      </w:r>
      <w:proofErr w:type="spellStart"/>
      <w:r w:rsidRPr="00A97F45">
        <w:rPr>
          <w:i/>
          <w:iCs/>
        </w:rPr>
        <w:t>Journal</w:t>
      </w:r>
      <w:proofErr w:type="spellEnd"/>
      <w:r w:rsidRPr="00A97F45">
        <w:rPr>
          <w:i/>
          <w:iCs/>
        </w:rPr>
        <w:t xml:space="preserve"> </w:t>
      </w:r>
      <w:proofErr w:type="spellStart"/>
      <w:r w:rsidRPr="00A97F45">
        <w:rPr>
          <w:i/>
          <w:iCs/>
        </w:rPr>
        <w:t>of</w:t>
      </w:r>
      <w:proofErr w:type="spellEnd"/>
      <w:r w:rsidRPr="00A97F45">
        <w:rPr>
          <w:i/>
          <w:iCs/>
        </w:rPr>
        <w:t xml:space="preserve"> </w:t>
      </w:r>
      <w:proofErr w:type="spellStart"/>
      <w:r w:rsidRPr="00A97F45">
        <w:rPr>
          <w:i/>
          <w:iCs/>
        </w:rPr>
        <w:t>the</w:t>
      </w:r>
      <w:proofErr w:type="spellEnd"/>
      <w:r w:rsidRPr="00A97F45">
        <w:rPr>
          <w:i/>
          <w:iCs/>
        </w:rPr>
        <w:t xml:space="preserve"> </w:t>
      </w:r>
      <w:proofErr w:type="spellStart"/>
      <w:r w:rsidRPr="00A97F45">
        <w:rPr>
          <w:i/>
          <w:iCs/>
        </w:rPr>
        <w:t>European</w:t>
      </w:r>
      <w:proofErr w:type="spellEnd"/>
      <w:r w:rsidRPr="00A97F45">
        <w:rPr>
          <w:i/>
          <w:iCs/>
        </w:rPr>
        <w:t xml:space="preserve"> </w:t>
      </w:r>
      <w:proofErr w:type="spellStart"/>
      <w:r w:rsidRPr="00A97F45">
        <w:rPr>
          <w:i/>
          <w:iCs/>
        </w:rPr>
        <w:t>Community</w:t>
      </w:r>
      <w:proofErr w:type="spellEnd"/>
      <w:r w:rsidRPr="00A97F45">
        <w:rPr>
          <w:i/>
          <w:iCs/>
        </w:rPr>
        <w:t xml:space="preserve"> </w:t>
      </w:r>
      <w:proofErr w:type="spellStart"/>
      <w:r w:rsidRPr="00A97F45">
        <w:rPr>
          <w:i/>
          <w:iCs/>
        </w:rPr>
        <w:t>No</w:t>
      </w:r>
      <w:proofErr w:type="spellEnd"/>
      <w:r w:rsidR="007A5D50">
        <w:rPr>
          <w:i/>
          <w:iCs/>
        </w:rPr>
        <w:t> </w:t>
      </w:r>
      <w:r w:rsidRPr="00A97F45">
        <w:rPr>
          <w:i/>
          <w:iCs/>
        </w:rPr>
        <w:t xml:space="preserve">L 3 </w:t>
      </w:r>
      <w:proofErr w:type="spellStart"/>
      <w:r w:rsidRPr="00A97F45">
        <w:rPr>
          <w:i/>
          <w:iCs/>
        </w:rPr>
        <w:t>of</w:t>
      </w:r>
      <w:proofErr w:type="spellEnd"/>
      <w:r w:rsidRPr="00A97F45">
        <w:rPr>
          <w:i/>
          <w:iCs/>
        </w:rPr>
        <w:t xml:space="preserve"> 5 </w:t>
      </w:r>
      <w:proofErr w:type="spellStart"/>
      <w:r w:rsidRPr="00A97F45">
        <w:rPr>
          <w:i/>
          <w:iCs/>
        </w:rPr>
        <w:t>January</w:t>
      </w:r>
      <w:proofErr w:type="spellEnd"/>
      <w:r w:rsidRPr="00A97F45">
        <w:rPr>
          <w:i/>
          <w:iCs/>
        </w:rPr>
        <w:t xml:space="preserve"> 2005) с внесенными в него поправками</w:t>
      </w:r>
      <w:proofErr w:type="gramStart"/>
      <w:r w:rsidR="00EC0AF7">
        <w:rPr>
          <w:i/>
          <w:iCs/>
        </w:rPr>
        <w:t>.</w:t>
      </w:r>
      <w:r w:rsidR="007A5D50" w:rsidRPr="00EC0AF7">
        <w:rPr>
          <w:iCs/>
        </w:rPr>
        <w:t>»</w:t>
      </w:r>
      <w:r w:rsidRPr="00EC0AF7">
        <w:rPr>
          <w:iCs/>
        </w:rPr>
        <w:t>.</w:t>
      </w:r>
      <w:proofErr w:type="gramEnd"/>
    </w:p>
    <w:p w:rsidR="00A97F45" w:rsidRPr="00A97F45" w:rsidRDefault="00A97F45" w:rsidP="00A97F45">
      <w:pPr>
        <w:pStyle w:val="SingleTxt"/>
        <w:rPr>
          <w:i/>
          <w:iCs/>
        </w:rPr>
      </w:pPr>
      <w:proofErr w:type="gramStart"/>
      <w:r w:rsidRPr="00A97F45">
        <w:rPr>
          <w:i/>
          <w:iCs/>
        </w:rPr>
        <w:t>(Справочный документ:</w:t>
      </w:r>
      <w:proofErr w:type="gramEnd"/>
      <w:r w:rsidRPr="00A97F45">
        <w:rPr>
          <w:i/>
          <w:iCs/>
        </w:rPr>
        <w:t xml:space="preserve"> ECE/TRANS/WP.15/AC.1/2015/5)</w:t>
      </w:r>
    </w:p>
    <w:p w:rsidR="00A97F45" w:rsidRPr="00A97F45" w:rsidRDefault="00A97F45" w:rsidP="00A97F45">
      <w:pPr>
        <w:pStyle w:val="SingleTxt"/>
      </w:pPr>
      <w:r w:rsidRPr="00A97F45">
        <w:t>2.2.9.1.11</w:t>
      </w:r>
      <w:proofErr w:type="gramStart"/>
      <w:r w:rsidRPr="00A97F45">
        <w:tab/>
        <w:t>И</w:t>
      </w:r>
      <w:proofErr w:type="gramEnd"/>
      <w:r w:rsidRPr="00A97F45">
        <w:t>зменить текст сноски (МПОГ:)22/(ДОПОГ:)17/(ВОПОГ:)13 (нумер</w:t>
      </w:r>
      <w:r w:rsidRPr="00A97F45">
        <w:t>а</w:t>
      </w:r>
      <w:r w:rsidRPr="00A97F45">
        <w:t>ция соответственно изменена на 21/16/12) к примечанию 2 следующим образом:</w:t>
      </w:r>
    </w:p>
    <w:p w:rsidR="00A97F45" w:rsidRPr="00F405E6" w:rsidRDefault="00D47C74" w:rsidP="00A97F45">
      <w:pPr>
        <w:pStyle w:val="SingleTxt"/>
        <w:rPr>
          <w:i/>
          <w:iCs/>
        </w:rPr>
      </w:pPr>
      <w:r w:rsidRPr="00EC0AF7">
        <w:rPr>
          <w:iCs/>
        </w:rPr>
        <w:t>«</w:t>
      </w:r>
      <w:r w:rsidR="00F405E6" w:rsidRPr="00F405E6">
        <w:rPr>
          <w:i/>
          <w:iCs/>
          <w:lang w:val="en-US"/>
        </w:rPr>
        <w:t>C</w:t>
      </w:r>
      <w:r w:rsidR="00A97F45" w:rsidRPr="00F405E6">
        <w:rPr>
          <w:i/>
          <w:iCs/>
        </w:rPr>
        <w:t>м. часть</w:t>
      </w:r>
      <w:proofErr w:type="gramStart"/>
      <w:r w:rsidR="00A97F45" w:rsidRPr="00F405E6">
        <w:rPr>
          <w:i/>
          <w:iCs/>
        </w:rPr>
        <w:t xml:space="preserve"> С</w:t>
      </w:r>
      <w:proofErr w:type="gramEnd"/>
      <w:r w:rsidR="00A97F45" w:rsidRPr="00F405E6">
        <w:rPr>
          <w:i/>
          <w:iCs/>
        </w:rPr>
        <w:t xml:space="preserve"> Директивы 2001/18/ЕС Европейского парламента и Совета о преднамеренном привнесении в окружающую среду генетически измененных о</w:t>
      </w:r>
      <w:r w:rsidR="00A97F45" w:rsidRPr="00F405E6">
        <w:rPr>
          <w:i/>
          <w:iCs/>
        </w:rPr>
        <w:t>р</w:t>
      </w:r>
      <w:r w:rsidR="00A97F45" w:rsidRPr="00F405E6">
        <w:rPr>
          <w:i/>
          <w:iCs/>
        </w:rPr>
        <w:t>ганизмов, аннулирующей Директиву 90/220/ЕЕС Совета (</w:t>
      </w:r>
      <w:proofErr w:type="spellStart"/>
      <w:r w:rsidR="00A97F45" w:rsidRPr="00F405E6">
        <w:rPr>
          <w:i/>
          <w:iCs/>
        </w:rPr>
        <w:t>Official</w:t>
      </w:r>
      <w:proofErr w:type="spellEnd"/>
      <w:r w:rsidR="00A97F45" w:rsidRPr="00F405E6">
        <w:rPr>
          <w:i/>
          <w:iCs/>
        </w:rPr>
        <w:t xml:space="preserve"> </w:t>
      </w:r>
      <w:proofErr w:type="spellStart"/>
      <w:r w:rsidR="00A97F45" w:rsidRPr="00F405E6">
        <w:rPr>
          <w:i/>
          <w:iCs/>
        </w:rPr>
        <w:t>Journal</w:t>
      </w:r>
      <w:proofErr w:type="spellEnd"/>
      <w:r w:rsidR="00A97F45" w:rsidRPr="00F405E6">
        <w:rPr>
          <w:i/>
          <w:iCs/>
        </w:rPr>
        <w:t xml:space="preserve"> </w:t>
      </w:r>
      <w:proofErr w:type="spellStart"/>
      <w:r w:rsidR="00A97F45" w:rsidRPr="00F405E6">
        <w:rPr>
          <w:i/>
          <w:iCs/>
        </w:rPr>
        <w:t>of</w:t>
      </w:r>
      <w:proofErr w:type="spellEnd"/>
      <w:r w:rsidR="00A97F45" w:rsidRPr="00F405E6">
        <w:rPr>
          <w:i/>
          <w:iCs/>
        </w:rPr>
        <w:t xml:space="preserve"> </w:t>
      </w:r>
      <w:proofErr w:type="spellStart"/>
      <w:r w:rsidR="00A97F45" w:rsidRPr="00F405E6">
        <w:rPr>
          <w:i/>
          <w:iCs/>
        </w:rPr>
        <w:t>the</w:t>
      </w:r>
      <w:proofErr w:type="spellEnd"/>
      <w:r w:rsidR="00A97F45" w:rsidRPr="00F405E6">
        <w:rPr>
          <w:i/>
          <w:iCs/>
        </w:rPr>
        <w:t xml:space="preserve"> </w:t>
      </w:r>
      <w:proofErr w:type="spellStart"/>
      <w:r w:rsidR="00A97F45" w:rsidRPr="00F405E6">
        <w:rPr>
          <w:i/>
          <w:iCs/>
        </w:rPr>
        <w:t>European</w:t>
      </w:r>
      <w:proofErr w:type="spellEnd"/>
      <w:r w:rsidR="00A97F45" w:rsidRPr="00F405E6">
        <w:rPr>
          <w:i/>
          <w:iCs/>
        </w:rPr>
        <w:t xml:space="preserve"> </w:t>
      </w:r>
      <w:proofErr w:type="spellStart"/>
      <w:r w:rsidR="00A97F45" w:rsidRPr="00F405E6">
        <w:rPr>
          <w:i/>
          <w:iCs/>
        </w:rPr>
        <w:t>Communities</w:t>
      </w:r>
      <w:proofErr w:type="spellEnd"/>
      <w:r w:rsidR="00A97F45" w:rsidRPr="00F405E6">
        <w:rPr>
          <w:i/>
          <w:iCs/>
        </w:rPr>
        <w:t xml:space="preserve">, </w:t>
      </w:r>
      <w:proofErr w:type="spellStart"/>
      <w:r w:rsidR="00A97F45" w:rsidRPr="00F405E6">
        <w:rPr>
          <w:i/>
          <w:iCs/>
        </w:rPr>
        <w:t>No</w:t>
      </w:r>
      <w:proofErr w:type="spellEnd"/>
      <w:r w:rsidR="00A97F45" w:rsidRPr="00F405E6">
        <w:rPr>
          <w:i/>
          <w:iCs/>
        </w:rPr>
        <w:t xml:space="preserve">. L 106, </w:t>
      </w:r>
      <w:proofErr w:type="spellStart"/>
      <w:r w:rsidR="00A97F45" w:rsidRPr="00F405E6">
        <w:rPr>
          <w:i/>
          <w:iCs/>
        </w:rPr>
        <w:t>of</w:t>
      </w:r>
      <w:proofErr w:type="spellEnd"/>
      <w:r w:rsidR="00A97F45" w:rsidRPr="00F405E6">
        <w:rPr>
          <w:i/>
          <w:iCs/>
        </w:rPr>
        <w:t xml:space="preserve"> 17 </w:t>
      </w:r>
      <w:proofErr w:type="spellStart"/>
      <w:r w:rsidR="00A97F45" w:rsidRPr="00F405E6">
        <w:rPr>
          <w:i/>
          <w:iCs/>
        </w:rPr>
        <w:t>April</w:t>
      </w:r>
      <w:proofErr w:type="spellEnd"/>
      <w:r w:rsidR="00A97F45" w:rsidRPr="00F405E6">
        <w:rPr>
          <w:i/>
          <w:iCs/>
        </w:rPr>
        <w:t xml:space="preserve"> 2001, </w:t>
      </w:r>
      <w:proofErr w:type="spellStart"/>
      <w:r w:rsidR="00A97F45" w:rsidRPr="00F405E6">
        <w:rPr>
          <w:i/>
          <w:iCs/>
        </w:rPr>
        <w:t>pp</w:t>
      </w:r>
      <w:proofErr w:type="spellEnd"/>
      <w:r w:rsidR="00A97F45" w:rsidRPr="00F405E6">
        <w:rPr>
          <w:i/>
          <w:iCs/>
        </w:rPr>
        <w:t xml:space="preserve"> 8-14), и Регламент (EC) №</w:t>
      </w:r>
      <w:r w:rsidR="00EC0AF7">
        <w:rPr>
          <w:i/>
          <w:iCs/>
        </w:rPr>
        <w:t> </w:t>
      </w:r>
      <w:r w:rsidR="00A97F45" w:rsidRPr="00F405E6">
        <w:rPr>
          <w:i/>
          <w:iCs/>
        </w:rPr>
        <w:t>1829/2003 Европейского парламента и Совета по генетически модифицир</w:t>
      </w:r>
      <w:r w:rsidR="00A97F45" w:rsidRPr="00F405E6">
        <w:rPr>
          <w:i/>
          <w:iCs/>
        </w:rPr>
        <w:t>о</w:t>
      </w:r>
      <w:r w:rsidR="00A97F45" w:rsidRPr="00F405E6">
        <w:rPr>
          <w:i/>
          <w:iCs/>
        </w:rPr>
        <w:t>ванным пищевым продуктам и кормам (</w:t>
      </w:r>
      <w:proofErr w:type="spellStart"/>
      <w:r w:rsidR="00A97F45" w:rsidRPr="00F405E6">
        <w:rPr>
          <w:i/>
          <w:iCs/>
        </w:rPr>
        <w:t>Official</w:t>
      </w:r>
      <w:proofErr w:type="spellEnd"/>
      <w:r w:rsidR="00A97F45" w:rsidRPr="00F405E6">
        <w:rPr>
          <w:i/>
          <w:iCs/>
        </w:rPr>
        <w:t xml:space="preserve"> </w:t>
      </w:r>
      <w:proofErr w:type="spellStart"/>
      <w:r w:rsidR="00A97F45" w:rsidRPr="00F405E6">
        <w:rPr>
          <w:i/>
          <w:iCs/>
        </w:rPr>
        <w:t>Journal</w:t>
      </w:r>
      <w:proofErr w:type="spellEnd"/>
      <w:r w:rsidR="00A97F45" w:rsidRPr="00F405E6">
        <w:rPr>
          <w:i/>
          <w:iCs/>
        </w:rPr>
        <w:t xml:space="preserve"> </w:t>
      </w:r>
      <w:proofErr w:type="spellStart"/>
      <w:r w:rsidR="00A97F45" w:rsidRPr="00F405E6">
        <w:rPr>
          <w:i/>
          <w:iCs/>
        </w:rPr>
        <w:t>of</w:t>
      </w:r>
      <w:proofErr w:type="spellEnd"/>
      <w:r w:rsidR="00A97F45" w:rsidRPr="00F405E6">
        <w:rPr>
          <w:i/>
          <w:iCs/>
        </w:rPr>
        <w:t xml:space="preserve"> </w:t>
      </w:r>
      <w:proofErr w:type="spellStart"/>
      <w:r w:rsidR="00A97F45" w:rsidRPr="00F405E6">
        <w:rPr>
          <w:i/>
          <w:iCs/>
        </w:rPr>
        <w:t>the</w:t>
      </w:r>
      <w:proofErr w:type="spellEnd"/>
      <w:r w:rsidR="00A97F45" w:rsidRPr="00F405E6">
        <w:rPr>
          <w:i/>
          <w:iCs/>
        </w:rPr>
        <w:t xml:space="preserve"> </w:t>
      </w:r>
      <w:proofErr w:type="spellStart"/>
      <w:r w:rsidR="00A97F45" w:rsidRPr="00F405E6">
        <w:rPr>
          <w:i/>
          <w:iCs/>
        </w:rPr>
        <w:t>European</w:t>
      </w:r>
      <w:proofErr w:type="spellEnd"/>
      <w:r w:rsidR="00A97F45" w:rsidRPr="00F405E6">
        <w:rPr>
          <w:i/>
          <w:iCs/>
        </w:rPr>
        <w:t xml:space="preserve"> </w:t>
      </w:r>
      <w:proofErr w:type="spellStart"/>
      <w:r w:rsidR="00A97F45" w:rsidRPr="00F405E6">
        <w:rPr>
          <w:i/>
          <w:iCs/>
        </w:rPr>
        <w:t>Union</w:t>
      </w:r>
      <w:proofErr w:type="spellEnd"/>
      <w:r w:rsidR="00A97F45" w:rsidRPr="00F405E6">
        <w:rPr>
          <w:i/>
          <w:iCs/>
        </w:rPr>
        <w:t xml:space="preserve">, </w:t>
      </w:r>
      <w:proofErr w:type="spellStart"/>
      <w:r w:rsidR="00A97F45" w:rsidRPr="00F405E6">
        <w:rPr>
          <w:i/>
          <w:iCs/>
        </w:rPr>
        <w:t>No</w:t>
      </w:r>
      <w:proofErr w:type="spellEnd"/>
      <w:r w:rsidR="00A97F45" w:rsidRPr="00F405E6">
        <w:rPr>
          <w:i/>
          <w:iCs/>
        </w:rPr>
        <w:t>.</w:t>
      </w:r>
      <w:r w:rsidR="00EC0AF7">
        <w:rPr>
          <w:i/>
          <w:iCs/>
        </w:rPr>
        <w:t> </w:t>
      </w:r>
      <w:proofErr w:type="gramStart"/>
      <w:r w:rsidR="00A97F45" w:rsidRPr="00F405E6">
        <w:rPr>
          <w:i/>
          <w:iCs/>
        </w:rPr>
        <w:t xml:space="preserve">L 268, </w:t>
      </w:r>
      <w:proofErr w:type="spellStart"/>
      <w:r w:rsidR="00A97F45" w:rsidRPr="00F405E6">
        <w:rPr>
          <w:i/>
          <w:iCs/>
        </w:rPr>
        <w:t>of</w:t>
      </w:r>
      <w:proofErr w:type="spellEnd"/>
      <w:r w:rsidR="00A97F45" w:rsidRPr="00F405E6">
        <w:rPr>
          <w:i/>
          <w:iCs/>
        </w:rPr>
        <w:t xml:space="preserve"> 18 </w:t>
      </w:r>
      <w:proofErr w:type="spellStart"/>
      <w:r w:rsidR="00A97F45" w:rsidRPr="00F405E6">
        <w:rPr>
          <w:i/>
          <w:iCs/>
        </w:rPr>
        <w:t>October</w:t>
      </w:r>
      <w:proofErr w:type="spellEnd"/>
      <w:r w:rsidR="00A97F45" w:rsidRPr="00F405E6">
        <w:rPr>
          <w:i/>
          <w:iCs/>
        </w:rPr>
        <w:t xml:space="preserve"> 2003, </w:t>
      </w:r>
      <w:proofErr w:type="spellStart"/>
      <w:r w:rsidR="00A97F45" w:rsidRPr="00F405E6">
        <w:rPr>
          <w:i/>
          <w:iCs/>
        </w:rPr>
        <w:t>pp</w:t>
      </w:r>
      <w:proofErr w:type="spellEnd"/>
      <w:r w:rsidR="00A97F45" w:rsidRPr="00F405E6">
        <w:rPr>
          <w:i/>
          <w:iCs/>
        </w:rPr>
        <w:t xml:space="preserve"> 1-23), в которых установлены процедуры предоставления ра</w:t>
      </w:r>
      <w:r w:rsidR="00F405E6" w:rsidRPr="00F405E6">
        <w:rPr>
          <w:i/>
          <w:iCs/>
        </w:rPr>
        <w:t>зрешений для Европейского союза</w:t>
      </w:r>
      <w:r w:rsidR="00A335AC">
        <w:rPr>
          <w:i/>
          <w:iCs/>
        </w:rPr>
        <w:t>.</w:t>
      </w:r>
      <w:r>
        <w:rPr>
          <w:i/>
          <w:iCs/>
        </w:rPr>
        <w:t>»</w:t>
      </w:r>
      <w:r w:rsidR="00F405E6" w:rsidRPr="00F405E6">
        <w:rPr>
          <w:i/>
          <w:iCs/>
        </w:rPr>
        <w:t>.</w:t>
      </w:r>
      <w:proofErr w:type="gramEnd"/>
    </w:p>
    <w:p w:rsidR="00A97F45" w:rsidRPr="00A97F45" w:rsidRDefault="00A97F45" w:rsidP="00A97F45">
      <w:pPr>
        <w:pStyle w:val="SingleTxt"/>
      </w:pPr>
      <w:r w:rsidRPr="00A97F45">
        <w:t>Включить новое примечание 3 следующего содержания и изменить нумерацию существующего примечания 3 на 4:</w:t>
      </w:r>
    </w:p>
    <w:p w:rsidR="00A97F45" w:rsidRPr="00A97F45" w:rsidRDefault="007A5D50" w:rsidP="00A97F45">
      <w:pPr>
        <w:pStyle w:val="SingleTxt"/>
        <w:rPr>
          <w:i/>
          <w:iCs/>
        </w:rPr>
      </w:pPr>
      <w:r w:rsidRPr="00EC0AF7">
        <w:rPr>
          <w:bCs/>
          <w:iCs/>
        </w:rPr>
        <w:t>«</w:t>
      </w:r>
      <w:r w:rsidR="00A97F45" w:rsidRPr="00A97F45">
        <w:rPr>
          <w:b/>
          <w:bCs/>
          <w:i/>
          <w:iCs/>
        </w:rPr>
        <w:t>ПРИМЕЧАНИЕ 3</w:t>
      </w:r>
      <w:r w:rsidR="00A97F45" w:rsidRPr="00A97F45">
        <w:rPr>
          <w:i/>
          <w:iCs/>
        </w:rPr>
        <w:t>: Генетически измененные живые животные, которые, с</w:t>
      </w:r>
      <w:r w:rsidR="00A97F45" w:rsidRPr="00A97F45">
        <w:rPr>
          <w:i/>
          <w:iCs/>
        </w:rPr>
        <w:t>о</w:t>
      </w:r>
      <w:r w:rsidR="00A97F45" w:rsidRPr="00A97F45">
        <w:rPr>
          <w:i/>
          <w:iCs/>
        </w:rPr>
        <w:t>гласно текущему состоянию научных знаний, не оказывают никакого известного патогенного воздействия на людей, животных и растения и перевозятся в ко</w:t>
      </w:r>
      <w:r w:rsidR="00A97F45" w:rsidRPr="00A97F45">
        <w:rPr>
          <w:i/>
          <w:iCs/>
        </w:rPr>
        <w:t>н</w:t>
      </w:r>
      <w:r w:rsidR="00A97F45" w:rsidRPr="00A97F45">
        <w:rPr>
          <w:i/>
          <w:iCs/>
        </w:rPr>
        <w:lastRenderedPageBreak/>
        <w:t>тейнерах, приспособленных для надежного предотвращения как покидания ж</w:t>
      </w:r>
      <w:r w:rsidR="00A97F45" w:rsidRPr="00A97F45">
        <w:rPr>
          <w:i/>
          <w:iCs/>
        </w:rPr>
        <w:t>и</w:t>
      </w:r>
      <w:r w:rsidR="00A97F45" w:rsidRPr="00A97F45">
        <w:rPr>
          <w:i/>
          <w:iCs/>
        </w:rPr>
        <w:t>вотными контейнера, так и несанкционированного доступа к ним, не подпад</w:t>
      </w:r>
      <w:r w:rsidR="00A97F45" w:rsidRPr="00A97F45">
        <w:rPr>
          <w:i/>
          <w:iCs/>
        </w:rPr>
        <w:t>а</w:t>
      </w:r>
      <w:r w:rsidR="00A97F45" w:rsidRPr="00A97F45">
        <w:rPr>
          <w:i/>
          <w:iCs/>
        </w:rPr>
        <w:t>ют под действие положений МПОГ/ДОПОГ/ВОПОГ. Правила, установленные Международной ассоциацией воздушного транспорта (ИАТА) для перевозки по воздуху (Правила ИАТА по перевозке живых животных), могут быть взяты за основу в качестве руководящих принципов для выбора подходящих контейнеров, предназначенны</w:t>
      </w:r>
      <w:r>
        <w:rPr>
          <w:i/>
          <w:iCs/>
        </w:rPr>
        <w:t>х для перевозки живых животных</w:t>
      </w:r>
      <w:proofErr w:type="gramStart"/>
      <w:r>
        <w:rPr>
          <w:i/>
          <w:iCs/>
        </w:rPr>
        <w:t>.</w:t>
      </w:r>
      <w:r w:rsidRPr="00EC0AF7">
        <w:rPr>
          <w:iCs/>
        </w:rPr>
        <w:t>»</w:t>
      </w:r>
      <w:r w:rsidR="00EC0AF7" w:rsidRPr="00EC0AF7">
        <w:rPr>
          <w:iCs/>
        </w:rPr>
        <w:t>.</w:t>
      </w:r>
      <w:r w:rsidR="00A97F45" w:rsidRPr="00EC0AF7">
        <w:rPr>
          <w:iCs/>
        </w:rPr>
        <w:t xml:space="preserve"> </w:t>
      </w:r>
      <w:proofErr w:type="gramEnd"/>
    </w:p>
    <w:p w:rsidR="00A97F45" w:rsidRPr="00A97F45" w:rsidRDefault="00A97F45" w:rsidP="00A97F45">
      <w:pPr>
        <w:pStyle w:val="SingleTxt"/>
        <w:rPr>
          <w:i/>
          <w:iCs/>
        </w:rPr>
      </w:pPr>
      <w:proofErr w:type="gramStart"/>
      <w:r w:rsidRPr="00A97F45">
        <w:rPr>
          <w:i/>
          <w:iCs/>
        </w:rPr>
        <w:t>(Справочный документ:</w:t>
      </w:r>
      <w:proofErr w:type="gramEnd"/>
      <w:r w:rsidRPr="00A97F45">
        <w:rPr>
          <w:i/>
          <w:iCs/>
        </w:rPr>
        <w:t xml:space="preserve"> ECE/TRANS/WP.15/AC.1/2015/5)</w:t>
      </w:r>
    </w:p>
    <w:p w:rsidR="00D219A1" w:rsidRPr="00F405E6" w:rsidRDefault="00D219A1" w:rsidP="00D219A1">
      <w:pPr>
        <w:pStyle w:val="SingleTxt"/>
        <w:spacing w:after="0" w:line="120" w:lineRule="exact"/>
        <w:rPr>
          <w:sz w:val="10"/>
        </w:rPr>
      </w:pPr>
    </w:p>
    <w:p w:rsidR="00A97F45" w:rsidRPr="00034F46" w:rsidRDefault="00DF0525" w:rsidP="00DF052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05E6">
        <w:tab/>
      </w:r>
      <w:r w:rsidRPr="00F405E6">
        <w:tab/>
      </w:r>
      <w:r w:rsidR="00A97F45" w:rsidRPr="00034F46">
        <w:t>Глава 3.3</w:t>
      </w:r>
    </w:p>
    <w:p w:rsidR="00D219A1" w:rsidRPr="00034F46" w:rsidRDefault="00D219A1" w:rsidP="00D219A1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СП 664 (только ДОПОГ:)</w:t>
      </w:r>
      <w:r w:rsidRPr="00A97F45">
        <w:tab/>
        <w:t>WP.15 должна рассмотреть следующую поправку:</w:t>
      </w:r>
    </w:p>
    <w:p w:rsidR="00A97F45" w:rsidRPr="00A97F45" w:rsidRDefault="00A97F45" w:rsidP="00A97F45">
      <w:pPr>
        <w:pStyle w:val="SingleTxt"/>
      </w:pPr>
      <w:proofErr w:type="gramStart"/>
      <w:r w:rsidRPr="00A97F45">
        <w:t xml:space="preserve">Изменить последнее предложение подпункта a) </w:t>
      </w:r>
      <w:proofErr w:type="spellStart"/>
      <w:r w:rsidRPr="00A97F45">
        <w:t>ii</w:t>
      </w:r>
      <w:proofErr w:type="spellEnd"/>
      <w:r w:rsidRPr="00A97F45">
        <w:t>) следующим образом:</w:t>
      </w:r>
      <w:proofErr w:type="gramEnd"/>
    </w:p>
    <w:p w:rsidR="00A97F45" w:rsidRPr="00A97F45" w:rsidRDefault="00D47C74" w:rsidP="00A97F45">
      <w:pPr>
        <w:pStyle w:val="SingleTxt"/>
      </w:pPr>
      <w:r>
        <w:t>«</w:t>
      </w:r>
      <w:r w:rsidR="00A97F45" w:rsidRPr="00A97F45">
        <w:t>Сварные швы должны выполняться в соответствии с первым абзацем пун</w:t>
      </w:r>
      <w:r w:rsidR="00A97F45" w:rsidRPr="00A97F45">
        <w:t>к</w:t>
      </w:r>
      <w:r w:rsidR="00A97F45" w:rsidRPr="00A97F45">
        <w:t>та</w:t>
      </w:r>
      <w:r w:rsidR="00EC0AF7">
        <w:t> </w:t>
      </w:r>
      <w:r w:rsidR="00A97F45" w:rsidRPr="00A97F45">
        <w:t>6.8.2.1.23, за исключением подтверждения качества сварных швов, для котор</w:t>
      </w:r>
      <w:r w:rsidR="00A97F45" w:rsidRPr="00A97F45">
        <w:t>о</w:t>
      </w:r>
      <w:r w:rsidR="00A97F45" w:rsidRPr="00A97F45">
        <w:t>го могут быть применены другие подходящие методы</w:t>
      </w:r>
      <w:proofErr w:type="gramStart"/>
      <w:r w:rsidR="00503637">
        <w:t>.</w:t>
      </w:r>
      <w:r>
        <w:t>»</w:t>
      </w:r>
      <w:r w:rsidR="00A97F45" w:rsidRPr="00A97F45">
        <w:t>.</w:t>
      </w:r>
      <w:proofErr w:type="gramEnd"/>
    </w:p>
    <w:p w:rsidR="00A97F45" w:rsidRPr="00A97F45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INF.42 с поправками, внесе</w:t>
      </w:r>
      <w:r w:rsidRPr="00A97F45">
        <w:rPr>
          <w:i/>
          <w:iCs/>
        </w:rPr>
        <w:t>н</w:t>
      </w:r>
      <w:r w:rsidRPr="00A97F45">
        <w:rPr>
          <w:i/>
          <w:iCs/>
        </w:rPr>
        <w:t>ными в неофициальном документе INF.50)</w:t>
      </w:r>
    </w:p>
    <w:p w:rsidR="00D219A1" w:rsidRPr="00D219A1" w:rsidRDefault="00D219A1" w:rsidP="00D219A1">
      <w:pPr>
        <w:pStyle w:val="SingleTxt"/>
        <w:spacing w:after="0" w:line="120" w:lineRule="exact"/>
        <w:rPr>
          <w:sz w:val="10"/>
        </w:rPr>
      </w:pPr>
    </w:p>
    <w:p w:rsidR="00A97F45" w:rsidRPr="00F405E6" w:rsidRDefault="00DF0525" w:rsidP="00DF052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Pr="00034F46">
        <w:tab/>
      </w:r>
      <w:r w:rsidR="00A97F45" w:rsidRPr="00F405E6">
        <w:t>Глава 4.1</w:t>
      </w:r>
    </w:p>
    <w:p w:rsidR="00D219A1" w:rsidRPr="00F405E6" w:rsidRDefault="00D219A1" w:rsidP="00D219A1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4.1.8.2</w:t>
      </w:r>
      <w:proofErr w:type="gramStart"/>
      <w:r w:rsidRPr="00A97F45">
        <w:tab/>
        <w:t>З</w:t>
      </w:r>
      <w:proofErr w:type="gramEnd"/>
      <w:r w:rsidRPr="00A97F45">
        <w:t xml:space="preserve">аменить </w:t>
      </w:r>
      <w:r w:rsidR="00D47C74">
        <w:t>«</w:t>
      </w:r>
      <w:r w:rsidRPr="00A97F45">
        <w:t>4.1.1.3, 4.1.1.9−4.1.1.12</w:t>
      </w:r>
      <w:r w:rsidR="00D47C74">
        <w:t>»</w:t>
      </w:r>
      <w:r w:rsidRPr="00A97F45">
        <w:t xml:space="preserve"> на </w:t>
      </w:r>
      <w:r w:rsidR="00D47C74">
        <w:t>«</w:t>
      </w:r>
      <w:r w:rsidRPr="00A97F45">
        <w:t>4.1.1.10−4.1.1.12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proofErr w:type="gramStart"/>
      <w:r w:rsidRPr="00A97F45">
        <w:rPr>
          <w:i/>
          <w:iCs/>
        </w:rPr>
        <w:t>(Справочный документ:</w:t>
      </w:r>
      <w:proofErr w:type="gramEnd"/>
      <w:r w:rsidRPr="00A97F45">
        <w:rPr>
          <w:i/>
          <w:iCs/>
        </w:rPr>
        <w:t xml:space="preserve"> ECE/TRANS/WP.15/AC.1/2015/9)</w:t>
      </w:r>
    </w:p>
    <w:p w:rsidR="00D219A1" w:rsidRPr="00F405E6" w:rsidRDefault="00D219A1" w:rsidP="00D219A1">
      <w:pPr>
        <w:pStyle w:val="SingleTxt"/>
        <w:spacing w:after="0" w:line="120" w:lineRule="exact"/>
        <w:rPr>
          <w:sz w:val="10"/>
        </w:rPr>
      </w:pPr>
    </w:p>
    <w:p w:rsidR="00A97F45" w:rsidRPr="00034F46" w:rsidRDefault="00DF0525" w:rsidP="00DF052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05E6">
        <w:tab/>
      </w:r>
      <w:r w:rsidRPr="00F405E6">
        <w:tab/>
      </w:r>
      <w:r w:rsidR="00A97F45" w:rsidRPr="00034F46">
        <w:t>Глава 4.3</w:t>
      </w:r>
    </w:p>
    <w:p w:rsidR="00D219A1" w:rsidRPr="00034F46" w:rsidRDefault="00D219A1" w:rsidP="00D219A1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034F46">
        <w:t>4.3.3.5 (</w:t>
      </w:r>
      <w:r w:rsidRPr="00A97F45">
        <w:t>см</w:t>
      </w:r>
      <w:r w:rsidRPr="00034F46">
        <w:t xml:space="preserve">. </w:t>
      </w:r>
      <w:r w:rsidRPr="00A97F45">
        <w:t>документ</w:t>
      </w:r>
      <w:r w:rsidRPr="00034F46">
        <w:t xml:space="preserve"> </w:t>
      </w:r>
      <w:r w:rsidRPr="00D219A1">
        <w:rPr>
          <w:lang w:val="en-US"/>
        </w:rPr>
        <w:t>ECE</w:t>
      </w:r>
      <w:r w:rsidRPr="00034F46">
        <w:t>/</w:t>
      </w:r>
      <w:r w:rsidRPr="00D219A1">
        <w:rPr>
          <w:lang w:val="en-US"/>
        </w:rPr>
        <w:t>TRANS</w:t>
      </w:r>
      <w:r w:rsidRPr="00034F46">
        <w:t>/</w:t>
      </w:r>
      <w:r w:rsidRPr="00D219A1">
        <w:rPr>
          <w:lang w:val="en-US"/>
        </w:rPr>
        <w:t>WP</w:t>
      </w:r>
      <w:r w:rsidRPr="00034F46">
        <w:t xml:space="preserve">.15/226, </w:t>
      </w:r>
      <w:r w:rsidRPr="00A97F45">
        <w:t>приложение</w:t>
      </w:r>
      <w:r w:rsidRPr="00034F46">
        <w:t xml:space="preserve"> </w:t>
      </w:r>
      <w:r w:rsidRPr="00D219A1">
        <w:rPr>
          <w:lang w:val="en-US"/>
        </w:rPr>
        <w:t>I</w:t>
      </w:r>
      <w:r w:rsidRPr="00034F46">
        <w:t xml:space="preserve"> </w:t>
      </w:r>
      <w:r w:rsidR="00EC0AF7">
        <w:t>–</w:t>
      </w:r>
      <w:r w:rsidRPr="00034F46">
        <w:t xml:space="preserve"> </w:t>
      </w:r>
      <w:r w:rsidRPr="00D219A1">
        <w:rPr>
          <w:lang w:val="en-US"/>
        </w:rPr>
        <w:t>OTIF</w:t>
      </w:r>
      <w:r w:rsidRPr="00034F46">
        <w:t>/</w:t>
      </w:r>
      <w:r w:rsidRPr="00D219A1">
        <w:rPr>
          <w:lang w:val="en-US"/>
        </w:rPr>
        <w:t>RID</w:t>
      </w:r>
      <w:r w:rsidRPr="00034F46">
        <w:t>/</w:t>
      </w:r>
      <w:r w:rsidRPr="00A97F45">
        <w:t>CE/GTP/</w:t>
      </w:r>
      <w:r w:rsidR="00503637">
        <w:br/>
      </w:r>
      <w:r w:rsidRPr="00A97F45">
        <w:t>2014-B, приложение I)</w:t>
      </w:r>
    </w:p>
    <w:p w:rsidR="00A97F45" w:rsidRPr="00A97F45" w:rsidRDefault="00A97F45" w:rsidP="00A97F45">
      <w:pPr>
        <w:pStyle w:val="SingleTxt"/>
      </w:pPr>
      <w:r w:rsidRPr="00A97F45">
        <w:t>Изменить предложение после примечания следующим образом:</w:t>
      </w:r>
    </w:p>
    <w:p w:rsidR="00A97F45" w:rsidRPr="00A97F45" w:rsidRDefault="00D47C74" w:rsidP="00A97F45">
      <w:pPr>
        <w:pStyle w:val="SingleTxt"/>
      </w:pPr>
      <w:r>
        <w:t>«</w:t>
      </w:r>
      <w:r w:rsidR="00A97F45" w:rsidRPr="00A97F45">
        <w:t>Дата истечения фактического времени удержания должна быть указана в тран</w:t>
      </w:r>
      <w:r w:rsidR="00A97F45" w:rsidRPr="00A97F45">
        <w:t>с</w:t>
      </w:r>
      <w:r w:rsidR="00A97F45" w:rsidRPr="00A97F45">
        <w:t xml:space="preserve">портном документе (см. пункт 5.4.1.2.2 </w:t>
      </w:r>
      <w:r w:rsidR="00A97F45" w:rsidRPr="00A97F45">
        <w:rPr>
          <w:u w:val="single"/>
        </w:rPr>
        <w:t>d</w:t>
      </w:r>
      <w:r w:rsidR="00A97F45" w:rsidRPr="00A97F45">
        <w:t>))</w:t>
      </w:r>
      <w:r w:rsidR="00503637">
        <w:t>.</w:t>
      </w:r>
      <w:r>
        <w:t>»</w:t>
      </w:r>
      <w:r w:rsidR="00A97F45"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r w:rsidRPr="00A97F45">
        <w:t>(</w:t>
      </w:r>
      <w:r w:rsidRPr="00A97F45">
        <w:rPr>
          <w:i/>
          <w:iCs/>
        </w:rPr>
        <w:t>Справочный документ: неофициальный документ INF.17)</w:t>
      </w:r>
    </w:p>
    <w:p w:rsidR="00A97F45" w:rsidRPr="00A97F45" w:rsidRDefault="00A97F45" w:rsidP="00A97F45">
      <w:pPr>
        <w:pStyle w:val="SingleTxt"/>
      </w:pPr>
      <w:r w:rsidRPr="00A97F45">
        <w:t>4.3.5, TU 16</w:t>
      </w:r>
      <w:proofErr w:type="gramStart"/>
      <w:r w:rsidRPr="00A97F45">
        <w:tab/>
        <w:t>В</w:t>
      </w:r>
      <w:proofErr w:type="gramEnd"/>
      <w:r w:rsidRPr="00A97F45">
        <w:t xml:space="preserve"> первом абзаце после слова </w:t>
      </w:r>
      <w:r w:rsidR="00D47C74">
        <w:t>«</w:t>
      </w:r>
      <w:r w:rsidRPr="00A97F45">
        <w:t>азотом</w:t>
      </w:r>
      <w:r w:rsidR="00D47C74">
        <w:t>»</w:t>
      </w:r>
      <w:r w:rsidRPr="00A97F45">
        <w:t xml:space="preserve"> включить </w:t>
      </w:r>
      <w:r w:rsidR="00D47C74">
        <w:t>«</w:t>
      </w:r>
      <w:r w:rsidRPr="00A97F45">
        <w:t>(с водой или без воды)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INF.50)</w:t>
      </w:r>
    </w:p>
    <w:p w:rsidR="00D219A1" w:rsidRPr="00034F46" w:rsidRDefault="00D219A1" w:rsidP="00D219A1">
      <w:pPr>
        <w:pStyle w:val="SingleTxt"/>
        <w:spacing w:after="0" w:line="120" w:lineRule="exact"/>
        <w:rPr>
          <w:sz w:val="10"/>
        </w:rPr>
      </w:pPr>
    </w:p>
    <w:p w:rsidR="00A97F45" w:rsidRPr="00034F46" w:rsidRDefault="00DF0525" w:rsidP="00DF052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Pr="00034F46">
        <w:tab/>
      </w:r>
      <w:r w:rsidR="00A97F45" w:rsidRPr="00034F46">
        <w:t>Глава 5.4</w:t>
      </w:r>
    </w:p>
    <w:p w:rsidR="00D219A1" w:rsidRPr="00034F46" w:rsidRDefault="00D219A1" w:rsidP="00D219A1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034F46">
        <w:t>5.4.1.2.2</w:t>
      </w:r>
      <w:r w:rsidRPr="00034F46">
        <w:tab/>
        <w:t>(</w:t>
      </w:r>
      <w:r w:rsidRPr="00A97F45">
        <w:t>см</w:t>
      </w:r>
      <w:r w:rsidRPr="00034F46">
        <w:t xml:space="preserve">. </w:t>
      </w:r>
      <w:r w:rsidRPr="00A97F45">
        <w:t>документ</w:t>
      </w:r>
      <w:r w:rsidRPr="00034F46">
        <w:t xml:space="preserve"> </w:t>
      </w:r>
      <w:r w:rsidRPr="00D219A1">
        <w:rPr>
          <w:lang w:val="en-US"/>
        </w:rPr>
        <w:t>ECE</w:t>
      </w:r>
      <w:r w:rsidRPr="00034F46">
        <w:t>/</w:t>
      </w:r>
      <w:r w:rsidRPr="00D219A1">
        <w:rPr>
          <w:lang w:val="en-US"/>
        </w:rPr>
        <w:t>TRANS</w:t>
      </w:r>
      <w:r w:rsidRPr="00034F46">
        <w:t>/</w:t>
      </w:r>
      <w:r w:rsidRPr="00D219A1">
        <w:rPr>
          <w:lang w:val="en-US"/>
        </w:rPr>
        <w:t>WP</w:t>
      </w:r>
      <w:r w:rsidRPr="00034F46">
        <w:t xml:space="preserve">.15/226, </w:t>
      </w:r>
      <w:r w:rsidRPr="00A97F45">
        <w:t>приложение</w:t>
      </w:r>
      <w:r w:rsidRPr="00034F46">
        <w:t xml:space="preserve"> </w:t>
      </w:r>
      <w:r w:rsidRPr="00D219A1">
        <w:rPr>
          <w:lang w:val="en-US"/>
        </w:rPr>
        <w:t>I</w:t>
      </w:r>
      <w:r w:rsidRPr="00034F46">
        <w:t xml:space="preserve"> − </w:t>
      </w:r>
      <w:r w:rsidRPr="00D219A1">
        <w:rPr>
          <w:lang w:val="en-US"/>
        </w:rPr>
        <w:t>OTIF</w:t>
      </w:r>
      <w:r w:rsidRPr="00034F46">
        <w:t>/</w:t>
      </w:r>
      <w:r w:rsidRPr="00D219A1">
        <w:rPr>
          <w:lang w:val="en-US"/>
        </w:rPr>
        <w:t>RID</w:t>
      </w:r>
      <w:r w:rsidRPr="00034F46">
        <w:t>/</w:t>
      </w:r>
      <w:r w:rsidRPr="00A97F45">
        <w:t>CE/</w:t>
      </w:r>
      <w:r w:rsidR="00503637">
        <w:br/>
      </w:r>
      <w:r w:rsidRPr="00A97F45">
        <w:t>GTP/2014-B, приложение I)</w:t>
      </w:r>
    </w:p>
    <w:p w:rsidR="00A97F45" w:rsidRPr="00A97F45" w:rsidRDefault="00A97F45" w:rsidP="00A97F45">
      <w:pPr>
        <w:pStyle w:val="SingleTxt"/>
      </w:pPr>
      <w:r w:rsidRPr="00A97F45">
        <w:t>Изменить пункт d) следующим образом:</w:t>
      </w:r>
    </w:p>
    <w:p w:rsidR="00A97F45" w:rsidRPr="00A97F45" w:rsidRDefault="00D47C74" w:rsidP="00A97F45">
      <w:pPr>
        <w:pStyle w:val="SingleTxt"/>
      </w:pPr>
      <w:r>
        <w:t>«</w:t>
      </w:r>
      <w:r w:rsidR="00A97F45" w:rsidRPr="00A97F45">
        <w:t>d)</w:t>
      </w:r>
      <w:r w:rsidR="00F405E6">
        <w:tab/>
      </w:r>
      <w:r w:rsidR="00A97F45" w:rsidRPr="00A97F45">
        <w:t>в случае перевозки охлажденных сжиженных газов в (МПОГ</w:t>
      </w:r>
      <w:proofErr w:type="gramStart"/>
      <w:r w:rsidR="00A97F45" w:rsidRPr="00A97F45">
        <w:t xml:space="preserve">:) </w:t>
      </w:r>
      <w:proofErr w:type="gramEnd"/>
      <w:r w:rsidR="00A97F45" w:rsidRPr="00A97F45">
        <w:t>вагонах-цистернах и контейнерах-цистернах/(ДОПОГ:) контейнерах-цистернах грузоо</w:t>
      </w:r>
      <w:r w:rsidR="00A97F45" w:rsidRPr="00A97F45">
        <w:t>т</w:t>
      </w:r>
      <w:r w:rsidR="00A97F45" w:rsidRPr="00A97F45">
        <w:t>правитель должен указывать в транспортном документе дату истечения фактич</w:t>
      </w:r>
      <w:r w:rsidR="00A97F45" w:rsidRPr="00A97F45">
        <w:t>е</w:t>
      </w:r>
      <w:r w:rsidR="00A97F45" w:rsidRPr="00A97F45">
        <w:t>ского времени удержания в следующем формате:</w:t>
      </w:r>
    </w:p>
    <w:p w:rsidR="00A97F45" w:rsidRPr="00A97F45" w:rsidRDefault="00EC0AF7" w:rsidP="00A97F45">
      <w:pPr>
        <w:pStyle w:val="SingleTxt"/>
      </w:pPr>
      <w:r>
        <w:t>"</w:t>
      </w:r>
      <w:r w:rsidR="00A97F45" w:rsidRPr="00A97F45">
        <w:t>Дата истечения времени удержания</w:t>
      </w:r>
      <w:proofErr w:type="gramStart"/>
      <w:r w:rsidR="00A97F45" w:rsidRPr="00A97F45">
        <w:t>: ............... (</w:t>
      </w:r>
      <w:proofErr w:type="gramEnd"/>
      <w:r w:rsidR="00A97F45" w:rsidRPr="00A97F45">
        <w:t>ДД/ММ/ГГГГ)</w:t>
      </w:r>
      <w:r>
        <w:t>"</w:t>
      </w:r>
      <w:r w:rsidR="00A97F45" w:rsidRPr="00A97F45">
        <w:t>.</w:t>
      </w:r>
      <w:r w:rsidR="00D47C74">
        <w:t>»</w:t>
      </w:r>
    </w:p>
    <w:p w:rsidR="00A97F45" w:rsidRPr="00A97F45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INF.17)</w:t>
      </w:r>
    </w:p>
    <w:p w:rsidR="00D219A1" w:rsidRPr="00D219A1" w:rsidRDefault="00D219A1" w:rsidP="00D219A1">
      <w:pPr>
        <w:pStyle w:val="SingleTxt"/>
        <w:spacing w:after="0" w:line="120" w:lineRule="exact"/>
        <w:rPr>
          <w:sz w:val="10"/>
        </w:rPr>
      </w:pPr>
    </w:p>
    <w:p w:rsidR="00A97F45" w:rsidRPr="00034F46" w:rsidRDefault="00DF0525" w:rsidP="00503637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lastRenderedPageBreak/>
        <w:tab/>
      </w:r>
      <w:r w:rsidRPr="00034F46">
        <w:tab/>
      </w:r>
      <w:r w:rsidR="00A97F45" w:rsidRPr="00034F46">
        <w:t>Глава 6.2</w:t>
      </w:r>
    </w:p>
    <w:p w:rsidR="00D219A1" w:rsidRPr="00034F46" w:rsidRDefault="00D219A1" w:rsidP="00503637">
      <w:pPr>
        <w:pStyle w:val="SingleTxt"/>
        <w:keepNext/>
        <w:spacing w:after="0" w:line="120" w:lineRule="exact"/>
        <w:rPr>
          <w:sz w:val="10"/>
        </w:rPr>
      </w:pPr>
    </w:p>
    <w:p w:rsidR="00A97F45" w:rsidRPr="00A97F45" w:rsidRDefault="00A97F45" w:rsidP="00503637">
      <w:pPr>
        <w:pStyle w:val="SingleTxt"/>
        <w:keepNext/>
      </w:pPr>
      <w:r w:rsidRPr="00A97F45">
        <w:t>6.2.4.1</w:t>
      </w:r>
      <w:proofErr w:type="gramStart"/>
      <w:r w:rsidRPr="00A97F45">
        <w:tab/>
        <w:t>В</w:t>
      </w:r>
      <w:proofErr w:type="gramEnd"/>
      <w:r w:rsidRPr="00A97F45">
        <w:t xml:space="preserve">ключить следующее первое предложение: </w:t>
      </w:r>
      <w:r w:rsidR="00D47C74">
        <w:t>«</w:t>
      </w:r>
      <w:r w:rsidRPr="00A97F45">
        <w:t>Свидетельства об офиц</w:t>
      </w:r>
      <w:r w:rsidRPr="00A97F45">
        <w:t>и</w:t>
      </w:r>
      <w:r w:rsidRPr="00A97F45">
        <w:t>альном утверждении типа выдаются в соответствии с разделом 1.8.7.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</w:pPr>
      <w:r w:rsidRPr="00A97F45">
        <w:t xml:space="preserve">Изменить предложение </w:t>
      </w:r>
      <w:r w:rsidR="00D47C74">
        <w:t>«</w:t>
      </w:r>
      <w:r w:rsidRPr="00A97F45">
        <w:t>Во всех случаях требования главы 6.2, указанные в к</w:t>
      </w:r>
      <w:r w:rsidRPr="00A97F45">
        <w:t>о</w:t>
      </w:r>
      <w:r w:rsidRPr="00A97F45">
        <w:t>лонке 3, имеют преимущественную силу</w:t>
      </w:r>
      <w:proofErr w:type="gramStart"/>
      <w:r w:rsidRPr="00A97F45">
        <w:t>.</w:t>
      </w:r>
      <w:r w:rsidR="00D47C74">
        <w:t>»</w:t>
      </w:r>
      <w:r w:rsidRPr="00A97F45">
        <w:t xml:space="preserve"> </w:t>
      </w:r>
      <w:proofErr w:type="gramEnd"/>
      <w:r w:rsidRPr="00A97F45">
        <w:t xml:space="preserve">следующим образом: </w:t>
      </w:r>
      <w:r w:rsidR="00D47C74">
        <w:t>«</w:t>
      </w:r>
      <w:r w:rsidRPr="00A97F45">
        <w:t>Стандарты применяются в соответствии с разделом 1.1.5.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INF.40)</w:t>
      </w:r>
    </w:p>
    <w:p w:rsidR="00A97F45" w:rsidRPr="007A0CA1" w:rsidRDefault="005B6A11" w:rsidP="00A97F45">
      <w:pPr>
        <w:pStyle w:val="SingleTxt"/>
      </w:pPr>
      <w:r>
        <w:t>6.2.4.1</w:t>
      </w:r>
      <w:proofErr w:type="gramStart"/>
      <w:r w:rsidR="00A97F45" w:rsidRPr="00A97F45">
        <w:tab/>
        <w:t>В</w:t>
      </w:r>
      <w:proofErr w:type="gramEnd"/>
      <w:r w:rsidR="00A97F45" w:rsidRPr="00A97F45">
        <w:t xml:space="preserve">нести следующие изменения в таблицу, раздел </w:t>
      </w:r>
      <w:r w:rsidR="00D47C74">
        <w:t>«</w:t>
      </w:r>
      <w:r w:rsidR="00A97F45" w:rsidRPr="00A97F45">
        <w:t>для затворов</w:t>
      </w:r>
      <w:r w:rsidR="00D47C74">
        <w:t>»</w:t>
      </w:r>
      <w:r w:rsidR="00A97F45" w:rsidRPr="00A97F45">
        <w:t>:</w:t>
      </w:r>
    </w:p>
    <w:p w:rsidR="00DB4F23" w:rsidRPr="00DB4F23" w:rsidRDefault="00DB4F23" w:rsidP="00A97F45">
      <w:pPr>
        <w:pStyle w:val="SingleTxt"/>
      </w:pPr>
      <w:r w:rsidRPr="00843B4B">
        <w:t>В конце таблицы добавить следующие стандарты:</w:t>
      </w:r>
    </w:p>
    <w:p w:rsidR="00DB4F23" w:rsidRPr="00DB4F23" w:rsidRDefault="00DB4F23" w:rsidP="00DB4F23">
      <w:pPr>
        <w:pStyle w:val="SingleTxt"/>
        <w:spacing w:after="0" w:line="120" w:lineRule="exact"/>
        <w:rPr>
          <w:sz w:val="10"/>
        </w:rPr>
      </w:pPr>
    </w:p>
    <w:p w:rsidR="00A97F45" w:rsidRPr="00543270" w:rsidRDefault="00543270" w:rsidP="00A97F45">
      <w:pPr>
        <w:pStyle w:val="SingleTxt"/>
      </w:pPr>
      <w:r>
        <w:t>«</w:t>
      </w:r>
    </w:p>
    <w:tbl>
      <w:tblPr>
        <w:tblStyle w:val="TableGrid"/>
        <w:tblW w:w="0" w:type="auto"/>
        <w:tblInd w:w="1321" w:type="dxa"/>
        <w:tblLayout w:type="fixed"/>
        <w:tblLook w:val="04A0" w:firstRow="1" w:lastRow="0" w:firstColumn="1" w:lastColumn="0" w:noHBand="0" w:noVBand="1"/>
      </w:tblPr>
      <w:tblGrid>
        <w:gridCol w:w="1863"/>
        <w:gridCol w:w="3087"/>
        <w:gridCol w:w="1494"/>
        <w:gridCol w:w="1701"/>
        <w:gridCol w:w="630"/>
      </w:tblGrid>
      <w:tr w:rsidR="00237E5B" w:rsidTr="00DB4F23">
        <w:tc>
          <w:tcPr>
            <w:tcW w:w="1863" w:type="dxa"/>
            <w:tcMar>
              <w:left w:w="43" w:type="dxa"/>
              <w:right w:w="43" w:type="dxa"/>
            </w:tcMar>
          </w:tcPr>
          <w:p w:rsidR="00237E5B" w:rsidRDefault="00237E5B" w:rsidP="007A4E4B">
            <w:pPr>
              <w:spacing w:before="40" w:after="80"/>
              <w:jc w:val="center"/>
            </w:pPr>
            <w:r w:rsidRPr="0099457D">
              <w:t>(1)</w:t>
            </w:r>
          </w:p>
        </w:tc>
        <w:tc>
          <w:tcPr>
            <w:tcW w:w="3087" w:type="dxa"/>
            <w:tcMar>
              <w:left w:w="43" w:type="dxa"/>
              <w:right w:w="43" w:type="dxa"/>
            </w:tcMar>
          </w:tcPr>
          <w:p w:rsidR="00237E5B" w:rsidRDefault="00237E5B" w:rsidP="007A4E4B">
            <w:pPr>
              <w:spacing w:before="40" w:after="80"/>
              <w:jc w:val="center"/>
            </w:pPr>
            <w:r w:rsidRPr="0099457D">
              <w:t>(2)</w:t>
            </w:r>
          </w:p>
        </w:tc>
        <w:tc>
          <w:tcPr>
            <w:tcW w:w="1494" w:type="dxa"/>
            <w:tcMar>
              <w:left w:w="43" w:type="dxa"/>
              <w:right w:w="43" w:type="dxa"/>
            </w:tcMar>
          </w:tcPr>
          <w:p w:rsidR="00237E5B" w:rsidRDefault="00237E5B" w:rsidP="007A4E4B">
            <w:pPr>
              <w:spacing w:before="40" w:after="80"/>
              <w:jc w:val="center"/>
            </w:pPr>
            <w:r w:rsidRPr="0099457D">
              <w:t>(3)</w:t>
            </w:r>
          </w:p>
        </w:tc>
        <w:tc>
          <w:tcPr>
            <w:tcW w:w="1701" w:type="dxa"/>
            <w:tcMar>
              <w:left w:w="43" w:type="dxa"/>
              <w:right w:w="43" w:type="dxa"/>
            </w:tcMar>
          </w:tcPr>
          <w:p w:rsidR="00237E5B" w:rsidRDefault="00237E5B" w:rsidP="007A4E4B">
            <w:pPr>
              <w:spacing w:before="40" w:after="80"/>
              <w:jc w:val="center"/>
            </w:pPr>
            <w:r w:rsidRPr="0099457D">
              <w:t>(4)</w:t>
            </w: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237E5B" w:rsidRDefault="00237E5B" w:rsidP="007A4E4B">
            <w:pPr>
              <w:spacing w:before="40" w:after="80"/>
              <w:jc w:val="center"/>
            </w:pPr>
            <w:r w:rsidRPr="0099457D">
              <w:t>(5)</w:t>
            </w:r>
          </w:p>
        </w:tc>
      </w:tr>
      <w:tr w:rsidR="00237E5B" w:rsidTr="00DB4F23">
        <w:tc>
          <w:tcPr>
            <w:tcW w:w="1863" w:type="dxa"/>
            <w:tcMar>
              <w:left w:w="43" w:type="dxa"/>
              <w:right w:w="43" w:type="dxa"/>
            </w:tcMar>
          </w:tcPr>
          <w:p w:rsidR="00237E5B" w:rsidRDefault="00237E5B" w:rsidP="00353471">
            <w:pPr>
              <w:spacing w:before="40" w:after="80"/>
            </w:pPr>
            <w:r>
              <w:t>EN ISO</w:t>
            </w:r>
            <w:r w:rsidR="00A35026">
              <w:rPr>
                <w:lang w:val="en-US"/>
              </w:rPr>
              <w:br/>
            </w:r>
            <w:r>
              <w:t>17871:[2015]</w:t>
            </w:r>
          </w:p>
        </w:tc>
        <w:tc>
          <w:tcPr>
            <w:tcW w:w="3087" w:type="dxa"/>
            <w:tcMar>
              <w:left w:w="43" w:type="dxa"/>
              <w:right w:w="43" w:type="dxa"/>
            </w:tcMar>
          </w:tcPr>
          <w:p w:rsidR="00237E5B" w:rsidRDefault="00237E5B" w:rsidP="00353471">
            <w:pPr>
              <w:spacing w:before="40" w:after="80"/>
            </w:pPr>
            <w:r w:rsidRPr="0099457D">
              <w:t>Газовые баллоны – Быстроо</w:t>
            </w:r>
            <w:r w:rsidRPr="0099457D">
              <w:t>т</w:t>
            </w:r>
            <w:r w:rsidRPr="0099457D">
              <w:t>крывающиеся клапаны балл</w:t>
            </w:r>
            <w:r w:rsidRPr="0099457D">
              <w:t>о</w:t>
            </w:r>
            <w:r w:rsidRPr="0099457D">
              <w:t>нов – Технические требования и</w:t>
            </w:r>
            <w:r w:rsidR="00353471">
              <w:t> </w:t>
            </w:r>
            <w:r w:rsidRPr="0099457D">
              <w:t>испытания по типу констру</w:t>
            </w:r>
            <w:r w:rsidRPr="0099457D">
              <w:t>к</w:t>
            </w:r>
            <w:r w:rsidRPr="0099457D">
              <w:t>ции (ISO 17871:2015)</w:t>
            </w:r>
          </w:p>
        </w:tc>
        <w:tc>
          <w:tcPr>
            <w:tcW w:w="1494" w:type="dxa"/>
            <w:tcMar>
              <w:left w:w="43" w:type="dxa"/>
              <w:right w:w="43" w:type="dxa"/>
            </w:tcMar>
          </w:tcPr>
          <w:p w:rsidR="00237E5B" w:rsidRDefault="00237E5B" w:rsidP="00353471">
            <w:pPr>
              <w:spacing w:before="40" w:after="80"/>
            </w:pPr>
            <w:r w:rsidRPr="005C78FA">
              <w:t>6.2.3.1, 6.2.3.3 и 6.2.3.4</w:t>
            </w:r>
          </w:p>
        </w:tc>
        <w:tc>
          <w:tcPr>
            <w:tcW w:w="1701" w:type="dxa"/>
            <w:tcMar>
              <w:left w:w="43" w:type="dxa"/>
              <w:right w:w="43" w:type="dxa"/>
            </w:tcMar>
          </w:tcPr>
          <w:p w:rsidR="00237E5B" w:rsidRDefault="00237E5B" w:rsidP="00353471">
            <w:pPr>
              <w:spacing w:before="40" w:after="80"/>
            </w:pPr>
            <w:r w:rsidRPr="005C78FA">
              <w:t>До дальнейшего указания</w:t>
            </w: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237E5B" w:rsidRDefault="00237E5B" w:rsidP="00353471">
            <w:pPr>
              <w:spacing w:before="40" w:after="80"/>
            </w:pPr>
          </w:p>
        </w:tc>
      </w:tr>
      <w:tr w:rsidR="00237E5B" w:rsidTr="00DB4F23">
        <w:tc>
          <w:tcPr>
            <w:tcW w:w="1863" w:type="dxa"/>
            <w:tcMar>
              <w:left w:w="43" w:type="dxa"/>
              <w:right w:w="43" w:type="dxa"/>
            </w:tcMar>
          </w:tcPr>
          <w:p w:rsidR="00237E5B" w:rsidRDefault="00543270" w:rsidP="00353471">
            <w:r>
              <w:t>EN</w:t>
            </w:r>
            <w:r>
              <w:rPr>
                <w:lang w:val="en-US"/>
              </w:rPr>
              <w:br/>
            </w:r>
            <w:r w:rsidR="00237E5B">
              <w:t>13953:2015</w:t>
            </w:r>
          </w:p>
        </w:tc>
        <w:tc>
          <w:tcPr>
            <w:tcW w:w="3087" w:type="dxa"/>
            <w:tcMar>
              <w:left w:w="43" w:type="dxa"/>
              <w:right w:w="43" w:type="dxa"/>
            </w:tcMar>
          </w:tcPr>
          <w:p w:rsidR="00237E5B" w:rsidRDefault="00237E5B" w:rsidP="00353471">
            <w:pPr>
              <w:spacing w:before="40" w:after="80"/>
            </w:pPr>
            <w:r>
              <w:t>Оборудование и вспомогател</w:t>
            </w:r>
            <w:r>
              <w:t>ь</w:t>
            </w:r>
            <w:r>
              <w:t>ные приспособления для СНГ – Предохранительные клапаны переносных баллонов многор</w:t>
            </w:r>
            <w:r>
              <w:t>а</w:t>
            </w:r>
            <w:r>
              <w:t>зового использования для сж</w:t>
            </w:r>
            <w:r>
              <w:t>и</w:t>
            </w:r>
            <w:r>
              <w:t>женного нефтяного газа (СНГ)</w:t>
            </w:r>
          </w:p>
          <w:p w:rsidR="00237E5B" w:rsidRPr="00967755" w:rsidRDefault="00237E5B" w:rsidP="00353471">
            <w:pPr>
              <w:spacing w:before="40" w:after="80"/>
              <w:rPr>
                <w:i/>
                <w:iCs/>
              </w:rPr>
            </w:pPr>
            <w:r w:rsidRPr="00967755">
              <w:rPr>
                <w:b/>
                <w:bCs/>
                <w:i/>
                <w:iCs/>
              </w:rPr>
              <w:t>ПРИМЕЧАНИЕ</w:t>
            </w:r>
            <w:r w:rsidR="00A35026">
              <w:rPr>
                <w:i/>
                <w:iCs/>
              </w:rPr>
              <w:t>:</w:t>
            </w:r>
            <w:r w:rsidR="00A35026" w:rsidRPr="00A35026">
              <w:rPr>
                <w:i/>
                <w:iCs/>
              </w:rPr>
              <w:t xml:space="preserve"> </w:t>
            </w:r>
            <w:r w:rsidRPr="00967755">
              <w:rPr>
                <w:i/>
                <w:iCs/>
              </w:rPr>
              <w:t>Последнее предложение сферы применения не действует.</w:t>
            </w:r>
          </w:p>
        </w:tc>
        <w:tc>
          <w:tcPr>
            <w:tcW w:w="1494" w:type="dxa"/>
            <w:tcMar>
              <w:left w:w="43" w:type="dxa"/>
              <w:right w:w="43" w:type="dxa"/>
            </w:tcMar>
          </w:tcPr>
          <w:p w:rsidR="00237E5B" w:rsidRDefault="00237E5B" w:rsidP="00353471">
            <w:pPr>
              <w:spacing w:before="40" w:after="80"/>
            </w:pPr>
            <w:r w:rsidRPr="005C78FA">
              <w:t>6.2.3.1, 6.2.3.3 и 6.2.3.4</w:t>
            </w:r>
          </w:p>
        </w:tc>
        <w:tc>
          <w:tcPr>
            <w:tcW w:w="1701" w:type="dxa"/>
            <w:tcMar>
              <w:left w:w="43" w:type="dxa"/>
              <w:right w:w="43" w:type="dxa"/>
            </w:tcMar>
          </w:tcPr>
          <w:p w:rsidR="00237E5B" w:rsidRDefault="00237E5B" w:rsidP="00353471">
            <w:pPr>
              <w:spacing w:before="40" w:after="80"/>
            </w:pPr>
            <w:r w:rsidRPr="005C78FA">
              <w:t>До дальнейшего указания</w:t>
            </w:r>
          </w:p>
        </w:tc>
        <w:tc>
          <w:tcPr>
            <w:tcW w:w="630" w:type="dxa"/>
            <w:tcMar>
              <w:left w:w="43" w:type="dxa"/>
              <w:right w:w="43" w:type="dxa"/>
            </w:tcMar>
          </w:tcPr>
          <w:p w:rsidR="00237E5B" w:rsidRDefault="00237E5B" w:rsidP="00353471">
            <w:pPr>
              <w:spacing w:before="40" w:after="80"/>
            </w:pPr>
          </w:p>
        </w:tc>
      </w:tr>
    </w:tbl>
    <w:p w:rsidR="00A97F45" w:rsidRDefault="00543270" w:rsidP="0032017C">
      <w:pPr>
        <w:pStyle w:val="SingleTxt"/>
        <w:tabs>
          <w:tab w:val="left" w:pos="10035"/>
        </w:tabs>
        <w:ind w:right="47"/>
        <w:jc w:val="right"/>
      </w:pPr>
      <w:r>
        <w:t>»</w:t>
      </w:r>
    </w:p>
    <w:p w:rsidR="00EC0AF7" w:rsidRPr="00EC0AF7" w:rsidRDefault="00EC0AF7" w:rsidP="00EC0AF7">
      <w:pPr>
        <w:pStyle w:val="SingleTxt"/>
        <w:spacing w:after="0" w:line="120" w:lineRule="exact"/>
        <w:jc w:val="left"/>
        <w:rPr>
          <w:sz w:val="10"/>
        </w:rPr>
      </w:pPr>
    </w:p>
    <w:p w:rsidR="00A97F45" w:rsidRPr="00A97F45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INF.48)</w:t>
      </w:r>
    </w:p>
    <w:p w:rsidR="00A97F45" w:rsidRPr="00A97F45" w:rsidRDefault="00A97F45" w:rsidP="00A97F45">
      <w:pPr>
        <w:pStyle w:val="SingleTxt"/>
      </w:pPr>
      <w:r w:rsidRPr="00A97F45">
        <w:t>6.2.4.2</w:t>
      </w:r>
      <w:proofErr w:type="gramStart"/>
      <w:r w:rsidRPr="00A97F45">
        <w:tab/>
        <w:t>В</w:t>
      </w:r>
      <w:proofErr w:type="gramEnd"/>
      <w:r w:rsidRPr="00A97F45">
        <w:t xml:space="preserve"> конце первого подпункта исключить следующие слова </w:t>
      </w:r>
      <w:r w:rsidR="00D47C74">
        <w:t>«</w:t>
      </w:r>
      <w:r w:rsidRPr="00A97F45">
        <w:t>которые во всех случаях имеют преимущественную силу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</w:pPr>
      <w:r w:rsidRPr="00A97F45">
        <w:t xml:space="preserve">В конце первого подпункта добавить следующее предложение: </w:t>
      </w:r>
      <w:r w:rsidR="00D47C74">
        <w:t>«</w:t>
      </w:r>
      <w:r w:rsidRPr="00A97F45">
        <w:t>Стандарты пр</w:t>
      </w:r>
      <w:r w:rsidRPr="00A97F45">
        <w:t>и</w:t>
      </w:r>
      <w:r w:rsidRPr="00A97F45">
        <w:t>меняются в соответствии с разделом 1.1.5</w:t>
      </w:r>
      <w:r w:rsidR="00EC0AF7">
        <w:t>.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</w:pPr>
      <w:r w:rsidRPr="00A97F45">
        <w:rPr>
          <w:i/>
          <w:iCs/>
        </w:rPr>
        <w:t>(Справочный документ: неофициальный документ INF.40)</w:t>
      </w:r>
    </w:p>
    <w:p w:rsidR="00A97F45" w:rsidRPr="00A97F45" w:rsidRDefault="007A0CA1" w:rsidP="00A97F45">
      <w:pPr>
        <w:pStyle w:val="SingleTxt"/>
      </w:pPr>
      <w:r>
        <w:t>6.2.4.2</w:t>
      </w:r>
      <w:proofErr w:type="gramStart"/>
      <w:r w:rsidR="00A97F45" w:rsidRPr="00A97F45">
        <w:tab/>
        <w:t>В</w:t>
      </w:r>
      <w:proofErr w:type="gramEnd"/>
      <w:r w:rsidR="00A97F45" w:rsidRPr="00A97F45">
        <w:t>нести следующие изменения в таблицу:</w:t>
      </w:r>
    </w:p>
    <w:p w:rsidR="00A97F45" w:rsidRPr="00A97F45" w:rsidRDefault="00A97F45" w:rsidP="00A97F45">
      <w:pPr>
        <w:pStyle w:val="SingleTxt"/>
      </w:pPr>
      <w:r w:rsidRPr="00A97F45">
        <w:t xml:space="preserve">Для стандарта </w:t>
      </w:r>
      <w:r w:rsidR="00D47C74">
        <w:t>«</w:t>
      </w:r>
      <w:r w:rsidRPr="00A97F45">
        <w:t>EN 14912:2005</w:t>
      </w:r>
      <w:r w:rsidR="00D47C74">
        <w:t>»</w:t>
      </w:r>
      <w:r w:rsidRPr="00A97F45">
        <w:t xml:space="preserve"> в последней колонке заменить </w:t>
      </w:r>
      <w:r w:rsidR="00D47C74">
        <w:t>«</w:t>
      </w:r>
      <w:r w:rsidRPr="00A97F45">
        <w:t>До дальнейшего указания</w:t>
      </w:r>
      <w:r w:rsidR="00D47C74">
        <w:t>»</w:t>
      </w:r>
      <w:r w:rsidRPr="00A97F45">
        <w:t xml:space="preserve"> </w:t>
      </w:r>
      <w:proofErr w:type="gramStart"/>
      <w:r w:rsidRPr="00A97F45">
        <w:t>на</w:t>
      </w:r>
      <w:proofErr w:type="gramEnd"/>
      <w:r w:rsidRPr="00A97F45">
        <w:t xml:space="preserve"> </w:t>
      </w:r>
      <w:r w:rsidR="00D47C74">
        <w:t>«</w:t>
      </w:r>
      <w:r w:rsidRPr="00A97F45">
        <w:t>До 31 декабря 2018 года</w:t>
      </w:r>
      <w:r w:rsidR="00D47C74">
        <w:t>»</w:t>
      </w:r>
      <w:r w:rsidRPr="00A97F45">
        <w:t>.</w:t>
      </w:r>
    </w:p>
    <w:p w:rsidR="00A97F45" w:rsidRDefault="00A97F45" w:rsidP="002C002C">
      <w:pPr>
        <w:pStyle w:val="SingleTxt"/>
        <w:keepNext/>
        <w:keepLines/>
      </w:pPr>
      <w:r w:rsidRPr="00A97F45">
        <w:lastRenderedPageBreak/>
        <w:t xml:space="preserve">После стандарта </w:t>
      </w:r>
      <w:r w:rsidR="00D47C74">
        <w:t>«</w:t>
      </w:r>
      <w:r w:rsidRPr="00A97F45">
        <w:t>EN 14912:2005</w:t>
      </w:r>
      <w:r w:rsidR="00D47C74">
        <w:t>»</w:t>
      </w:r>
      <w:r w:rsidRPr="00A97F45">
        <w:t xml:space="preserve"> включить следующую новую строку:</w:t>
      </w:r>
    </w:p>
    <w:p w:rsidR="007A0CA1" w:rsidRPr="007A0CA1" w:rsidRDefault="007A0CA1" w:rsidP="002C002C">
      <w:pPr>
        <w:pStyle w:val="SingleTxt"/>
        <w:keepNext/>
        <w:keepLines/>
        <w:spacing w:after="0" w:line="120" w:lineRule="exact"/>
        <w:rPr>
          <w:sz w:val="10"/>
        </w:rPr>
      </w:pPr>
    </w:p>
    <w:p w:rsidR="00A97F45" w:rsidRDefault="00D47C74" w:rsidP="002C002C">
      <w:pPr>
        <w:pStyle w:val="SingleTxt"/>
        <w:keepNext/>
        <w:keepLines/>
      </w:pPr>
      <w:r>
        <w:t>«</w:t>
      </w:r>
    </w:p>
    <w:tbl>
      <w:tblPr>
        <w:tblStyle w:val="TableGrid"/>
        <w:tblW w:w="0" w:type="auto"/>
        <w:tblInd w:w="1321" w:type="dxa"/>
        <w:tblLook w:val="04A0" w:firstRow="1" w:lastRow="0" w:firstColumn="1" w:lastColumn="0" w:noHBand="0" w:noVBand="1"/>
      </w:tblPr>
      <w:tblGrid>
        <w:gridCol w:w="1593"/>
        <w:gridCol w:w="5166"/>
        <w:gridCol w:w="2007"/>
      </w:tblGrid>
      <w:tr w:rsidR="007A0CA1" w:rsidTr="0032017C">
        <w:tc>
          <w:tcPr>
            <w:tcW w:w="1593" w:type="dxa"/>
            <w:tcMar>
              <w:left w:w="43" w:type="dxa"/>
              <w:right w:w="43" w:type="dxa"/>
            </w:tcMar>
          </w:tcPr>
          <w:p w:rsidR="007A0CA1" w:rsidRDefault="007A0CA1" w:rsidP="00353471">
            <w:pPr>
              <w:keepNext/>
              <w:keepLines/>
              <w:spacing w:before="40" w:after="80"/>
              <w:jc w:val="center"/>
            </w:pPr>
            <w:r>
              <w:t>(1)</w:t>
            </w:r>
          </w:p>
        </w:tc>
        <w:tc>
          <w:tcPr>
            <w:tcW w:w="5166" w:type="dxa"/>
            <w:tcMar>
              <w:left w:w="43" w:type="dxa"/>
              <w:right w:w="43" w:type="dxa"/>
            </w:tcMar>
          </w:tcPr>
          <w:p w:rsidR="007A0CA1" w:rsidRDefault="007A0CA1" w:rsidP="00353471">
            <w:pPr>
              <w:keepNext/>
              <w:keepLines/>
              <w:spacing w:before="40" w:after="80"/>
              <w:jc w:val="center"/>
            </w:pPr>
            <w:r>
              <w:t>(2)</w:t>
            </w:r>
          </w:p>
        </w:tc>
        <w:tc>
          <w:tcPr>
            <w:tcW w:w="2007" w:type="dxa"/>
            <w:tcMar>
              <w:left w:w="43" w:type="dxa"/>
              <w:right w:w="43" w:type="dxa"/>
            </w:tcMar>
          </w:tcPr>
          <w:p w:rsidR="007A0CA1" w:rsidRDefault="007A0CA1" w:rsidP="00353471">
            <w:pPr>
              <w:keepNext/>
              <w:keepLines/>
              <w:spacing w:before="40" w:after="80"/>
              <w:jc w:val="center"/>
            </w:pPr>
            <w:r>
              <w:t>(3)</w:t>
            </w:r>
          </w:p>
        </w:tc>
      </w:tr>
      <w:tr w:rsidR="007A0CA1" w:rsidTr="0032017C">
        <w:tc>
          <w:tcPr>
            <w:tcW w:w="1593" w:type="dxa"/>
            <w:tcMar>
              <w:left w:w="43" w:type="dxa"/>
              <w:right w:w="43" w:type="dxa"/>
            </w:tcMar>
          </w:tcPr>
          <w:p w:rsidR="007A0CA1" w:rsidRDefault="007A0CA1" w:rsidP="00353471">
            <w:pPr>
              <w:keepNext/>
              <w:keepLines/>
              <w:spacing w:before="40" w:after="80"/>
            </w:pPr>
            <w:r>
              <w:t>EN 14912:2015</w:t>
            </w:r>
          </w:p>
        </w:tc>
        <w:tc>
          <w:tcPr>
            <w:tcW w:w="5166" w:type="dxa"/>
            <w:tcMar>
              <w:left w:w="43" w:type="dxa"/>
              <w:right w:w="43" w:type="dxa"/>
            </w:tcMar>
          </w:tcPr>
          <w:p w:rsidR="007A0CA1" w:rsidRDefault="007A0CA1" w:rsidP="00353471">
            <w:pPr>
              <w:keepNext/>
              <w:keepLines/>
              <w:spacing w:before="40" w:after="80"/>
            </w:pPr>
            <w:r>
              <w:t>Оборудование и вспомогательные приспособления для СНГ − Проверка и техническое обслуживание вент</w:t>
            </w:r>
            <w:r>
              <w:t>и</w:t>
            </w:r>
            <w:r>
              <w:t>лей баллонов для СНГ во время периодической пр</w:t>
            </w:r>
            <w:r>
              <w:t>о</w:t>
            </w:r>
            <w:r>
              <w:t>верки баллонов</w:t>
            </w:r>
          </w:p>
        </w:tc>
        <w:tc>
          <w:tcPr>
            <w:tcW w:w="2007" w:type="dxa"/>
            <w:tcMar>
              <w:left w:w="43" w:type="dxa"/>
              <w:right w:w="43" w:type="dxa"/>
            </w:tcMar>
          </w:tcPr>
          <w:p w:rsidR="007A0CA1" w:rsidRDefault="007A0CA1" w:rsidP="00353471">
            <w:pPr>
              <w:keepNext/>
              <w:keepLines/>
              <w:spacing w:before="40" w:after="80"/>
            </w:pPr>
            <w:r>
              <w:t xml:space="preserve">Обязательно </w:t>
            </w:r>
            <w:r w:rsidR="00353471">
              <w:br/>
            </w:r>
            <w:r>
              <w:t>с 1 января 2019 года</w:t>
            </w:r>
          </w:p>
        </w:tc>
      </w:tr>
    </w:tbl>
    <w:p w:rsidR="007A0CA1" w:rsidRDefault="007A0CA1" w:rsidP="0032017C">
      <w:pPr>
        <w:pStyle w:val="SingleTxt"/>
        <w:tabs>
          <w:tab w:val="left" w:pos="10035"/>
        </w:tabs>
        <w:ind w:right="47"/>
        <w:jc w:val="right"/>
      </w:pPr>
      <w:r>
        <w:t>»</w:t>
      </w:r>
    </w:p>
    <w:p w:rsidR="00A97F45" w:rsidRPr="002C002C" w:rsidRDefault="00A97F45" w:rsidP="002C002C">
      <w:pPr>
        <w:pStyle w:val="SingleTxt"/>
        <w:keepNext/>
        <w:keepLines/>
        <w:spacing w:after="0" w:line="120" w:lineRule="exact"/>
        <w:rPr>
          <w:sz w:val="10"/>
        </w:rPr>
      </w:pPr>
    </w:p>
    <w:p w:rsidR="00A97F45" w:rsidRPr="00A97F45" w:rsidRDefault="00A97F45" w:rsidP="002C002C">
      <w:pPr>
        <w:pStyle w:val="SingleTxt"/>
        <w:keepNext/>
        <w:keepLines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INF.48)</w:t>
      </w:r>
    </w:p>
    <w:p w:rsidR="00A97F45" w:rsidRPr="00A97F45" w:rsidRDefault="00A97F45" w:rsidP="00A97F45">
      <w:pPr>
        <w:pStyle w:val="SingleTxt"/>
      </w:pPr>
      <w:r w:rsidRPr="00A97F45">
        <w:t xml:space="preserve">6.2.6.4 </w:t>
      </w:r>
      <w:r w:rsidRPr="00A97F45">
        <w:tab/>
        <w:t xml:space="preserve">В конце второго подпункта заменить </w:t>
      </w:r>
      <w:r w:rsidR="00D47C74">
        <w:t>«</w:t>
      </w:r>
      <w:proofErr w:type="gramStart"/>
      <w:r w:rsidRPr="00A97F45">
        <w:t>;</w:t>
      </w:r>
      <w:r w:rsidR="00D47C74">
        <w:t>»</w:t>
      </w:r>
      <w:proofErr w:type="gramEnd"/>
      <w:r w:rsidRPr="00A97F45">
        <w:t xml:space="preserve"> на </w:t>
      </w:r>
      <w:r w:rsidR="00D47C74">
        <w:t>«</w:t>
      </w:r>
      <w:r w:rsidRPr="00A97F45">
        <w:t>.</w:t>
      </w:r>
      <w:r w:rsidR="00D47C74">
        <w:t>»</w:t>
      </w:r>
      <w:r w:rsidRPr="00A97F45">
        <w:t xml:space="preserve"> (к тексту на русском языке не относится).</w:t>
      </w:r>
    </w:p>
    <w:p w:rsidR="00A97F45" w:rsidRPr="00A97F45" w:rsidRDefault="00A97F45" w:rsidP="00A97F45">
      <w:pPr>
        <w:pStyle w:val="SingleTxt"/>
      </w:pPr>
      <w:r w:rsidRPr="00A97F45">
        <w:t>Добавить следующий новый подпункт:</w:t>
      </w:r>
    </w:p>
    <w:p w:rsidR="00A97F45" w:rsidRPr="00A97F45" w:rsidRDefault="00D47C74" w:rsidP="00A97F45">
      <w:pPr>
        <w:pStyle w:val="SingleTxt"/>
      </w:pPr>
      <w:r>
        <w:t>«</w:t>
      </w:r>
      <w:r w:rsidR="00A97F45" w:rsidRPr="00A97F45">
        <w:t xml:space="preserve">− </w:t>
      </w:r>
      <w:r w:rsidR="00A97F45" w:rsidRPr="00A97F45">
        <w:tab/>
        <w:t>для № ООН 2037 емкостей малых, содержащих газ (газовых баллончиков), содержащих нетоксичные, негорючие сжатые или сжиженные газы: EN</w:t>
      </w:r>
      <w:r w:rsidR="002C002C">
        <w:t> </w:t>
      </w:r>
      <w:r w:rsidR="00A97F45" w:rsidRPr="00A97F45">
        <w:t>16509:2014 Переносные газовые баллоны − Одноразовые небольшие пер</w:t>
      </w:r>
      <w:r w:rsidR="00A97F45" w:rsidRPr="00A97F45">
        <w:t>е</w:t>
      </w:r>
      <w:r w:rsidR="00A97F45" w:rsidRPr="00A97F45">
        <w:t>носные, стальные баллоны емкостью до и включая 120 мл, содержащие сжатые или сжиженные газы (компактные баллоны) − Расчет, проектирование, наполн</w:t>
      </w:r>
      <w:r w:rsidR="00A97F45" w:rsidRPr="00A97F45">
        <w:t>е</w:t>
      </w:r>
      <w:r w:rsidR="00A97F45" w:rsidRPr="00A97F45">
        <w:t>ние и испытание (за исключением пункта 9).</w:t>
      </w:r>
      <w:r>
        <w:t>»</w:t>
      </w:r>
      <w:r w:rsidR="00A97F45"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INF.48)</w:t>
      </w:r>
    </w:p>
    <w:p w:rsidR="00DF0525" w:rsidRPr="00F405E6" w:rsidRDefault="00DF0525" w:rsidP="00DF0525">
      <w:pPr>
        <w:pStyle w:val="SingleTxt"/>
        <w:spacing w:after="0" w:line="120" w:lineRule="exact"/>
        <w:rPr>
          <w:i/>
          <w:iCs/>
          <w:sz w:val="10"/>
        </w:rPr>
      </w:pPr>
    </w:p>
    <w:p w:rsidR="00A97F45" w:rsidRPr="00034F46" w:rsidRDefault="00DF0525" w:rsidP="00DF052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05E6">
        <w:tab/>
      </w:r>
      <w:r w:rsidRPr="00F405E6">
        <w:tab/>
      </w:r>
      <w:r w:rsidR="00A97F45" w:rsidRPr="00034F46">
        <w:t>Глава 6.8</w:t>
      </w:r>
    </w:p>
    <w:p w:rsidR="00DF0525" w:rsidRPr="00034F46" w:rsidRDefault="00DF0525" w:rsidP="00DF0525">
      <w:pPr>
        <w:pStyle w:val="SingleTxt"/>
        <w:spacing w:after="0" w:line="120" w:lineRule="exact"/>
        <w:rPr>
          <w:i/>
          <w:iCs/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6.8.2.1.21 (только ДОПОГ):</w:t>
      </w:r>
    </w:p>
    <w:p w:rsidR="00A97F45" w:rsidRDefault="00A97F45" w:rsidP="00A97F45">
      <w:pPr>
        <w:pStyle w:val="SingleTxt"/>
      </w:pPr>
      <w:r w:rsidRPr="00A97F45">
        <w:t>[Первая поправка в тексте на французском языке не относится к тексту на а</w:t>
      </w:r>
      <w:r w:rsidRPr="00A97F45">
        <w:t>н</w:t>
      </w:r>
      <w:r w:rsidRPr="00A97F45">
        <w:t>глийском языке.]</w:t>
      </w:r>
    </w:p>
    <w:p w:rsidR="00F405E6" w:rsidRDefault="00F405E6" w:rsidP="00A97F45">
      <w:pPr>
        <w:pStyle w:val="SingleTxt"/>
      </w:pPr>
      <w:r w:rsidRPr="00F405E6">
        <w:t xml:space="preserve">Во второй таблице после строки </w:t>
      </w:r>
      <w:r w:rsidR="00D47C74">
        <w:t>«</w:t>
      </w:r>
      <w:proofErr w:type="spellStart"/>
      <w:r w:rsidRPr="00F405E6">
        <w:t>Аустенитные</w:t>
      </w:r>
      <w:proofErr w:type="spellEnd"/>
      <w:r w:rsidRPr="00F405E6">
        <w:t xml:space="preserve"> нержавеющие стали</w:t>
      </w:r>
      <w:r w:rsidR="00D47C74">
        <w:t>»</w:t>
      </w:r>
      <w:r w:rsidRPr="00F405E6">
        <w:t xml:space="preserve"> включить следующую новую строку:</w:t>
      </w:r>
    </w:p>
    <w:p w:rsidR="002C002C" w:rsidRPr="002C002C" w:rsidRDefault="002C002C" w:rsidP="002C002C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404" w:type="dxa"/>
        <w:tblLook w:val="04A0" w:firstRow="1" w:lastRow="0" w:firstColumn="1" w:lastColumn="0" w:noHBand="0" w:noVBand="1"/>
      </w:tblPr>
      <w:tblGrid>
        <w:gridCol w:w="4788"/>
        <w:gridCol w:w="972"/>
        <w:gridCol w:w="756"/>
        <w:gridCol w:w="972"/>
      </w:tblGrid>
      <w:tr w:rsidR="002C002C" w:rsidTr="003C792E">
        <w:tc>
          <w:tcPr>
            <w:tcW w:w="4788" w:type="dxa"/>
          </w:tcPr>
          <w:p w:rsidR="002C002C" w:rsidRDefault="002C002C" w:rsidP="003C792E">
            <w:pPr>
              <w:spacing w:before="40" w:after="80"/>
              <w:ind w:right="43"/>
            </w:pPr>
            <w:r>
              <w:t>Ферритно-</w:t>
            </w:r>
            <w:proofErr w:type="spellStart"/>
            <w:r>
              <w:t>аустенитные</w:t>
            </w:r>
            <w:proofErr w:type="spellEnd"/>
            <w:r>
              <w:t xml:space="preserve"> нержавеющие стали</w:t>
            </w:r>
          </w:p>
        </w:tc>
        <w:tc>
          <w:tcPr>
            <w:tcW w:w="972" w:type="dxa"/>
          </w:tcPr>
          <w:p w:rsidR="002C002C" w:rsidRDefault="002C002C" w:rsidP="003C792E">
            <w:pPr>
              <w:spacing w:before="40" w:after="80"/>
              <w:ind w:right="43"/>
              <w:jc w:val="center"/>
            </w:pPr>
            <w:r>
              <w:t>3 мм</w:t>
            </w:r>
          </w:p>
        </w:tc>
        <w:tc>
          <w:tcPr>
            <w:tcW w:w="756" w:type="dxa"/>
          </w:tcPr>
          <w:p w:rsidR="002C002C" w:rsidRDefault="002C002C" w:rsidP="003C792E">
            <w:pPr>
              <w:spacing w:before="40" w:after="80"/>
              <w:ind w:right="43"/>
              <w:jc w:val="center"/>
            </w:pPr>
            <w:r>
              <w:t>3 мм</w:t>
            </w:r>
          </w:p>
        </w:tc>
        <w:tc>
          <w:tcPr>
            <w:tcW w:w="972" w:type="dxa"/>
          </w:tcPr>
          <w:p w:rsidR="002C002C" w:rsidRDefault="002C002C" w:rsidP="003C792E">
            <w:pPr>
              <w:spacing w:before="40" w:after="80"/>
              <w:ind w:right="43"/>
              <w:jc w:val="center"/>
            </w:pPr>
            <w:r>
              <w:t>3,5 мм</w:t>
            </w:r>
          </w:p>
        </w:tc>
      </w:tr>
    </w:tbl>
    <w:p w:rsidR="00F405E6" w:rsidRPr="00F405E6" w:rsidRDefault="00F405E6" w:rsidP="00F405E6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  <w:rPr>
          <w:i/>
          <w:iCs/>
        </w:rPr>
      </w:pPr>
      <w:proofErr w:type="gramStart"/>
      <w:r w:rsidRPr="00A97F45">
        <w:rPr>
          <w:i/>
          <w:iCs/>
        </w:rPr>
        <w:t>(Справочный документ:</w:t>
      </w:r>
      <w:proofErr w:type="gramEnd"/>
      <w:r w:rsidRPr="00A97F45">
        <w:rPr>
          <w:i/>
          <w:iCs/>
        </w:rPr>
        <w:t xml:space="preserve"> </w:t>
      </w:r>
      <w:proofErr w:type="gramStart"/>
      <w:r w:rsidRPr="00A97F45">
        <w:rPr>
          <w:i/>
          <w:iCs/>
        </w:rPr>
        <w:t>ECE/TRANS/WP.15/АС.1/2015/8 с поправками, внесенн</w:t>
      </w:r>
      <w:r w:rsidRPr="00A97F45">
        <w:rPr>
          <w:i/>
          <w:iCs/>
        </w:rPr>
        <w:t>ы</w:t>
      </w:r>
      <w:r w:rsidRPr="00A97F45">
        <w:rPr>
          <w:i/>
          <w:iCs/>
        </w:rPr>
        <w:t>ми в неофициальном документе INF.50)</w:t>
      </w:r>
      <w:proofErr w:type="gramEnd"/>
    </w:p>
    <w:p w:rsidR="00A97F45" w:rsidRPr="00A97F45" w:rsidRDefault="00A97F45" w:rsidP="00A97F45">
      <w:pPr>
        <w:pStyle w:val="SingleTxt"/>
      </w:pPr>
      <w:r w:rsidRPr="00A97F45">
        <w:t>6.8.2.6.1</w:t>
      </w:r>
      <w:proofErr w:type="gramStart"/>
      <w:r w:rsidRPr="00A97F45">
        <w:tab/>
        <w:t>В</w:t>
      </w:r>
      <w:proofErr w:type="gramEnd"/>
      <w:r w:rsidRPr="00A97F45">
        <w:t xml:space="preserve">ключить следующее первое предложение: </w:t>
      </w:r>
      <w:r w:rsidR="00D47C74">
        <w:t>«</w:t>
      </w:r>
      <w:r w:rsidRPr="00A97F45">
        <w:t>Свидетельства об офиц</w:t>
      </w:r>
      <w:r w:rsidRPr="00A97F45">
        <w:t>и</w:t>
      </w:r>
      <w:r w:rsidRPr="00A97F45">
        <w:t>альном утверждении типа выдаются в соответствии с разделом 1.8.7 или подра</w:t>
      </w:r>
      <w:r w:rsidRPr="00A97F45">
        <w:t>з</w:t>
      </w:r>
      <w:r w:rsidRPr="00A97F45">
        <w:t>делом 6.8.2.3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</w:pPr>
      <w:r w:rsidRPr="00A97F45">
        <w:t xml:space="preserve">Предложение </w:t>
      </w:r>
      <w:r w:rsidR="00D47C74">
        <w:t>«</w:t>
      </w:r>
      <w:r w:rsidRPr="00A97F45">
        <w:t>Во всех случаях требования главы 6.8, указанные в колонке 3, имеют преимущественную силу</w:t>
      </w:r>
      <w:proofErr w:type="gramStart"/>
      <w:r w:rsidRPr="00A97F45">
        <w:t>.</w:t>
      </w:r>
      <w:r w:rsidR="00D47C74">
        <w:t>»</w:t>
      </w:r>
      <w:r w:rsidRPr="00A97F45">
        <w:t xml:space="preserve"> </w:t>
      </w:r>
      <w:proofErr w:type="gramEnd"/>
      <w:r w:rsidRPr="00A97F45">
        <w:t xml:space="preserve">заменить следующим предложением: </w:t>
      </w:r>
      <w:r w:rsidR="00D47C74">
        <w:t>«</w:t>
      </w:r>
      <w:r w:rsidRPr="00A97F45">
        <w:t>Ста</w:t>
      </w:r>
      <w:r w:rsidRPr="00A97F45">
        <w:t>н</w:t>
      </w:r>
      <w:r w:rsidRPr="00A97F45">
        <w:t>дарты применяются в соответствии с разделом 1.1.5</w:t>
      </w:r>
      <w:r w:rsidR="00901324">
        <w:t>.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INF.40)</w:t>
      </w:r>
    </w:p>
    <w:p w:rsidR="00A97F45" w:rsidRPr="00A97F45" w:rsidRDefault="00901324" w:rsidP="00A97F45">
      <w:pPr>
        <w:pStyle w:val="SingleTxt"/>
      </w:pPr>
      <w:r>
        <w:t>6.8.2.6.1</w:t>
      </w:r>
      <w:proofErr w:type="gramStart"/>
      <w:r w:rsidR="00A97F45" w:rsidRPr="00A97F45">
        <w:tab/>
        <w:t>В</w:t>
      </w:r>
      <w:proofErr w:type="gramEnd"/>
      <w:r w:rsidR="00A97F45" w:rsidRPr="00A97F45">
        <w:t xml:space="preserve">нести следующие изменения в таблицу, раздел </w:t>
      </w:r>
      <w:r w:rsidR="00D47C74">
        <w:t>«</w:t>
      </w:r>
      <w:r w:rsidR="00A97F45" w:rsidRPr="00A97F45">
        <w:rPr>
          <w:i/>
          <w:iCs/>
        </w:rPr>
        <w:t>Для конструкции и изготовления цистерн</w:t>
      </w:r>
      <w:r w:rsidR="00D47C74">
        <w:t>»</w:t>
      </w:r>
      <w:r w:rsidR="00A97F45" w:rsidRPr="00A97F45">
        <w:t>:</w:t>
      </w:r>
    </w:p>
    <w:p w:rsidR="00A97F45" w:rsidRPr="00A97F45" w:rsidRDefault="00A97F45" w:rsidP="00A97F45">
      <w:pPr>
        <w:pStyle w:val="SingleTxt"/>
      </w:pPr>
      <w:r w:rsidRPr="00A97F45">
        <w:t xml:space="preserve">Для стандарта </w:t>
      </w:r>
      <w:r w:rsidR="00D47C74">
        <w:t>«</w:t>
      </w:r>
      <w:r w:rsidRPr="00A97F45">
        <w:t>EN 13094:2008 + AC:2008</w:t>
      </w:r>
      <w:r w:rsidR="00D47C74">
        <w:t>»</w:t>
      </w:r>
      <w:r w:rsidRPr="00A97F45">
        <w:t xml:space="preserve"> в колонке 4 заменить </w:t>
      </w:r>
      <w:r w:rsidR="00D47C74">
        <w:t>«</w:t>
      </w:r>
      <w:r w:rsidRPr="00A97F45">
        <w:t>До дальнейш</w:t>
      </w:r>
      <w:r w:rsidRPr="00A97F45">
        <w:t>е</w:t>
      </w:r>
      <w:r w:rsidRPr="00A97F45">
        <w:t>го указания</w:t>
      </w:r>
      <w:r w:rsidR="00D47C74">
        <w:t>»</w:t>
      </w:r>
      <w:r w:rsidRPr="00A97F45">
        <w:t xml:space="preserve"> </w:t>
      </w:r>
      <w:proofErr w:type="gramStart"/>
      <w:r w:rsidRPr="00A97F45">
        <w:t>на</w:t>
      </w:r>
      <w:proofErr w:type="gramEnd"/>
      <w:r w:rsidRPr="00A97F45">
        <w:t xml:space="preserve"> </w:t>
      </w:r>
      <w:r w:rsidR="00D47C74">
        <w:t>«</w:t>
      </w:r>
      <w:r w:rsidRPr="00A97F45">
        <w:t>С 1 января 2011 года до 31 декабря 2018 года</w:t>
      </w:r>
      <w:r w:rsidR="00D47C74">
        <w:t>»</w:t>
      </w:r>
      <w:r w:rsidRPr="00A97F45">
        <w:t>.</w:t>
      </w:r>
    </w:p>
    <w:p w:rsidR="00A97F45" w:rsidRDefault="00A97F45" w:rsidP="00A97F45">
      <w:pPr>
        <w:pStyle w:val="SingleTxt"/>
      </w:pPr>
      <w:r w:rsidRPr="00A97F45">
        <w:t xml:space="preserve">После стандарта </w:t>
      </w:r>
      <w:r w:rsidR="00D47C74">
        <w:t>«</w:t>
      </w:r>
      <w:r w:rsidRPr="00A97F45">
        <w:t>EN 13094:2008 + AC:2008</w:t>
      </w:r>
      <w:r w:rsidR="00D47C74">
        <w:t>»</w:t>
      </w:r>
      <w:r w:rsidRPr="00A97F45">
        <w:t xml:space="preserve"> включить следующий новый ста</w:t>
      </w:r>
      <w:r w:rsidRPr="00A97F45">
        <w:t>н</w:t>
      </w:r>
      <w:r w:rsidRPr="00A97F45">
        <w:t>дарт:</w:t>
      </w:r>
    </w:p>
    <w:p w:rsidR="00F405E6" w:rsidRPr="00F405E6" w:rsidRDefault="00F405E6" w:rsidP="00F405E6">
      <w:pPr>
        <w:pStyle w:val="SingleTxt"/>
        <w:spacing w:after="0" w:line="120" w:lineRule="exact"/>
        <w:rPr>
          <w:sz w:val="10"/>
        </w:rPr>
      </w:pPr>
    </w:p>
    <w:p w:rsidR="00A97F45" w:rsidRDefault="00D47C74" w:rsidP="00A97F45">
      <w:pPr>
        <w:pStyle w:val="SingleTxt"/>
      </w:pPr>
      <w:r>
        <w:t>«</w:t>
      </w:r>
    </w:p>
    <w:tbl>
      <w:tblPr>
        <w:tblStyle w:val="TableGrid"/>
        <w:tblW w:w="0" w:type="auto"/>
        <w:tblInd w:w="1321" w:type="dxa"/>
        <w:tblLook w:val="04A0" w:firstRow="1" w:lastRow="0" w:firstColumn="1" w:lastColumn="0" w:noHBand="0" w:noVBand="1"/>
      </w:tblPr>
      <w:tblGrid>
        <w:gridCol w:w="1629"/>
        <w:gridCol w:w="3800"/>
        <w:gridCol w:w="1030"/>
        <w:gridCol w:w="1617"/>
        <w:gridCol w:w="726"/>
      </w:tblGrid>
      <w:tr w:rsidR="00353471" w:rsidTr="0032017C">
        <w:tc>
          <w:tcPr>
            <w:tcW w:w="1629" w:type="dxa"/>
            <w:tcMar>
              <w:left w:w="43" w:type="dxa"/>
              <w:right w:w="43" w:type="dxa"/>
            </w:tcMar>
          </w:tcPr>
          <w:p w:rsidR="00353471" w:rsidRDefault="00353471" w:rsidP="00353471">
            <w:pPr>
              <w:spacing w:before="40" w:after="80"/>
              <w:jc w:val="center"/>
            </w:pPr>
            <w:r w:rsidRPr="00017700">
              <w:t>(1)</w:t>
            </w:r>
          </w:p>
        </w:tc>
        <w:tc>
          <w:tcPr>
            <w:tcW w:w="3800" w:type="dxa"/>
            <w:tcMar>
              <w:left w:w="43" w:type="dxa"/>
              <w:right w:w="43" w:type="dxa"/>
            </w:tcMar>
          </w:tcPr>
          <w:p w:rsidR="00353471" w:rsidRDefault="00353471" w:rsidP="00353471">
            <w:pPr>
              <w:spacing w:before="40" w:after="80"/>
              <w:jc w:val="center"/>
            </w:pPr>
            <w:r w:rsidRPr="00017700">
              <w:t>(2)</w:t>
            </w:r>
          </w:p>
        </w:tc>
        <w:tc>
          <w:tcPr>
            <w:tcW w:w="1030" w:type="dxa"/>
            <w:tcMar>
              <w:left w:w="43" w:type="dxa"/>
              <w:right w:w="43" w:type="dxa"/>
            </w:tcMar>
          </w:tcPr>
          <w:p w:rsidR="00353471" w:rsidRDefault="00353471" w:rsidP="00353471">
            <w:pPr>
              <w:spacing w:before="40" w:after="80"/>
              <w:jc w:val="center"/>
            </w:pPr>
            <w:r w:rsidRPr="00017700">
              <w:t>(3)</w:t>
            </w:r>
          </w:p>
        </w:tc>
        <w:tc>
          <w:tcPr>
            <w:tcW w:w="1617" w:type="dxa"/>
            <w:tcMar>
              <w:left w:w="43" w:type="dxa"/>
              <w:right w:w="43" w:type="dxa"/>
            </w:tcMar>
          </w:tcPr>
          <w:p w:rsidR="00353471" w:rsidRDefault="00353471" w:rsidP="00353471">
            <w:pPr>
              <w:spacing w:before="40" w:after="80"/>
              <w:jc w:val="center"/>
            </w:pPr>
            <w:r w:rsidRPr="00017700">
              <w:t>(4)</w:t>
            </w:r>
          </w:p>
        </w:tc>
        <w:tc>
          <w:tcPr>
            <w:tcW w:w="726" w:type="dxa"/>
            <w:tcMar>
              <w:left w:w="43" w:type="dxa"/>
              <w:right w:w="43" w:type="dxa"/>
            </w:tcMar>
          </w:tcPr>
          <w:p w:rsidR="00353471" w:rsidRDefault="00353471" w:rsidP="00353471">
            <w:pPr>
              <w:spacing w:before="40" w:after="80"/>
              <w:jc w:val="center"/>
            </w:pPr>
            <w:r w:rsidRPr="00017700">
              <w:t>(5)</w:t>
            </w:r>
          </w:p>
        </w:tc>
      </w:tr>
      <w:tr w:rsidR="00353471" w:rsidTr="0032017C">
        <w:tc>
          <w:tcPr>
            <w:tcW w:w="1629" w:type="dxa"/>
            <w:tcMar>
              <w:left w:w="43" w:type="dxa"/>
              <w:right w:w="43" w:type="dxa"/>
            </w:tcMar>
          </w:tcPr>
          <w:p w:rsidR="00353471" w:rsidRDefault="00353471" w:rsidP="00353471">
            <w:pPr>
              <w:spacing w:before="40" w:after="80"/>
            </w:pPr>
            <w:r w:rsidRPr="00017700">
              <w:t>EN 13094:2014</w:t>
            </w:r>
          </w:p>
        </w:tc>
        <w:tc>
          <w:tcPr>
            <w:tcW w:w="3800" w:type="dxa"/>
            <w:tcMar>
              <w:left w:w="43" w:type="dxa"/>
              <w:right w:w="43" w:type="dxa"/>
            </w:tcMar>
          </w:tcPr>
          <w:p w:rsidR="00353471" w:rsidRDefault="00353471" w:rsidP="00353471">
            <w:pPr>
              <w:spacing w:before="40" w:after="80"/>
            </w:pPr>
            <w:r w:rsidRPr="003934FE">
              <w:t>Цистерны для перевозки опасных гр</w:t>
            </w:r>
            <w:r w:rsidRPr="003934FE">
              <w:t>у</w:t>
            </w:r>
            <w:r w:rsidRPr="003934FE">
              <w:t>зов − Металлические цистерны с раб</w:t>
            </w:r>
            <w:r w:rsidRPr="003934FE">
              <w:t>о</w:t>
            </w:r>
            <w:r w:rsidRPr="003934FE">
              <w:t>чим давлением не более 0,5 бар − Ко</w:t>
            </w:r>
            <w:r w:rsidRPr="003934FE">
              <w:t>н</w:t>
            </w:r>
            <w:r w:rsidRPr="003934FE">
              <w:t>струкция и изготовление</w:t>
            </w:r>
          </w:p>
        </w:tc>
        <w:tc>
          <w:tcPr>
            <w:tcW w:w="1030" w:type="dxa"/>
            <w:tcMar>
              <w:left w:w="43" w:type="dxa"/>
              <w:right w:w="43" w:type="dxa"/>
            </w:tcMar>
          </w:tcPr>
          <w:p w:rsidR="00353471" w:rsidRDefault="00353471" w:rsidP="00353471">
            <w:pPr>
              <w:spacing w:before="40" w:after="80"/>
            </w:pPr>
            <w:r w:rsidRPr="00017700">
              <w:t>6.8.2.1</w:t>
            </w:r>
          </w:p>
        </w:tc>
        <w:tc>
          <w:tcPr>
            <w:tcW w:w="1617" w:type="dxa"/>
            <w:tcMar>
              <w:left w:w="43" w:type="dxa"/>
              <w:right w:w="43" w:type="dxa"/>
            </w:tcMar>
          </w:tcPr>
          <w:p w:rsidR="00353471" w:rsidRDefault="00353471" w:rsidP="00353471">
            <w:pPr>
              <w:spacing w:before="40" w:after="80"/>
            </w:pPr>
            <w:r w:rsidRPr="00017700">
              <w:t>До дальнейшего указания</w:t>
            </w:r>
          </w:p>
        </w:tc>
        <w:tc>
          <w:tcPr>
            <w:tcW w:w="726" w:type="dxa"/>
            <w:tcMar>
              <w:left w:w="43" w:type="dxa"/>
              <w:right w:w="43" w:type="dxa"/>
            </w:tcMar>
          </w:tcPr>
          <w:p w:rsidR="00353471" w:rsidRDefault="00353471" w:rsidP="00353471">
            <w:pPr>
              <w:spacing w:before="40" w:after="80"/>
            </w:pPr>
          </w:p>
        </w:tc>
      </w:tr>
    </w:tbl>
    <w:p w:rsidR="00A97F45" w:rsidRPr="00A97F45" w:rsidRDefault="00353471" w:rsidP="0032017C">
      <w:pPr>
        <w:pStyle w:val="SingleTxt"/>
        <w:tabs>
          <w:tab w:val="left" w:pos="10035"/>
        </w:tabs>
        <w:ind w:right="47"/>
        <w:jc w:val="right"/>
      </w:pPr>
      <w:r>
        <w:t>»</w:t>
      </w:r>
    </w:p>
    <w:p w:rsidR="00F405E6" w:rsidRPr="00F405E6" w:rsidRDefault="00F405E6" w:rsidP="00F405E6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 xml:space="preserve">Для стандарта </w:t>
      </w:r>
      <w:r w:rsidR="00D47C74">
        <w:t>«</w:t>
      </w:r>
      <w:r w:rsidRPr="00A97F45">
        <w:t>EN 12493:2013</w:t>
      </w:r>
      <w:r w:rsidR="00D47C74">
        <w:t>»</w:t>
      </w:r>
      <w:r w:rsidRPr="00A97F45">
        <w:t xml:space="preserve"> в колонке 4 заменить </w:t>
      </w:r>
      <w:r w:rsidR="00D47C74">
        <w:t>«</w:t>
      </w:r>
      <w:r w:rsidRPr="00A97F45">
        <w:t>До дальнейшего указ</w:t>
      </w:r>
      <w:r w:rsidRPr="00A97F45">
        <w:t>а</w:t>
      </w:r>
      <w:r w:rsidRPr="00A97F45">
        <w:t>ния</w:t>
      </w:r>
      <w:r w:rsidR="00D47C74">
        <w:t>»</w:t>
      </w:r>
      <w:r w:rsidRPr="00A97F45">
        <w:t xml:space="preserve"> </w:t>
      </w:r>
      <w:proofErr w:type="gramStart"/>
      <w:r w:rsidRPr="00A97F45">
        <w:t>на</w:t>
      </w:r>
      <w:proofErr w:type="gramEnd"/>
      <w:r w:rsidRPr="00A97F45">
        <w:t xml:space="preserve"> </w:t>
      </w:r>
      <w:r w:rsidR="00D47C74">
        <w:t>«</w:t>
      </w:r>
      <w:r w:rsidRPr="00A97F45">
        <w:t>С 1 января 2015 года до 31 декабря 2017 года</w:t>
      </w:r>
      <w:r w:rsidR="00D47C74">
        <w:t>»</w:t>
      </w:r>
      <w:r w:rsidRPr="00A97F45">
        <w:t>.</w:t>
      </w:r>
    </w:p>
    <w:p w:rsidR="00A97F45" w:rsidRDefault="00A97F45" w:rsidP="00A97F45">
      <w:pPr>
        <w:pStyle w:val="SingleTxt"/>
      </w:pPr>
      <w:r w:rsidRPr="00A97F45">
        <w:t xml:space="preserve">Для стандарта </w:t>
      </w:r>
      <w:r w:rsidR="00D47C74">
        <w:t>«</w:t>
      </w:r>
      <w:r w:rsidRPr="00A97F45">
        <w:t>EN 12493:2013</w:t>
      </w:r>
      <w:r w:rsidR="00D47C74">
        <w:t>»</w:t>
      </w:r>
      <w:r w:rsidRPr="00A97F45">
        <w:t xml:space="preserve"> в колонку 5 включить </w:t>
      </w:r>
      <w:r w:rsidR="00D47C74">
        <w:t>«</w:t>
      </w:r>
      <w:r w:rsidRPr="00A97F45">
        <w:t>31 декабря 2018 года</w:t>
      </w:r>
      <w:r w:rsidR="00D47C74">
        <w:t>»</w:t>
      </w:r>
      <w:r w:rsidRPr="00A97F45">
        <w:t>.</w:t>
      </w:r>
    </w:p>
    <w:p w:rsidR="00F405E6" w:rsidRDefault="00F405E6" w:rsidP="00A97F45">
      <w:pPr>
        <w:pStyle w:val="SingleTxt"/>
      </w:pPr>
      <w:r w:rsidRPr="00F405E6">
        <w:t xml:space="preserve">После стандарта </w:t>
      </w:r>
      <w:r w:rsidR="00D47C74">
        <w:t>«</w:t>
      </w:r>
      <w:r w:rsidRPr="00F405E6">
        <w:t>EN 12493:2013</w:t>
      </w:r>
      <w:r w:rsidR="00D47C74">
        <w:t>»</w:t>
      </w:r>
      <w:r w:rsidRPr="00F405E6">
        <w:t xml:space="preserve"> включить следующий новый стандарт:</w:t>
      </w:r>
    </w:p>
    <w:p w:rsidR="00F405E6" w:rsidRPr="00F405E6" w:rsidRDefault="00F405E6" w:rsidP="00F405E6">
      <w:pPr>
        <w:pStyle w:val="SingleTxt"/>
        <w:spacing w:after="0" w:line="120" w:lineRule="exact"/>
        <w:rPr>
          <w:sz w:val="10"/>
        </w:rPr>
      </w:pPr>
    </w:p>
    <w:p w:rsidR="00A97F45" w:rsidRDefault="00D47C74" w:rsidP="00A97F45">
      <w:pPr>
        <w:pStyle w:val="SingleTxt"/>
      </w:pPr>
      <w:r>
        <w:t>«</w:t>
      </w:r>
    </w:p>
    <w:tbl>
      <w:tblPr>
        <w:tblStyle w:val="TableGrid"/>
        <w:tblW w:w="0" w:type="auto"/>
        <w:tblInd w:w="1321" w:type="dxa"/>
        <w:tblLayout w:type="fixed"/>
        <w:tblLook w:val="04A0" w:firstRow="1" w:lastRow="0" w:firstColumn="1" w:lastColumn="0" w:noHBand="0" w:noVBand="1"/>
      </w:tblPr>
      <w:tblGrid>
        <w:gridCol w:w="1755"/>
        <w:gridCol w:w="3789"/>
        <w:gridCol w:w="954"/>
        <w:gridCol w:w="1629"/>
        <w:gridCol w:w="675"/>
      </w:tblGrid>
      <w:tr w:rsidR="007E5086" w:rsidTr="00B31FDA">
        <w:tc>
          <w:tcPr>
            <w:tcW w:w="1755" w:type="dxa"/>
            <w:tcMar>
              <w:left w:w="43" w:type="dxa"/>
              <w:right w:w="43" w:type="dxa"/>
            </w:tcMar>
          </w:tcPr>
          <w:p w:rsidR="007E5086" w:rsidRDefault="007E5086" w:rsidP="00B31FDA">
            <w:pPr>
              <w:tabs>
                <w:tab w:val="left" w:pos="1418"/>
              </w:tabs>
              <w:spacing w:before="40" w:after="80"/>
              <w:jc w:val="center"/>
            </w:pPr>
            <w:r>
              <w:t>(1)</w:t>
            </w:r>
          </w:p>
        </w:tc>
        <w:tc>
          <w:tcPr>
            <w:tcW w:w="3789" w:type="dxa"/>
            <w:tcMar>
              <w:left w:w="43" w:type="dxa"/>
              <w:right w:w="43" w:type="dxa"/>
            </w:tcMar>
          </w:tcPr>
          <w:p w:rsidR="007E5086" w:rsidRDefault="007E5086" w:rsidP="00B31FDA">
            <w:pPr>
              <w:tabs>
                <w:tab w:val="left" w:pos="1418"/>
              </w:tabs>
              <w:spacing w:before="40" w:after="80"/>
              <w:jc w:val="center"/>
            </w:pPr>
            <w:r>
              <w:t>(2)</w:t>
            </w:r>
          </w:p>
        </w:tc>
        <w:tc>
          <w:tcPr>
            <w:tcW w:w="954" w:type="dxa"/>
            <w:tcMar>
              <w:left w:w="43" w:type="dxa"/>
              <w:right w:w="43" w:type="dxa"/>
            </w:tcMar>
          </w:tcPr>
          <w:p w:rsidR="007E5086" w:rsidRDefault="007E5086" w:rsidP="00B31FDA">
            <w:pPr>
              <w:tabs>
                <w:tab w:val="left" w:pos="1418"/>
              </w:tabs>
              <w:spacing w:before="40" w:after="80"/>
              <w:jc w:val="center"/>
            </w:pPr>
            <w:r>
              <w:t>(3)</w:t>
            </w:r>
          </w:p>
        </w:tc>
        <w:tc>
          <w:tcPr>
            <w:tcW w:w="1629" w:type="dxa"/>
            <w:tcMar>
              <w:left w:w="43" w:type="dxa"/>
              <w:right w:w="43" w:type="dxa"/>
            </w:tcMar>
          </w:tcPr>
          <w:p w:rsidR="007E5086" w:rsidRDefault="007E5086" w:rsidP="00B31FDA">
            <w:pPr>
              <w:tabs>
                <w:tab w:val="left" w:pos="1418"/>
              </w:tabs>
              <w:spacing w:before="40" w:after="80"/>
              <w:jc w:val="center"/>
            </w:pPr>
            <w:r>
              <w:t>(4)</w:t>
            </w:r>
          </w:p>
        </w:tc>
        <w:tc>
          <w:tcPr>
            <w:tcW w:w="675" w:type="dxa"/>
            <w:tcMar>
              <w:left w:w="43" w:type="dxa"/>
              <w:right w:w="43" w:type="dxa"/>
            </w:tcMar>
          </w:tcPr>
          <w:p w:rsidR="007E5086" w:rsidRDefault="007E5086" w:rsidP="00B31FDA">
            <w:pPr>
              <w:tabs>
                <w:tab w:val="left" w:pos="1418"/>
              </w:tabs>
              <w:spacing w:before="40" w:after="80"/>
              <w:jc w:val="center"/>
            </w:pPr>
            <w:r>
              <w:t>(5)</w:t>
            </w:r>
          </w:p>
        </w:tc>
      </w:tr>
      <w:tr w:rsidR="007E5086" w:rsidTr="00B31FDA">
        <w:tc>
          <w:tcPr>
            <w:tcW w:w="1755" w:type="dxa"/>
            <w:tcMar>
              <w:left w:w="43" w:type="dxa"/>
              <w:right w:w="43" w:type="dxa"/>
            </w:tcMar>
          </w:tcPr>
          <w:p w:rsidR="007E5086" w:rsidRDefault="007E5086" w:rsidP="00B31FDA">
            <w:pPr>
              <w:spacing w:before="40" w:after="80"/>
            </w:pPr>
            <w:r>
              <w:t>EN 12493:2013 + A1:2014 (за исключением приложения С)</w:t>
            </w:r>
          </w:p>
        </w:tc>
        <w:tc>
          <w:tcPr>
            <w:tcW w:w="3789" w:type="dxa"/>
            <w:tcMar>
              <w:left w:w="43" w:type="dxa"/>
              <w:right w:w="43" w:type="dxa"/>
            </w:tcMar>
          </w:tcPr>
          <w:p w:rsidR="007E5086" w:rsidRDefault="007E5086" w:rsidP="00B31FDA">
            <w:pPr>
              <w:spacing w:before="40" w:after="80"/>
            </w:pPr>
            <w:r>
              <w:t>Оборудование и вспомогательные пр</w:t>
            </w:r>
            <w:r>
              <w:t>и</w:t>
            </w:r>
            <w:r>
              <w:t>способления для СНГ − Сварные стал</w:t>
            </w:r>
            <w:r>
              <w:t>ь</w:t>
            </w:r>
            <w:r>
              <w:t>ные цистерны для сжиженного нефт</w:t>
            </w:r>
            <w:r>
              <w:t>я</w:t>
            </w:r>
            <w:r>
              <w:t xml:space="preserve">ного газа (СНГ) − Автоцистерны </w:t>
            </w:r>
            <w:r w:rsidR="00B31FDA">
              <w:t>–</w:t>
            </w:r>
            <w:r>
              <w:t xml:space="preserve"> Ко</w:t>
            </w:r>
            <w:r>
              <w:t>н</w:t>
            </w:r>
            <w:r>
              <w:t xml:space="preserve">струкция и изготовление </w:t>
            </w:r>
          </w:p>
          <w:p w:rsidR="007E5086" w:rsidRDefault="007E5086" w:rsidP="00B31FDA">
            <w:pPr>
              <w:spacing w:before="40" w:after="80"/>
            </w:pPr>
            <w:r w:rsidRPr="001D4588">
              <w:rPr>
                <w:b/>
                <w:bCs/>
                <w:i/>
                <w:iCs/>
              </w:rPr>
              <w:t>ПРИМЕЧАНИЕ</w:t>
            </w:r>
            <w:r>
              <w:t xml:space="preserve">: </w:t>
            </w:r>
            <w:r w:rsidRPr="005D20CE">
              <w:rPr>
                <w:i/>
                <w:iCs/>
              </w:rPr>
              <w:t>"Автоцистерны" сл</w:t>
            </w:r>
            <w:r w:rsidRPr="005D20CE">
              <w:rPr>
                <w:i/>
                <w:iCs/>
              </w:rPr>
              <w:t>е</w:t>
            </w:r>
            <w:r w:rsidRPr="005D20CE">
              <w:rPr>
                <w:i/>
                <w:iCs/>
              </w:rPr>
              <w:t>дует понимать как "встроенные ц</w:t>
            </w:r>
            <w:r w:rsidRPr="005D20CE">
              <w:rPr>
                <w:i/>
                <w:iCs/>
              </w:rPr>
              <w:t>и</w:t>
            </w:r>
            <w:r w:rsidRPr="005D20CE">
              <w:rPr>
                <w:i/>
                <w:iCs/>
              </w:rPr>
              <w:t>стерны"</w:t>
            </w:r>
            <w:r>
              <w:rPr>
                <w:i/>
                <w:iCs/>
              </w:rPr>
              <w:t xml:space="preserve"> </w:t>
            </w:r>
            <w:r w:rsidRPr="005D20CE">
              <w:rPr>
                <w:i/>
                <w:iCs/>
              </w:rPr>
              <w:t>и "съемные цистерны" по смыслу ДОПОГ.</w:t>
            </w:r>
          </w:p>
        </w:tc>
        <w:tc>
          <w:tcPr>
            <w:tcW w:w="954" w:type="dxa"/>
            <w:tcMar>
              <w:left w:w="43" w:type="dxa"/>
              <w:right w:w="43" w:type="dxa"/>
            </w:tcMar>
          </w:tcPr>
          <w:p w:rsidR="007E5086" w:rsidRDefault="007E5086" w:rsidP="00B31FDA">
            <w:pPr>
              <w:tabs>
                <w:tab w:val="left" w:pos="1418"/>
              </w:tabs>
              <w:spacing w:before="40" w:after="80"/>
            </w:pPr>
            <w:r>
              <w:t>6.8.2.1, 6.8.2.5, 6.8.3.1, 6.8.3.5, 6.8.5.1</w:t>
            </w:r>
            <w:r w:rsidR="00B31FDA">
              <w:t>–</w:t>
            </w:r>
            <w:r w:rsidR="00B31FDA">
              <w:br/>
            </w:r>
            <w:r>
              <w:t>6.8.5.3</w:t>
            </w:r>
          </w:p>
        </w:tc>
        <w:tc>
          <w:tcPr>
            <w:tcW w:w="1629" w:type="dxa"/>
            <w:tcMar>
              <w:left w:w="43" w:type="dxa"/>
              <w:right w:w="43" w:type="dxa"/>
            </w:tcMar>
          </w:tcPr>
          <w:p w:rsidR="007E5086" w:rsidRDefault="007E5086" w:rsidP="00B31FDA">
            <w:pPr>
              <w:widowControl w:val="0"/>
              <w:spacing w:before="40" w:after="80"/>
            </w:pPr>
            <w:r>
              <w:t>До дальнейшего указания</w:t>
            </w:r>
          </w:p>
          <w:p w:rsidR="007E5086" w:rsidRDefault="007E5086" w:rsidP="00B31FDA">
            <w:pPr>
              <w:spacing w:before="40" w:after="80"/>
            </w:pPr>
          </w:p>
        </w:tc>
        <w:tc>
          <w:tcPr>
            <w:tcW w:w="675" w:type="dxa"/>
            <w:tcMar>
              <w:left w:w="43" w:type="dxa"/>
              <w:right w:w="43" w:type="dxa"/>
            </w:tcMar>
          </w:tcPr>
          <w:p w:rsidR="007E5086" w:rsidRDefault="007E5086" w:rsidP="00B31FDA">
            <w:pPr>
              <w:spacing w:before="40" w:after="80"/>
            </w:pPr>
          </w:p>
        </w:tc>
      </w:tr>
    </w:tbl>
    <w:p w:rsidR="00A97F45" w:rsidRPr="00A97F45" w:rsidRDefault="00B31FDA" w:rsidP="0032017C">
      <w:pPr>
        <w:pStyle w:val="SingleTxt"/>
        <w:tabs>
          <w:tab w:val="left" w:pos="10035"/>
        </w:tabs>
        <w:ind w:right="47"/>
        <w:jc w:val="right"/>
      </w:pPr>
      <w:r>
        <w:t>»</w:t>
      </w:r>
    </w:p>
    <w:p w:rsidR="00F405E6" w:rsidRPr="00F405E6" w:rsidRDefault="00F405E6" w:rsidP="00F405E6">
      <w:pPr>
        <w:pStyle w:val="SingleTxt"/>
        <w:spacing w:after="0" w:line="120" w:lineRule="exact"/>
        <w:rPr>
          <w:sz w:val="10"/>
        </w:rPr>
      </w:pPr>
    </w:p>
    <w:p w:rsidR="00A97F45" w:rsidRPr="00A97F45" w:rsidRDefault="00B31FDA" w:rsidP="00A97F45">
      <w:pPr>
        <w:pStyle w:val="SingleTxt"/>
      </w:pPr>
      <w:r>
        <w:t>6.8.2.6.1</w:t>
      </w:r>
      <w:proofErr w:type="gramStart"/>
      <w:r w:rsidR="00A97F45" w:rsidRPr="00A97F45">
        <w:tab/>
        <w:t>В</w:t>
      </w:r>
      <w:proofErr w:type="gramEnd"/>
      <w:r w:rsidR="00A97F45" w:rsidRPr="00A97F45">
        <w:t xml:space="preserve">нести следующие изменения в таблицу, раздел </w:t>
      </w:r>
      <w:r w:rsidR="00D47C74">
        <w:t>«</w:t>
      </w:r>
      <w:r w:rsidR="00A97F45" w:rsidRPr="00A97F45">
        <w:rPr>
          <w:i/>
          <w:iCs/>
        </w:rPr>
        <w:t>Для оборудования</w:t>
      </w:r>
      <w:r w:rsidR="00D47C74">
        <w:t>»</w:t>
      </w:r>
      <w:r w:rsidR="00A97F45" w:rsidRPr="00A97F45">
        <w:t>:</w:t>
      </w:r>
    </w:p>
    <w:p w:rsidR="00A97F45" w:rsidRDefault="00A97F45" w:rsidP="00A97F45">
      <w:pPr>
        <w:pStyle w:val="SingleTxt"/>
      </w:pPr>
      <w:r w:rsidRPr="00A97F45">
        <w:t xml:space="preserve">Для стандарта </w:t>
      </w:r>
      <w:r w:rsidR="00D47C74">
        <w:t>«</w:t>
      </w:r>
      <w:r w:rsidRPr="00A97F45">
        <w:t>EN 14432:2006</w:t>
      </w:r>
      <w:r w:rsidR="00D47C74">
        <w:t>»</w:t>
      </w:r>
      <w:r w:rsidRPr="00A97F45">
        <w:t xml:space="preserve"> в колонке 4 заменить </w:t>
      </w:r>
      <w:r w:rsidR="00D47C74">
        <w:t>«</w:t>
      </w:r>
      <w:r w:rsidRPr="00A97F45">
        <w:t>До дальнейшего указ</w:t>
      </w:r>
      <w:r w:rsidRPr="00A97F45">
        <w:t>а</w:t>
      </w:r>
      <w:r w:rsidRPr="00A97F45">
        <w:t>ния</w:t>
      </w:r>
      <w:r w:rsidR="00D47C74">
        <w:t>»</w:t>
      </w:r>
      <w:r w:rsidRPr="00A97F45">
        <w:t xml:space="preserve"> </w:t>
      </w:r>
      <w:proofErr w:type="gramStart"/>
      <w:r w:rsidRPr="00A97F45">
        <w:t>на</w:t>
      </w:r>
      <w:proofErr w:type="gramEnd"/>
      <w:r w:rsidRPr="00A97F45">
        <w:t xml:space="preserve"> </w:t>
      </w:r>
      <w:r w:rsidR="00D47C74">
        <w:t>«</w:t>
      </w:r>
      <w:r w:rsidRPr="00A97F45">
        <w:t>С 1 января 2009 года до 31 декабря 2018 года</w:t>
      </w:r>
      <w:r w:rsidR="00D47C74">
        <w:t>»</w:t>
      </w:r>
      <w:r w:rsidRPr="00A97F45">
        <w:t>.</w:t>
      </w:r>
    </w:p>
    <w:p w:rsidR="00386DD4" w:rsidRPr="00A97F45" w:rsidRDefault="00386DD4" w:rsidP="00A97F45">
      <w:pPr>
        <w:pStyle w:val="SingleTxt"/>
      </w:pPr>
      <w:r w:rsidRPr="00386DD4">
        <w:t xml:space="preserve">После стандарта </w:t>
      </w:r>
      <w:r w:rsidR="00D47C74">
        <w:t>«</w:t>
      </w:r>
      <w:r w:rsidRPr="00386DD4">
        <w:t>EN 14432:2006</w:t>
      </w:r>
      <w:r w:rsidR="00D47C74">
        <w:t>»</w:t>
      </w:r>
      <w:r w:rsidRPr="00386DD4">
        <w:t xml:space="preserve"> включить следующий новый стандарт:</w:t>
      </w:r>
    </w:p>
    <w:p w:rsidR="00F405E6" w:rsidRPr="00386DD4" w:rsidRDefault="00F405E6" w:rsidP="00386DD4">
      <w:pPr>
        <w:pStyle w:val="SingleTxt"/>
        <w:spacing w:after="0" w:line="120" w:lineRule="exact"/>
        <w:rPr>
          <w:sz w:val="10"/>
        </w:rPr>
      </w:pPr>
    </w:p>
    <w:p w:rsidR="00A97F45" w:rsidRDefault="00D47C74" w:rsidP="00A97F45">
      <w:pPr>
        <w:pStyle w:val="SingleTxt"/>
      </w:pPr>
      <w:r>
        <w:t>«</w:t>
      </w:r>
    </w:p>
    <w:tbl>
      <w:tblPr>
        <w:tblStyle w:val="TableGrid"/>
        <w:tblW w:w="8802" w:type="dxa"/>
        <w:tblInd w:w="1312" w:type="dxa"/>
        <w:tblLayout w:type="fixed"/>
        <w:tblLook w:val="04A0" w:firstRow="1" w:lastRow="0" w:firstColumn="1" w:lastColumn="0" w:noHBand="0" w:noVBand="1"/>
      </w:tblPr>
      <w:tblGrid>
        <w:gridCol w:w="1773"/>
        <w:gridCol w:w="3744"/>
        <w:gridCol w:w="1064"/>
        <w:gridCol w:w="1629"/>
        <w:gridCol w:w="592"/>
      </w:tblGrid>
      <w:tr w:rsidR="00B31FDA" w:rsidTr="00F6061B">
        <w:tc>
          <w:tcPr>
            <w:tcW w:w="1773" w:type="dxa"/>
            <w:tcMar>
              <w:left w:w="43" w:type="dxa"/>
              <w:right w:w="43" w:type="dxa"/>
            </w:tcMar>
          </w:tcPr>
          <w:p w:rsidR="00B31FDA" w:rsidRDefault="00B31FDA" w:rsidP="00F6061B">
            <w:pPr>
              <w:spacing w:before="40" w:after="80"/>
              <w:jc w:val="center"/>
            </w:pPr>
            <w:r w:rsidRPr="00017700">
              <w:t>(1)</w:t>
            </w:r>
          </w:p>
        </w:tc>
        <w:tc>
          <w:tcPr>
            <w:tcW w:w="3744" w:type="dxa"/>
            <w:tcMar>
              <w:left w:w="43" w:type="dxa"/>
              <w:right w:w="43" w:type="dxa"/>
            </w:tcMar>
          </w:tcPr>
          <w:p w:rsidR="00B31FDA" w:rsidRDefault="00B31FDA" w:rsidP="00F6061B">
            <w:pPr>
              <w:spacing w:before="40" w:after="80"/>
              <w:jc w:val="center"/>
            </w:pPr>
            <w:r w:rsidRPr="00017700">
              <w:t>(2)</w:t>
            </w:r>
          </w:p>
        </w:tc>
        <w:tc>
          <w:tcPr>
            <w:tcW w:w="1064" w:type="dxa"/>
            <w:tcMar>
              <w:left w:w="43" w:type="dxa"/>
              <w:right w:w="43" w:type="dxa"/>
            </w:tcMar>
          </w:tcPr>
          <w:p w:rsidR="00B31FDA" w:rsidRDefault="00B31FDA" w:rsidP="00F6061B">
            <w:pPr>
              <w:spacing w:before="40" w:after="80"/>
              <w:jc w:val="center"/>
            </w:pPr>
            <w:r w:rsidRPr="00017700">
              <w:t>(3)</w:t>
            </w:r>
          </w:p>
        </w:tc>
        <w:tc>
          <w:tcPr>
            <w:tcW w:w="1629" w:type="dxa"/>
            <w:tcMar>
              <w:left w:w="43" w:type="dxa"/>
              <w:right w:w="43" w:type="dxa"/>
            </w:tcMar>
          </w:tcPr>
          <w:p w:rsidR="00B31FDA" w:rsidRDefault="00B31FDA" w:rsidP="00F6061B">
            <w:pPr>
              <w:spacing w:before="40" w:after="80"/>
              <w:jc w:val="center"/>
            </w:pPr>
            <w:r w:rsidRPr="00017700">
              <w:t>(4)</w:t>
            </w:r>
          </w:p>
        </w:tc>
        <w:tc>
          <w:tcPr>
            <w:tcW w:w="592" w:type="dxa"/>
            <w:tcMar>
              <w:left w:w="43" w:type="dxa"/>
              <w:right w:w="43" w:type="dxa"/>
            </w:tcMar>
          </w:tcPr>
          <w:p w:rsidR="00B31FDA" w:rsidRDefault="00B31FDA" w:rsidP="00F6061B">
            <w:pPr>
              <w:spacing w:before="40" w:after="80"/>
              <w:jc w:val="center"/>
            </w:pPr>
            <w:r w:rsidRPr="00017700">
              <w:t>(5)</w:t>
            </w:r>
          </w:p>
        </w:tc>
      </w:tr>
      <w:tr w:rsidR="00B31FDA" w:rsidTr="00F6061B">
        <w:tc>
          <w:tcPr>
            <w:tcW w:w="1773" w:type="dxa"/>
            <w:tcMar>
              <w:left w:w="43" w:type="dxa"/>
              <w:right w:w="43" w:type="dxa"/>
            </w:tcMar>
          </w:tcPr>
          <w:p w:rsidR="00B31FDA" w:rsidRDefault="00B31FDA" w:rsidP="00B31FDA">
            <w:pPr>
              <w:spacing w:before="40" w:after="80"/>
            </w:pPr>
            <w:r w:rsidRPr="00017700">
              <w:t>EN 1</w:t>
            </w:r>
            <w:r>
              <w:t>4432</w:t>
            </w:r>
            <w:r w:rsidRPr="00017700">
              <w:t>:2014</w:t>
            </w:r>
          </w:p>
        </w:tc>
        <w:tc>
          <w:tcPr>
            <w:tcW w:w="3744" w:type="dxa"/>
            <w:tcMar>
              <w:left w:w="43" w:type="dxa"/>
              <w:right w:w="43" w:type="dxa"/>
            </w:tcMar>
          </w:tcPr>
          <w:p w:rsidR="00B31FDA" w:rsidRDefault="00B31FDA" w:rsidP="00B31FDA">
            <w:pPr>
              <w:spacing w:before="40" w:after="80"/>
            </w:pPr>
            <w:r w:rsidRPr="003934FE">
              <w:t>Цистерны для перевозки опасных гр</w:t>
            </w:r>
            <w:r w:rsidRPr="003934FE">
              <w:t>у</w:t>
            </w:r>
            <w:r w:rsidRPr="003934FE">
              <w:t xml:space="preserve">зов − Металлические цистерны </w:t>
            </w:r>
            <w:r>
              <w:t>под давлением</w:t>
            </w:r>
            <w:r w:rsidRPr="003934FE">
              <w:t xml:space="preserve"> − Конструкция и изготовл</w:t>
            </w:r>
            <w:r w:rsidRPr="003934FE">
              <w:t>е</w:t>
            </w:r>
            <w:r w:rsidRPr="003934FE">
              <w:t>ние</w:t>
            </w:r>
          </w:p>
          <w:p w:rsidR="00B31FDA" w:rsidRPr="00064759" w:rsidRDefault="00B31FDA" w:rsidP="00B31FDA">
            <w:pPr>
              <w:spacing w:before="40" w:after="80"/>
              <w:rPr>
                <w:szCs w:val="20"/>
              </w:rPr>
            </w:pPr>
            <w:r w:rsidRPr="00064759">
              <w:rPr>
                <w:b/>
                <w:bCs/>
                <w:i/>
                <w:iCs/>
                <w:caps/>
                <w:szCs w:val="20"/>
              </w:rPr>
              <w:t>ПРИМЕЧАНИЕ:</w:t>
            </w:r>
            <w:r w:rsidRPr="00064759">
              <w:rPr>
                <w:szCs w:val="20"/>
              </w:rPr>
              <w:t xml:space="preserve"> </w:t>
            </w:r>
            <w:r w:rsidRPr="00064759">
              <w:rPr>
                <w:i/>
                <w:iCs/>
                <w:szCs w:val="20"/>
              </w:rPr>
              <w:t>Этот стандарт также может быть использован для цистерн с максимальным рабочим да</w:t>
            </w:r>
            <w:r w:rsidRPr="00064759">
              <w:rPr>
                <w:i/>
                <w:iCs/>
                <w:szCs w:val="20"/>
              </w:rPr>
              <w:t>в</w:t>
            </w:r>
            <w:r w:rsidRPr="00064759">
              <w:rPr>
                <w:i/>
                <w:iCs/>
                <w:szCs w:val="20"/>
              </w:rPr>
              <w:t xml:space="preserve">лением не более 0,5 бар. </w:t>
            </w:r>
          </w:p>
        </w:tc>
        <w:tc>
          <w:tcPr>
            <w:tcW w:w="1064" w:type="dxa"/>
            <w:tcMar>
              <w:left w:w="43" w:type="dxa"/>
              <w:right w:w="43" w:type="dxa"/>
            </w:tcMar>
          </w:tcPr>
          <w:p w:rsidR="00B31FDA" w:rsidRDefault="00B31FDA" w:rsidP="00B31FDA">
            <w:pPr>
              <w:spacing w:before="40" w:after="80"/>
            </w:pPr>
            <w:r w:rsidRPr="00017700">
              <w:t>6.8.2.</w:t>
            </w:r>
            <w:r>
              <w:t>2.</w:t>
            </w:r>
            <w:r w:rsidRPr="00017700">
              <w:t>1</w:t>
            </w:r>
            <w:r>
              <w:t>,</w:t>
            </w:r>
            <w:r w:rsidRPr="00017700">
              <w:t xml:space="preserve"> 6.8.2.</w:t>
            </w:r>
            <w:r>
              <w:t>2.2 и </w:t>
            </w:r>
            <w:r w:rsidRPr="00017700">
              <w:t>6.8.2.</w:t>
            </w:r>
            <w:r>
              <w:t>3.</w:t>
            </w:r>
            <w:r w:rsidRPr="00017700">
              <w:t>1</w:t>
            </w:r>
          </w:p>
        </w:tc>
        <w:tc>
          <w:tcPr>
            <w:tcW w:w="1629" w:type="dxa"/>
            <w:tcMar>
              <w:left w:w="43" w:type="dxa"/>
              <w:right w:w="43" w:type="dxa"/>
            </w:tcMar>
          </w:tcPr>
          <w:p w:rsidR="00B31FDA" w:rsidRDefault="00B31FDA" w:rsidP="00B31FDA">
            <w:pPr>
              <w:spacing w:before="40" w:after="80"/>
            </w:pPr>
            <w:r w:rsidRPr="00017700">
              <w:t>До дальнейшего указания</w:t>
            </w:r>
          </w:p>
        </w:tc>
        <w:tc>
          <w:tcPr>
            <w:tcW w:w="592" w:type="dxa"/>
            <w:tcMar>
              <w:left w:w="43" w:type="dxa"/>
              <w:right w:w="43" w:type="dxa"/>
            </w:tcMar>
          </w:tcPr>
          <w:p w:rsidR="00B31FDA" w:rsidRDefault="00B31FDA" w:rsidP="00B31FDA">
            <w:pPr>
              <w:spacing w:before="40" w:after="80"/>
            </w:pPr>
          </w:p>
        </w:tc>
      </w:tr>
    </w:tbl>
    <w:p w:rsidR="00A97F45" w:rsidRPr="00A97F45" w:rsidRDefault="00B31FDA" w:rsidP="0032017C">
      <w:pPr>
        <w:pStyle w:val="SingleTxt"/>
        <w:tabs>
          <w:tab w:val="left" w:pos="10035"/>
        </w:tabs>
        <w:ind w:right="47"/>
        <w:jc w:val="right"/>
      </w:pPr>
      <w:r>
        <w:t>»</w:t>
      </w:r>
    </w:p>
    <w:p w:rsidR="00386DD4" w:rsidRPr="00386DD4" w:rsidRDefault="00386DD4" w:rsidP="00386DD4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 xml:space="preserve">Для стандарта </w:t>
      </w:r>
      <w:r w:rsidR="00D47C74">
        <w:t>«</w:t>
      </w:r>
      <w:r w:rsidRPr="00A97F45">
        <w:t>EN 14433:2006</w:t>
      </w:r>
      <w:r w:rsidR="00D47C74">
        <w:t>»</w:t>
      </w:r>
      <w:r w:rsidRPr="00A97F45">
        <w:t xml:space="preserve"> в колонке 4 заменить </w:t>
      </w:r>
      <w:r w:rsidR="00D47C74">
        <w:t>«</w:t>
      </w:r>
      <w:r w:rsidRPr="00A97F45">
        <w:t>До дальнейшего указ</w:t>
      </w:r>
      <w:r w:rsidRPr="00A97F45">
        <w:t>а</w:t>
      </w:r>
      <w:r w:rsidRPr="00A97F45">
        <w:t>ния</w:t>
      </w:r>
      <w:r w:rsidR="00D47C74">
        <w:t>»</w:t>
      </w:r>
      <w:r w:rsidRPr="00A97F45">
        <w:t xml:space="preserve"> </w:t>
      </w:r>
      <w:proofErr w:type="gramStart"/>
      <w:r w:rsidRPr="00A97F45">
        <w:t>на</w:t>
      </w:r>
      <w:proofErr w:type="gramEnd"/>
      <w:r w:rsidRPr="00A97F45">
        <w:t xml:space="preserve"> </w:t>
      </w:r>
      <w:r w:rsidR="00D47C74">
        <w:t>«</w:t>
      </w:r>
      <w:r w:rsidRPr="00A97F45">
        <w:t>С 1 января 2009 года до 31 декабря 2018 года</w:t>
      </w:r>
      <w:r w:rsidR="00D47C74">
        <w:t>»</w:t>
      </w:r>
      <w:r w:rsidRPr="00A97F45">
        <w:t>.</w:t>
      </w:r>
    </w:p>
    <w:p w:rsidR="00A97F45" w:rsidRDefault="00A97F45" w:rsidP="00A97F45">
      <w:pPr>
        <w:pStyle w:val="SingleTxt"/>
      </w:pPr>
      <w:r w:rsidRPr="00A97F45">
        <w:t xml:space="preserve">После стандарта </w:t>
      </w:r>
      <w:r w:rsidR="00D47C74">
        <w:t>«</w:t>
      </w:r>
      <w:r w:rsidRPr="00A97F45">
        <w:t>EN 14433:2006</w:t>
      </w:r>
      <w:r w:rsidR="00D47C74">
        <w:t>»</w:t>
      </w:r>
      <w:r w:rsidRPr="00A97F45">
        <w:t xml:space="preserve"> включить следующий новый стандарт:</w:t>
      </w:r>
    </w:p>
    <w:p w:rsidR="00386DD4" w:rsidRPr="00386DD4" w:rsidRDefault="00386DD4" w:rsidP="00386DD4">
      <w:pPr>
        <w:pStyle w:val="SingleTxt"/>
        <w:spacing w:after="0" w:line="120" w:lineRule="exact"/>
        <w:rPr>
          <w:sz w:val="10"/>
        </w:rPr>
      </w:pPr>
    </w:p>
    <w:p w:rsidR="00A97F45" w:rsidRDefault="00D47C74" w:rsidP="00A97F45">
      <w:pPr>
        <w:pStyle w:val="SingleTxt"/>
        <w:rPr>
          <w:lang w:val="en-US"/>
        </w:rPr>
      </w:pPr>
      <w:r>
        <w:t>«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782"/>
        <w:gridCol w:w="3726"/>
        <w:gridCol w:w="1062"/>
        <w:gridCol w:w="1602"/>
        <w:gridCol w:w="531"/>
      </w:tblGrid>
      <w:tr w:rsidR="009D4741" w:rsidTr="009D4741">
        <w:tc>
          <w:tcPr>
            <w:tcW w:w="1782" w:type="dxa"/>
            <w:tcMar>
              <w:left w:w="43" w:type="dxa"/>
              <w:right w:w="43" w:type="dxa"/>
            </w:tcMar>
          </w:tcPr>
          <w:p w:rsidR="009D4741" w:rsidRDefault="009D4741" w:rsidP="00064759">
            <w:pPr>
              <w:spacing w:before="40" w:after="80"/>
              <w:jc w:val="center"/>
            </w:pPr>
            <w:r w:rsidRPr="00017700">
              <w:t>(1)</w:t>
            </w:r>
          </w:p>
        </w:tc>
        <w:tc>
          <w:tcPr>
            <w:tcW w:w="3726" w:type="dxa"/>
            <w:tcMar>
              <w:left w:w="43" w:type="dxa"/>
              <w:right w:w="43" w:type="dxa"/>
            </w:tcMar>
          </w:tcPr>
          <w:p w:rsidR="009D4741" w:rsidRDefault="009D4741" w:rsidP="00064759">
            <w:pPr>
              <w:spacing w:before="40" w:after="80"/>
              <w:jc w:val="center"/>
            </w:pPr>
            <w:r w:rsidRPr="00017700">
              <w:t>(2)</w:t>
            </w:r>
          </w:p>
        </w:tc>
        <w:tc>
          <w:tcPr>
            <w:tcW w:w="1062" w:type="dxa"/>
            <w:tcMar>
              <w:left w:w="43" w:type="dxa"/>
              <w:right w:w="43" w:type="dxa"/>
            </w:tcMar>
          </w:tcPr>
          <w:p w:rsidR="009D4741" w:rsidRDefault="009D4741" w:rsidP="00064759">
            <w:pPr>
              <w:spacing w:before="40" w:after="80"/>
              <w:jc w:val="center"/>
            </w:pPr>
            <w:r w:rsidRPr="00017700">
              <w:t>(3)</w:t>
            </w:r>
          </w:p>
        </w:tc>
        <w:tc>
          <w:tcPr>
            <w:tcW w:w="1602" w:type="dxa"/>
            <w:tcMar>
              <w:left w:w="43" w:type="dxa"/>
              <w:right w:w="43" w:type="dxa"/>
            </w:tcMar>
          </w:tcPr>
          <w:p w:rsidR="009D4741" w:rsidRDefault="009D4741" w:rsidP="00064759">
            <w:pPr>
              <w:spacing w:before="40" w:after="80"/>
              <w:jc w:val="center"/>
            </w:pPr>
            <w:r w:rsidRPr="00017700">
              <w:t>(4)</w:t>
            </w:r>
          </w:p>
        </w:tc>
        <w:tc>
          <w:tcPr>
            <w:tcW w:w="531" w:type="dxa"/>
            <w:tcMar>
              <w:left w:w="43" w:type="dxa"/>
              <w:right w:w="43" w:type="dxa"/>
            </w:tcMar>
          </w:tcPr>
          <w:p w:rsidR="009D4741" w:rsidRDefault="009D4741" w:rsidP="00064759">
            <w:pPr>
              <w:spacing w:before="40" w:after="80"/>
              <w:jc w:val="center"/>
            </w:pPr>
            <w:r w:rsidRPr="00017700">
              <w:t>(5)</w:t>
            </w:r>
          </w:p>
        </w:tc>
      </w:tr>
      <w:tr w:rsidR="009D4741" w:rsidTr="009D4741">
        <w:tc>
          <w:tcPr>
            <w:tcW w:w="1782" w:type="dxa"/>
            <w:tcMar>
              <w:left w:w="43" w:type="dxa"/>
              <w:right w:w="43" w:type="dxa"/>
            </w:tcMar>
          </w:tcPr>
          <w:p w:rsidR="009D4741" w:rsidRDefault="009D4741" w:rsidP="009D4741">
            <w:pPr>
              <w:spacing w:before="40" w:after="80"/>
            </w:pPr>
            <w:r w:rsidRPr="00017700">
              <w:t>EN 1</w:t>
            </w:r>
            <w:r>
              <w:t>4433</w:t>
            </w:r>
            <w:r w:rsidRPr="00017700">
              <w:t>:2014</w:t>
            </w:r>
          </w:p>
        </w:tc>
        <w:tc>
          <w:tcPr>
            <w:tcW w:w="3726" w:type="dxa"/>
            <w:tcMar>
              <w:left w:w="43" w:type="dxa"/>
              <w:right w:w="43" w:type="dxa"/>
            </w:tcMar>
          </w:tcPr>
          <w:p w:rsidR="009D4741" w:rsidRPr="00270855" w:rsidRDefault="009D4741" w:rsidP="009D4741">
            <w:pPr>
              <w:spacing w:before="40" w:after="80"/>
              <w:rPr>
                <w:b/>
                <w:bCs/>
                <w:i/>
                <w:iCs/>
                <w:caps/>
                <w:sz w:val="18"/>
                <w:szCs w:val="18"/>
              </w:rPr>
            </w:pPr>
            <w:r w:rsidRPr="003934FE">
              <w:t>Цистерны для перевозки опасных гр</w:t>
            </w:r>
            <w:r w:rsidRPr="003934FE">
              <w:t>у</w:t>
            </w:r>
            <w:r w:rsidRPr="003934FE">
              <w:t xml:space="preserve">зов − </w:t>
            </w:r>
            <w:r w:rsidRPr="00FA4F08">
              <w:t>Оборудование цистерн для пер</w:t>
            </w:r>
            <w:r w:rsidRPr="00FA4F08">
              <w:t>е</w:t>
            </w:r>
            <w:r w:rsidRPr="00FA4F08">
              <w:t>возки жидких химических веществ и сжиженных газов − Нижние клапаны</w:t>
            </w:r>
            <w:r w:rsidRPr="00914151">
              <w:rPr>
                <w:b/>
                <w:bCs/>
                <w:i/>
                <w:iCs/>
                <w:caps/>
                <w:sz w:val="18"/>
                <w:szCs w:val="18"/>
              </w:rPr>
              <w:t xml:space="preserve"> </w:t>
            </w:r>
          </w:p>
          <w:p w:rsidR="009D4741" w:rsidRPr="00064759" w:rsidRDefault="009D4741" w:rsidP="009D4741">
            <w:pPr>
              <w:spacing w:before="40" w:after="80"/>
              <w:rPr>
                <w:szCs w:val="20"/>
              </w:rPr>
            </w:pPr>
            <w:r w:rsidRPr="00064759">
              <w:rPr>
                <w:b/>
                <w:bCs/>
                <w:i/>
                <w:iCs/>
                <w:caps/>
                <w:szCs w:val="20"/>
              </w:rPr>
              <w:t>ПРИМЕЧАНИЕ:</w:t>
            </w:r>
            <w:r w:rsidRPr="00064759">
              <w:rPr>
                <w:szCs w:val="20"/>
              </w:rPr>
              <w:t xml:space="preserve"> </w:t>
            </w:r>
            <w:r w:rsidRPr="00064759">
              <w:rPr>
                <w:i/>
                <w:iCs/>
                <w:szCs w:val="20"/>
              </w:rPr>
              <w:t>Этот стандарт также может быть использован для цистерн с максимальным рабочим да</w:t>
            </w:r>
            <w:r w:rsidRPr="00064759">
              <w:rPr>
                <w:i/>
                <w:iCs/>
                <w:szCs w:val="20"/>
              </w:rPr>
              <w:t>в</w:t>
            </w:r>
            <w:r w:rsidRPr="00064759">
              <w:rPr>
                <w:i/>
                <w:iCs/>
                <w:szCs w:val="20"/>
              </w:rPr>
              <w:t xml:space="preserve">лением не более 0,5 бар. </w:t>
            </w:r>
          </w:p>
        </w:tc>
        <w:tc>
          <w:tcPr>
            <w:tcW w:w="1062" w:type="dxa"/>
            <w:tcMar>
              <w:left w:w="43" w:type="dxa"/>
              <w:right w:w="43" w:type="dxa"/>
            </w:tcMar>
          </w:tcPr>
          <w:p w:rsidR="009D4741" w:rsidRDefault="009D4741" w:rsidP="009D4741">
            <w:pPr>
              <w:spacing w:before="40" w:after="80"/>
            </w:pPr>
            <w:r w:rsidRPr="00017700">
              <w:t>6.8.2.</w:t>
            </w:r>
            <w:r>
              <w:t>2.</w:t>
            </w:r>
            <w:r w:rsidRPr="00017700">
              <w:t>1</w:t>
            </w:r>
            <w:r>
              <w:t>,</w:t>
            </w:r>
            <w:r w:rsidRPr="00017700">
              <w:t xml:space="preserve"> 6.8.2.</w:t>
            </w:r>
            <w:r>
              <w:t xml:space="preserve">2.2 и </w:t>
            </w:r>
            <w:r w:rsidRPr="00017700">
              <w:t>6.8.2.</w:t>
            </w:r>
            <w:r>
              <w:t>3.</w:t>
            </w:r>
            <w:r w:rsidRPr="00017700">
              <w:t>1</w:t>
            </w:r>
          </w:p>
        </w:tc>
        <w:tc>
          <w:tcPr>
            <w:tcW w:w="1602" w:type="dxa"/>
            <w:tcMar>
              <w:left w:w="43" w:type="dxa"/>
              <w:right w:w="43" w:type="dxa"/>
            </w:tcMar>
          </w:tcPr>
          <w:p w:rsidR="009D4741" w:rsidRDefault="009D4741" w:rsidP="009D4741">
            <w:pPr>
              <w:spacing w:before="40" w:after="80"/>
            </w:pPr>
            <w:r w:rsidRPr="00017700">
              <w:t>До дальнейшего указания</w:t>
            </w:r>
          </w:p>
        </w:tc>
        <w:tc>
          <w:tcPr>
            <w:tcW w:w="531" w:type="dxa"/>
            <w:tcMar>
              <w:left w:w="43" w:type="dxa"/>
              <w:right w:w="43" w:type="dxa"/>
            </w:tcMar>
          </w:tcPr>
          <w:p w:rsidR="009D4741" w:rsidRDefault="009D4741" w:rsidP="009D4741">
            <w:pPr>
              <w:spacing w:before="40" w:after="80"/>
            </w:pPr>
          </w:p>
        </w:tc>
      </w:tr>
    </w:tbl>
    <w:p w:rsidR="00A97F45" w:rsidRPr="00A97F45" w:rsidRDefault="00F6061B" w:rsidP="0032017C">
      <w:pPr>
        <w:pStyle w:val="SingleTxt"/>
        <w:tabs>
          <w:tab w:val="left" w:pos="10035"/>
        </w:tabs>
        <w:ind w:right="47"/>
        <w:jc w:val="right"/>
      </w:pPr>
      <w:r>
        <w:t>»</w:t>
      </w:r>
    </w:p>
    <w:p w:rsidR="00386DD4" w:rsidRPr="00386DD4" w:rsidRDefault="00386DD4" w:rsidP="00386DD4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 xml:space="preserve">(Только ДОПОГ) </w:t>
      </w:r>
    </w:p>
    <w:p w:rsidR="00A97F45" w:rsidRDefault="00A97F45" w:rsidP="00A97F45">
      <w:pPr>
        <w:pStyle w:val="SingleTxt"/>
      </w:pPr>
      <w:r w:rsidRPr="00A97F45">
        <w:t xml:space="preserve">Для стандарта </w:t>
      </w:r>
      <w:r w:rsidR="00D47C74">
        <w:t>«</w:t>
      </w:r>
      <w:r w:rsidRPr="00A97F45">
        <w:t>EN 12252:2005 + A1:2008</w:t>
      </w:r>
      <w:r w:rsidR="00D47C74">
        <w:t>»</w:t>
      </w:r>
      <w:r w:rsidRPr="00A97F45">
        <w:t xml:space="preserve"> в колонке 4 заменить </w:t>
      </w:r>
      <w:r w:rsidR="00D47C74">
        <w:t>«</w:t>
      </w:r>
      <w:r w:rsidRPr="00A97F45">
        <w:t>До дальнейш</w:t>
      </w:r>
      <w:r w:rsidRPr="00A97F45">
        <w:t>е</w:t>
      </w:r>
      <w:r w:rsidRPr="00A97F45">
        <w:t>го указания</w:t>
      </w:r>
      <w:r w:rsidR="00D47C74">
        <w:t>»</w:t>
      </w:r>
      <w:r w:rsidRPr="00A97F45">
        <w:t xml:space="preserve"> </w:t>
      </w:r>
      <w:proofErr w:type="gramStart"/>
      <w:r w:rsidRPr="00A97F45">
        <w:t>на</w:t>
      </w:r>
      <w:proofErr w:type="gramEnd"/>
      <w:r w:rsidRPr="00A97F45">
        <w:t xml:space="preserve"> </w:t>
      </w:r>
      <w:r w:rsidR="00D47C74">
        <w:t>«</w:t>
      </w:r>
      <w:r w:rsidRPr="00A97F45">
        <w:t>С 1 января 2011 года до 31 декабря 2018 года</w:t>
      </w:r>
      <w:r w:rsidR="00D47C74">
        <w:t>»</w:t>
      </w:r>
      <w:r w:rsidRPr="00A97F45">
        <w:t>.</w:t>
      </w:r>
    </w:p>
    <w:p w:rsidR="00386DD4" w:rsidRPr="00A97F45" w:rsidRDefault="00386DD4" w:rsidP="00A97F45">
      <w:pPr>
        <w:pStyle w:val="SingleTxt"/>
      </w:pPr>
      <w:r w:rsidRPr="00386DD4">
        <w:t xml:space="preserve">После стандарта </w:t>
      </w:r>
      <w:r w:rsidR="00D47C74">
        <w:t>«</w:t>
      </w:r>
      <w:r w:rsidRPr="00386DD4">
        <w:t>EN 12252:2005 + A1:2008</w:t>
      </w:r>
      <w:r w:rsidR="00D47C74">
        <w:t>»</w:t>
      </w:r>
      <w:r w:rsidRPr="00386DD4">
        <w:t xml:space="preserve"> включить следующий новый ста</w:t>
      </w:r>
      <w:r w:rsidRPr="00386DD4">
        <w:t>н</w:t>
      </w:r>
      <w:r w:rsidRPr="00386DD4">
        <w:t>дарт:</w:t>
      </w:r>
    </w:p>
    <w:p w:rsidR="00386DD4" w:rsidRPr="00386DD4" w:rsidRDefault="00386DD4" w:rsidP="00386DD4">
      <w:pPr>
        <w:pStyle w:val="SingleTxt"/>
        <w:spacing w:after="0" w:line="120" w:lineRule="exact"/>
        <w:rPr>
          <w:sz w:val="10"/>
        </w:rPr>
      </w:pPr>
    </w:p>
    <w:p w:rsidR="00A97F45" w:rsidRDefault="00D47C74" w:rsidP="00A97F45">
      <w:pPr>
        <w:pStyle w:val="SingleTxt"/>
      </w:pPr>
      <w:r>
        <w:t>«</w:t>
      </w:r>
    </w:p>
    <w:tbl>
      <w:tblPr>
        <w:tblStyle w:val="TableGrid"/>
        <w:tblW w:w="0" w:type="auto"/>
        <w:tblInd w:w="1366" w:type="dxa"/>
        <w:tblLook w:val="04A0" w:firstRow="1" w:lastRow="0" w:firstColumn="1" w:lastColumn="0" w:noHBand="0" w:noVBand="1"/>
      </w:tblPr>
      <w:tblGrid>
        <w:gridCol w:w="1830"/>
        <w:gridCol w:w="3687"/>
        <w:gridCol w:w="1066"/>
        <w:gridCol w:w="1612"/>
        <w:gridCol w:w="562"/>
      </w:tblGrid>
      <w:tr w:rsidR="00B86EFE" w:rsidTr="00B86EFE">
        <w:tc>
          <w:tcPr>
            <w:tcW w:w="1830" w:type="dxa"/>
            <w:tcMar>
              <w:left w:w="43" w:type="dxa"/>
              <w:right w:w="43" w:type="dxa"/>
            </w:tcMar>
          </w:tcPr>
          <w:p w:rsidR="00B86EFE" w:rsidRDefault="00B86EFE" w:rsidP="009D4741">
            <w:pPr>
              <w:spacing w:before="40" w:after="80"/>
              <w:jc w:val="center"/>
            </w:pPr>
            <w:r>
              <w:t>(1)</w:t>
            </w:r>
          </w:p>
        </w:tc>
        <w:tc>
          <w:tcPr>
            <w:tcW w:w="3687" w:type="dxa"/>
            <w:tcMar>
              <w:left w:w="43" w:type="dxa"/>
              <w:right w:w="43" w:type="dxa"/>
            </w:tcMar>
          </w:tcPr>
          <w:p w:rsidR="00B86EFE" w:rsidRDefault="00B86EFE" w:rsidP="009D4741">
            <w:pPr>
              <w:spacing w:before="40" w:after="80"/>
              <w:jc w:val="center"/>
            </w:pPr>
            <w:r>
              <w:t>(2)</w:t>
            </w:r>
          </w:p>
        </w:tc>
        <w:tc>
          <w:tcPr>
            <w:tcW w:w="1066" w:type="dxa"/>
            <w:tcMar>
              <w:left w:w="43" w:type="dxa"/>
              <w:right w:w="43" w:type="dxa"/>
            </w:tcMar>
          </w:tcPr>
          <w:p w:rsidR="00B86EFE" w:rsidRDefault="00B86EFE" w:rsidP="009D4741">
            <w:pPr>
              <w:spacing w:before="40" w:after="80"/>
              <w:jc w:val="center"/>
            </w:pPr>
            <w:r>
              <w:t>(3)</w:t>
            </w:r>
          </w:p>
        </w:tc>
        <w:tc>
          <w:tcPr>
            <w:tcW w:w="1612" w:type="dxa"/>
            <w:tcMar>
              <w:left w:w="43" w:type="dxa"/>
              <w:right w:w="43" w:type="dxa"/>
            </w:tcMar>
          </w:tcPr>
          <w:p w:rsidR="00B86EFE" w:rsidRDefault="00B86EFE" w:rsidP="009D4741">
            <w:pPr>
              <w:spacing w:before="40" w:after="80"/>
              <w:jc w:val="center"/>
            </w:pPr>
            <w:r>
              <w:t>(4)</w:t>
            </w:r>
          </w:p>
        </w:tc>
        <w:tc>
          <w:tcPr>
            <w:tcW w:w="562" w:type="dxa"/>
            <w:tcMar>
              <w:left w:w="43" w:type="dxa"/>
              <w:right w:w="43" w:type="dxa"/>
            </w:tcMar>
          </w:tcPr>
          <w:p w:rsidR="00B86EFE" w:rsidRDefault="00B86EFE" w:rsidP="009D4741">
            <w:pPr>
              <w:spacing w:before="40" w:after="80"/>
              <w:jc w:val="center"/>
            </w:pPr>
            <w:r>
              <w:t>(5)</w:t>
            </w:r>
          </w:p>
        </w:tc>
      </w:tr>
      <w:tr w:rsidR="00B86EFE" w:rsidTr="00B86EFE">
        <w:tc>
          <w:tcPr>
            <w:tcW w:w="1830" w:type="dxa"/>
            <w:tcMar>
              <w:left w:w="43" w:type="dxa"/>
              <w:right w:w="43" w:type="dxa"/>
            </w:tcMar>
          </w:tcPr>
          <w:p w:rsidR="00B86EFE" w:rsidRDefault="00B86EFE" w:rsidP="00B86EFE">
            <w:pPr>
              <w:spacing w:before="40" w:after="80"/>
            </w:pPr>
            <w:r w:rsidRPr="005C5574">
              <w:t>EN 12252:2014</w:t>
            </w:r>
          </w:p>
        </w:tc>
        <w:tc>
          <w:tcPr>
            <w:tcW w:w="3687" w:type="dxa"/>
            <w:tcMar>
              <w:left w:w="43" w:type="dxa"/>
              <w:right w:w="43" w:type="dxa"/>
            </w:tcMar>
          </w:tcPr>
          <w:p w:rsidR="00B86EFE" w:rsidRDefault="00B86EFE" w:rsidP="00B86EFE">
            <w:pPr>
              <w:spacing w:before="40" w:after="80"/>
            </w:pPr>
            <w:r>
              <w:t>Оборудование и вспомогательные пр</w:t>
            </w:r>
            <w:r>
              <w:t>и</w:t>
            </w:r>
            <w:r>
              <w:t xml:space="preserve">способления для СНГ – </w:t>
            </w:r>
            <w:r w:rsidRPr="005C5574">
              <w:t>Оборудование автоцистерн для СНГ</w:t>
            </w:r>
          </w:p>
          <w:p w:rsidR="00B86EFE" w:rsidRDefault="00B86EFE" w:rsidP="0047036A">
            <w:pPr>
              <w:spacing w:before="40" w:after="80"/>
            </w:pPr>
            <w:r w:rsidRPr="00B86EFE">
              <w:rPr>
                <w:b/>
                <w:i/>
              </w:rPr>
              <w:t>ПРИМЕЧАНИЕ</w:t>
            </w:r>
            <w:r w:rsidRPr="00B86EFE">
              <w:rPr>
                <w:i/>
              </w:rPr>
              <w:t>: "Автоцистерны" следует понимать как "встроенные цистерны" и "съемные цистерны" по</w:t>
            </w:r>
            <w:r>
              <w:rPr>
                <w:i/>
              </w:rPr>
              <w:t> </w:t>
            </w:r>
            <w:r w:rsidRPr="00B86EFE">
              <w:rPr>
                <w:i/>
              </w:rPr>
              <w:t>смыслу ДОПОГ.</w:t>
            </w:r>
          </w:p>
        </w:tc>
        <w:tc>
          <w:tcPr>
            <w:tcW w:w="1066" w:type="dxa"/>
            <w:tcMar>
              <w:left w:w="43" w:type="dxa"/>
              <w:right w:w="43" w:type="dxa"/>
            </w:tcMar>
          </w:tcPr>
          <w:p w:rsidR="00B86EFE" w:rsidRDefault="00B86EFE" w:rsidP="00B86EFE">
            <w:pPr>
              <w:spacing w:before="40" w:after="80"/>
            </w:pPr>
            <w:r>
              <w:t>6.8.3.2 и 6.8.3.4.9</w:t>
            </w:r>
          </w:p>
        </w:tc>
        <w:tc>
          <w:tcPr>
            <w:tcW w:w="1612" w:type="dxa"/>
            <w:tcMar>
              <w:left w:w="43" w:type="dxa"/>
              <w:right w:w="43" w:type="dxa"/>
            </w:tcMar>
          </w:tcPr>
          <w:p w:rsidR="00B86EFE" w:rsidRDefault="00B86EFE" w:rsidP="00B86EFE">
            <w:pPr>
              <w:spacing w:before="40" w:after="80"/>
            </w:pPr>
            <w:r>
              <w:t>До дальнейшего указания</w:t>
            </w:r>
          </w:p>
        </w:tc>
        <w:tc>
          <w:tcPr>
            <w:tcW w:w="562" w:type="dxa"/>
            <w:tcMar>
              <w:left w:w="43" w:type="dxa"/>
              <w:right w:w="43" w:type="dxa"/>
            </w:tcMar>
          </w:tcPr>
          <w:p w:rsidR="00B86EFE" w:rsidRDefault="00B86EFE" w:rsidP="00B86EFE">
            <w:pPr>
              <w:spacing w:before="40" w:after="80"/>
            </w:pPr>
          </w:p>
        </w:tc>
      </w:tr>
    </w:tbl>
    <w:p w:rsidR="00B86EFE" w:rsidRPr="00A97F45" w:rsidRDefault="00B86EFE" w:rsidP="0032017C">
      <w:pPr>
        <w:pStyle w:val="SingleTxt"/>
        <w:tabs>
          <w:tab w:val="left" w:pos="10035"/>
        </w:tabs>
        <w:ind w:right="47"/>
        <w:jc w:val="right"/>
      </w:pPr>
      <w:r>
        <w:t>»</w:t>
      </w:r>
    </w:p>
    <w:p w:rsidR="00386DD4" w:rsidRPr="00386DD4" w:rsidRDefault="00386DD4" w:rsidP="00386DD4">
      <w:pPr>
        <w:pStyle w:val="SingleTxt"/>
        <w:spacing w:after="0" w:line="120" w:lineRule="exact"/>
        <w:rPr>
          <w:i/>
          <w:iCs/>
          <w:sz w:val="10"/>
        </w:rPr>
      </w:pPr>
    </w:p>
    <w:p w:rsidR="00A97F45" w:rsidRPr="00A97F45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INF.48)</w:t>
      </w:r>
    </w:p>
    <w:p w:rsidR="00A97F45" w:rsidRPr="00A97F45" w:rsidRDefault="00A97F45" w:rsidP="00A97F45">
      <w:pPr>
        <w:pStyle w:val="SingleTxt"/>
      </w:pPr>
      <w:r w:rsidRPr="00A97F45">
        <w:t>6.8.2.6.2</w:t>
      </w:r>
      <w:proofErr w:type="gramStart"/>
      <w:r w:rsidRPr="00A97F45">
        <w:tab/>
        <w:t>В</w:t>
      </w:r>
      <w:proofErr w:type="gramEnd"/>
      <w:r w:rsidRPr="00A97F45">
        <w:t xml:space="preserve"> конце первого подпункта исключить следующие слова </w:t>
      </w:r>
      <w:r w:rsidR="00D47C74">
        <w:t>«</w:t>
      </w:r>
      <w:r w:rsidRPr="00A97F45">
        <w:t>которые во всех случаях имеют преимущественную силу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</w:pPr>
      <w:r w:rsidRPr="00A97F45">
        <w:t xml:space="preserve">В конце первого подпункта добавить следующее предложение: </w:t>
      </w:r>
      <w:r w:rsidR="00D47C74">
        <w:t>«</w:t>
      </w:r>
      <w:r w:rsidRPr="00A97F45">
        <w:t>Стандарты пр</w:t>
      </w:r>
      <w:r w:rsidRPr="00A97F45">
        <w:t>и</w:t>
      </w:r>
      <w:r w:rsidRPr="00A97F45">
        <w:t>меняются в соответствии с разделом 1.1.5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INF.40)</w:t>
      </w:r>
    </w:p>
    <w:p w:rsidR="00A97F45" w:rsidRPr="00A97F45" w:rsidRDefault="00A97F45" w:rsidP="00A97F45">
      <w:pPr>
        <w:pStyle w:val="SingleTxt"/>
      </w:pPr>
      <w:r w:rsidRPr="00A97F45">
        <w:t>6.8.3.6 (только ДОПОГ)</w:t>
      </w:r>
      <w:r w:rsidRPr="00A97F45">
        <w:tab/>
        <w:t>Включить следующее первое предложение:</w:t>
      </w:r>
      <w:r w:rsidR="00B86EFE">
        <w:t xml:space="preserve"> «</w:t>
      </w:r>
      <w:r w:rsidRPr="00A97F45">
        <w:t>Свид</w:t>
      </w:r>
      <w:r w:rsidRPr="00A97F45">
        <w:t>е</w:t>
      </w:r>
      <w:r w:rsidRPr="00A97F45">
        <w:t>тельства об официальном утверждении типа выдаются в соответствии с разд</w:t>
      </w:r>
      <w:r w:rsidRPr="00A97F45">
        <w:t>е</w:t>
      </w:r>
      <w:r w:rsidRPr="00A97F45">
        <w:t>лом</w:t>
      </w:r>
      <w:r w:rsidR="00B86EFE">
        <w:t> </w:t>
      </w:r>
      <w:r w:rsidRPr="00A97F45">
        <w:t>1.8.7.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</w:pPr>
      <w:r w:rsidRPr="00A97F45">
        <w:t xml:space="preserve">Предложение </w:t>
      </w:r>
      <w:r w:rsidR="00D47C74">
        <w:t>«</w:t>
      </w:r>
      <w:r w:rsidRPr="00A97F45">
        <w:t>Во всех случаях требования главы 6.8, указанные в колонке 3, имеют преимущественную силу</w:t>
      </w:r>
      <w:proofErr w:type="gramStart"/>
      <w:r w:rsidRPr="00A97F45">
        <w:t>.</w:t>
      </w:r>
      <w:r w:rsidR="00D47C74">
        <w:t>»</w:t>
      </w:r>
      <w:r w:rsidRPr="00A97F45">
        <w:t xml:space="preserve"> </w:t>
      </w:r>
      <w:proofErr w:type="gramEnd"/>
      <w:r w:rsidRPr="00A97F45">
        <w:t xml:space="preserve">заменить следующим предложением: </w:t>
      </w:r>
      <w:r w:rsidR="00D47C74">
        <w:t>«</w:t>
      </w:r>
      <w:r w:rsidRPr="00A97F45">
        <w:t>Ста</w:t>
      </w:r>
      <w:r w:rsidRPr="00A97F45">
        <w:t>н</w:t>
      </w:r>
      <w:r w:rsidRPr="00A97F45">
        <w:t>дарты применяются в соответствии с разделом 1.1.5</w:t>
      </w:r>
      <w:r w:rsidR="0047036A">
        <w:t>.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INF.40)</w:t>
      </w:r>
    </w:p>
    <w:p w:rsidR="00A97F45" w:rsidRPr="00A97F45" w:rsidRDefault="00A97F45" w:rsidP="00A97F45">
      <w:pPr>
        <w:pStyle w:val="SingleTxt"/>
      </w:pPr>
      <w:r w:rsidRPr="00A97F45">
        <w:t>6.8.4, TT 11 (только ДОПОГ)</w:t>
      </w:r>
      <w:r w:rsidRPr="00A97F45">
        <w:tab/>
        <w:t xml:space="preserve">В подпункте после таблицы заменить </w:t>
      </w:r>
      <w:r w:rsidR="00D47C74">
        <w:t>«</w:t>
      </w:r>
      <w:r w:rsidRPr="00A97F45">
        <w:t>EN</w:t>
      </w:r>
      <w:r w:rsidR="00B86EFE">
        <w:t> </w:t>
      </w:r>
      <w:r w:rsidRPr="00A97F45">
        <w:t>12493:2013</w:t>
      </w:r>
      <w:r w:rsidR="00D47C74">
        <w:t>»</w:t>
      </w:r>
      <w:r w:rsidRPr="00A97F45">
        <w:t xml:space="preserve"> на </w:t>
      </w:r>
      <w:r w:rsidR="00D47C74">
        <w:t>«</w:t>
      </w:r>
      <w:r w:rsidRPr="00A97F45">
        <w:t>EN 12493:2013 + A1:2014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INF.48)</w:t>
      </w:r>
    </w:p>
    <w:p w:rsidR="00DF0525" w:rsidRPr="00034F46" w:rsidRDefault="00DF0525" w:rsidP="00DF0525">
      <w:pPr>
        <w:pStyle w:val="SingleTxt"/>
        <w:spacing w:after="0" w:line="120" w:lineRule="exact"/>
        <w:rPr>
          <w:i/>
          <w:iCs/>
          <w:sz w:val="10"/>
        </w:rPr>
      </w:pPr>
    </w:p>
    <w:p w:rsidR="00A97F45" w:rsidRPr="00034F46" w:rsidRDefault="00DF0525" w:rsidP="00DF052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Pr="00034F46">
        <w:tab/>
      </w:r>
      <w:r w:rsidR="00A97F45" w:rsidRPr="00034F46">
        <w:t>Глава 6.12</w:t>
      </w:r>
    </w:p>
    <w:p w:rsidR="00DF0525" w:rsidRPr="00034F46" w:rsidRDefault="00DF0525" w:rsidP="00DF0525">
      <w:pPr>
        <w:pStyle w:val="SingleTxt"/>
        <w:spacing w:after="0" w:line="120" w:lineRule="exact"/>
        <w:rPr>
          <w:i/>
          <w:iCs/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6.12.3.1.3 (только ДОПОГ)</w:t>
      </w:r>
      <w:r w:rsidRPr="00A97F45">
        <w:tab/>
        <w:t xml:space="preserve">В таблице заменить </w:t>
      </w:r>
      <w:r w:rsidR="00D47C74">
        <w:t>«</w:t>
      </w:r>
      <w:r w:rsidRPr="00A97F45">
        <w:t xml:space="preserve">Нержавеющие </w:t>
      </w:r>
      <w:proofErr w:type="spellStart"/>
      <w:r w:rsidRPr="00A97F45">
        <w:t>аустенитные</w:t>
      </w:r>
      <w:proofErr w:type="spellEnd"/>
      <w:r w:rsidRPr="00A97F45">
        <w:t xml:space="preserve"> стали</w:t>
      </w:r>
      <w:r w:rsidR="00D47C74">
        <w:t>»</w:t>
      </w:r>
      <w:r w:rsidRPr="00A97F45">
        <w:t xml:space="preserve"> на </w:t>
      </w:r>
      <w:r w:rsidR="00D47C74">
        <w:t>«</w:t>
      </w:r>
      <w:proofErr w:type="spellStart"/>
      <w:r w:rsidRPr="00A97F45">
        <w:t>Аустенитные</w:t>
      </w:r>
      <w:proofErr w:type="spellEnd"/>
      <w:r w:rsidRPr="00A97F45">
        <w:t xml:space="preserve"> нержавеющие стали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INF.50)</w:t>
      </w:r>
    </w:p>
    <w:p w:rsidR="00A97F45" w:rsidRPr="00A97F45" w:rsidRDefault="00A97F45" w:rsidP="00A97F45">
      <w:pPr>
        <w:pStyle w:val="SingleTxt"/>
      </w:pPr>
      <w:r w:rsidRPr="00A97F45">
        <w:t>6.12.3.2.3 (только ДОПОГ)</w:t>
      </w:r>
      <w:r w:rsidRPr="00A97F45">
        <w:tab/>
        <w:t xml:space="preserve">В таблице заменить </w:t>
      </w:r>
      <w:r w:rsidR="00D47C74">
        <w:t>«</w:t>
      </w:r>
      <w:r w:rsidRPr="00A97F45">
        <w:t xml:space="preserve">Нержавеющие </w:t>
      </w:r>
      <w:proofErr w:type="spellStart"/>
      <w:r w:rsidRPr="00A97F45">
        <w:t>аустенитные</w:t>
      </w:r>
      <w:proofErr w:type="spellEnd"/>
      <w:r w:rsidRPr="00A97F45">
        <w:t xml:space="preserve"> стали</w:t>
      </w:r>
      <w:r w:rsidR="00D47C74">
        <w:t>»</w:t>
      </w:r>
      <w:r w:rsidRPr="00A97F45">
        <w:t xml:space="preserve"> на </w:t>
      </w:r>
      <w:r w:rsidR="00D47C74">
        <w:t>«</w:t>
      </w:r>
      <w:proofErr w:type="spellStart"/>
      <w:r w:rsidRPr="00A97F45">
        <w:t>Аустенитные</w:t>
      </w:r>
      <w:proofErr w:type="spellEnd"/>
      <w:r w:rsidRPr="00A97F45">
        <w:t xml:space="preserve"> нержавеющие стали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INF.50)</w:t>
      </w:r>
    </w:p>
    <w:p w:rsidR="00DF0525" w:rsidRPr="00034F46" w:rsidRDefault="00DF0525" w:rsidP="00DF0525">
      <w:pPr>
        <w:pStyle w:val="SingleTxt"/>
        <w:spacing w:after="0" w:line="120" w:lineRule="exact"/>
        <w:rPr>
          <w:i/>
          <w:iCs/>
          <w:sz w:val="10"/>
        </w:rPr>
      </w:pPr>
    </w:p>
    <w:p w:rsidR="00A97F45" w:rsidRPr="00DF0525" w:rsidRDefault="00DF0525" w:rsidP="00DF052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Pr="00034F46">
        <w:tab/>
      </w:r>
      <w:r w:rsidR="00A97F45" w:rsidRPr="00DF0525">
        <w:t>Глава 7.5</w:t>
      </w:r>
    </w:p>
    <w:p w:rsidR="00DF0525" w:rsidRPr="00034F46" w:rsidRDefault="00DF0525" w:rsidP="00DF0525">
      <w:pPr>
        <w:pStyle w:val="SingleTxt"/>
        <w:spacing w:after="0" w:line="120" w:lineRule="exact"/>
        <w:rPr>
          <w:i/>
          <w:iCs/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7.5.2.1</w:t>
      </w:r>
      <w:r w:rsidRPr="00A97F45">
        <w:tab/>
        <w:t>Существующее примечание становится примечанием 1. Включить н</w:t>
      </w:r>
      <w:r w:rsidRPr="00A97F45">
        <w:t>о</w:t>
      </w:r>
      <w:r w:rsidRPr="00A97F45">
        <w:t>вое примечание 2 следующего содержания:</w:t>
      </w:r>
    </w:p>
    <w:p w:rsidR="00A97F45" w:rsidRPr="00A97F45" w:rsidRDefault="00D47C74" w:rsidP="00A97F45">
      <w:pPr>
        <w:pStyle w:val="SingleTxt"/>
        <w:rPr>
          <w:i/>
          <w:iCs/>
        </w:rPr>
      </w:pPr>
      <w:r>
        <w:rPr>
          <w:i/>
          <w:iCs/>
        </w:rPr>
        <w:t>«</w:t>
      </w:r>
      <w:r w:rsidR="00A97F45" w:rsidRPr="00A97F45">
        <w:rPr>
          <w:b/>
          <w:bCs/>
          <w:i/>
          <w:iCs/>
        </w:rPr>
        <w:t>ПРИМЕЧАНИЕ 2</w:t>
      </w:r>
      <w:r w:rsidR="00A97F45" w:rsidRPr="00A97F45">
        <w:rPr>
          <w:i/>
          <w:iCs/>
        </w:rPr>
        <w:t>: В случае упаковок, содержащих вещества или изделия только класса 1 и имеющих знаки опасности образца № 1, 1.4, 1.5 или 1.6, нез</w:t>
      </w:r>
      <w:r w:rsidR="00A97F45" w:rsidRPr="00A97F45">
        <w:rPr>
          <w:i/>
          <w:iCs/>
        </w:rPr>
        <w:t>а</w:t>
      </w:r>
      <w:r w:rsidR="00A97F45" w:rsidRPr="00A97F45">
        <w:rPr>
          <w:i/>
          <w:iCs/>
        </w:rPr>
        <w:t>висимо от каких-либо других знаков опасности, предписанных для этих упаковок, совместная погрузка допускается в соответствии с пунктом 7.5.2.2. Таблица в пункте 7.5.2.1 применяется только в том случае, если осуществляется совмес</w:t>
      </w:r>
      <w:r w:rsidR="00A97F45" w:rsidRPr="00A97F45">
        <w:rPr>
          <w:i/>
          <w:iCs/>
        </w:rPr>
        <w:t>т</w:t>
      </w:r>
      <w:r w:rsidR="00A97F45" w:rsidRPr="00A97F45">
        <w:rPr>
          <w:i/>
          <w:iCs/>
        </w:rPr>
        <w:t>ная погрузка таких упаковок с упаковками, содержащими веще</w:t>
      </w:r>
      <w:r w:rsidR="00B86EFE">
        <w:rPr>
          <w:i/>
          <w:iCs/>
        </w:rPr>
        <w:t>ства или изделия других классов</w:t>
      </w:r>
      <w:proofErr w:type="gramStart"/>
      <w:r w:rsidR="0032017C">
        <w:rPr>
          <w:i/>
          <w:iCs/>
        </w:rPr>
        <w:t>.</w:t>
      </w:r>
      <w:r w:rsidR="00B86EFE">
        <w:rPr>
          <w:i/>
          <w:iCs/>
        </w:rPr>
        <w:t>».</w:t>
      </w:r>
      <w:proofErr w:type="gramEnd"/>
    </w:p>
    <w:p w:rsidR="00A97F45" w:rsidRPr="00034F46" w:rsidRDefault="00A97F45" w:rsidP="00A97F45">
      <w:pPr>
        <w:pStyle w:val="SingleTxt"/>
        <w:rPr>
          <w:i/>
          <w:iCs/>
        </w:rPr>
      </w:pPr>
      <w:proofErr w:type="gramStart"/>
      <w:r w:rsidRPr="00A97F45">
        <w:rPr>
          <w:i/>
          <w:iCs/>
        </w:rPr>
        <w:t>(Справочный документ:</w:t>
      </w:r>
      <w:proofErr w:type="gramEnd"/>
      <w:r w:rsidRPr="00A97F45">
        <w:rPr>
          <w:i/>
          <w:iCs/>
        </w:rPr>
        <w:t xml:space="preserve"> </w:t>
      </w:r>
      <w:proofErr w:type="gramStart"/>
      <w:r w:rsidRPr="00A97F45">
        <w:rPr>
          <w:i/>
          <w:iCs/>
        </w:rPr>
        <w:t>ECE/TRANS/WP.15/AC.1/2015/2 + INF.44 с поправками)</w:t>
      </w:r>
      <w:proofErr w:type="gramEnd"/>
    </w:p>
    <w:p w:rsidR="00DF0525" w:rsidRPr="00034F46" w:rsidRDefault="00DF0525" w:rsidP="00DF0525">
      <w:pPr>
        <w:pStyle w:val="SingleTxt"/>
        <w:spacing w:after="0" w:line="120" w:lineRule="exact"/>
        <w:rPr>
          <w:i/>
          <w:iCs/>
          <w:sz w:val="10"/>
        </w:rPr>
      </w:pPr>
    </w:p>
    <w:p w:rsidR="00A97F45" w:rsidRPr="00DF0525" w:rsidRDefault="00DF0525" w:rsidP="00DF052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Pr="00034F46">
        <w:tab/>
      </w:r>
      <w:r w:rsidR="00A97F45" w:rsidRPr="00DF0525">
        <w:t>Глава 9.2</w:t>
      </w:r>
    </w:p>
    <w:p w:rsidR="00DF0525" w:rsidRPr="00034F46" w:rsidRDefault="00DF0525" w:rsidP="00DF0525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9.2.2.6.3 (только ДОПОГ)</w:t>
      </w:r>
      <w:r w:rsidRPr="00A97F45">
        <w:tab/>
      </w:r>
      <w:r w:rsidR="0032017C">
        <w:tab/>
      </w:r>
      <w:r w:rsidRPr="00A97F45">
        <w:t xml:space="preserve">В последнем предложении заменить </w:t>
      </w:r>
      <w:r w:rsidR="00D47C74">
        <w:t>«</w:t>
      </w:r>
      <w:r w:rsidRPr="00A97F45">
        <w:t>EN 15207:2006</w:t>
      </w:r>
      <w:r w:rsidR="00D47C74">
        <w:t>»</w:t>
      </w:r>
      <w:r w:rsidRPr="00A97F45">
        <w:t xml:space="preserve"> на </w:t>
      </w:r>
      <w:r w:rsidR="00D47C74">
        <w:t>«</w:t>
      </w:r>
      <w:r w:rsidRPr="00A97F45">
        <w:t>EN 15207:2014</w:t>
      </w:r>
      <w:r w:rsidR="00D47C74">
        <w:t>»</w:t>
      </w:r>
      <w:r w:rsidRPr="00A97F45">
        <w:t>.</w:t>
      </w:r>
    </w:p>
    <w:p w:rsidR="00A97F45" w:rsidRPr="00A97F45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INF.48)</w:t>
      </w:r>
    </w:p>
    <w:p w:rsidR="00A97F45" w:rsidRPr="00034F46" w:rsidRDefault="00DF0525" w:rsidP="00DF052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A97F45" w:rsidRPr="00A97F45">
        <w:lastRenderedPageBreak/>
        <w:t xml:space="preserve">Приложение </w:t>
      </w:r>
      <w:r w:rsidR="00A97F45" w:rsidRPr="00A97F45">
        <w:rPr>
          <w:lang w:val="en-US"/>
        </w:rPr>
        <w:t>III</w:t>
      </w:r>
    </w:p>
    <w:p w:rsidR="00DF0525" w:rsidRPr="00034F46" w:rsidRDefault="00DF0525" w:rsidP="00DF0525">
      <w:pPr>
        <w:pStyle w:val="SingleTxt"/>
        <w:spacing w:after="0" w:line="120" w:lineRule="exact"/>
        <w:rPr>
          <w:b/>
          <w:bCs/>
          <w:sz w:val="10"/>
        </w:rPr>
      </w:pPr>
    </w:p>
    <w:p w:rsidR="00DF0525" w:rsidRPr="00034F46" w:rsidRDefault="00DF0525" w:rsidP="00DF0525">
      <w:pPr>
        <w:pStyle w:val="SingleTxt"/>
        <w:spacing w:after="0" w:line="120" w:lineRule="exact"/>
        <w:rPr>
          <w:sz w:val="10"/>
        </w:rPr>
      </w:pPr>
    </w:p>
    <w:p w:rsidR="00A97F45" w:rsidRPr="00DF0525" w:rsidRDefault="00DF0525" w:rsidP="00DF052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Pr="00034F46">
        <w:tab/>
      </w:r>
      <w:r w:rsidR="00A97F45" w:rsidRPr="00A97F45">
        <w:t xml:space="preserve">Исправления к изданию МПОГ/ДОПОГ/ВОПОГ </w:t>
      </w:r>
      <w:r w:rsidRPr="00DF0525">
        <w:br/>
      </w:r>
      <w:r w:rsidR="00A97F45" w:rsidRPr="00A97F45">
        <w:t>2015 года</w:t>
      </w:r>
    </w:p>
    <w:p w:rsidR="00DF0525" w:rsidRPr="00DF0525" w:rsidRDefault="00DF0525" w:rsidP="00DF0525">
      <w:pPr>
        <w:pStyle w:val="SingleTxt"/>
        <w:spacing w:after="0" w:line="120" w:lineRule="exact"/>
        <w:rPr>
          <w:b/>
          <w:bCs/>
          <w:sz w:val="10"/>
        </w:rPr>
      </w:pPr>
    </w:p>
    <w:p w:rsidR="00DF0525" w:rsidRPr="00DF0525" w:rsidRDefault="00DF0525" w:rsidP="00DF0525">
      <w:pPr>
        <w:pStyle w:val="SingleTxt"/>
        <w:spacing w:after="0" w:line="120" w:lineRule="exact"/>
        <w:rPr>
          <w:b/>
          <w:bCs/>
          <w:sz w:val="10"/>
        </w:rPr>
      </w:pPr>
    </w:p>
    <w:p w:rsidR="00A97F45" w:rsidRPr="00034F46" w:rsidRDefault="00DF0525" w:rsidP="00DF052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F0525">
        <w:tab/>
      </w:r>
      <w:r w:rsidRPr="00DF0525">
        <w:tab/>
      </w:r>
      <w:r w:rsidR="00A97F45" w:rsidRPr="00A97F45">
        <w:t>Глава 2.2</w:t>
      </w:r>
    </w:p>
    <w:p w:rsidR="00DF0525" w:rsidRPr="00034F46" w:rsidRDefault="00DF0525" w:rsidP="00DF0525">
      <w:pPr>
        <w:pStyle w:val="SingleTxt"/>
        <w:spacing w:after="0" w:line="120" w:lineRule="exact"/>
        <w:rPr>
          <w:sz w:val="10"/>
        </w:rPr>
      </w:pPr>
    </w:p>
    <w:p w:rsidR="00A97F45" w:rsidRPr="00DF0525" w:rsidRDefault="00A97F45" w:rsidP="00A97F45">
      <w:pPr>
        <w:pStyle w:val="SingleTxt"/>
      </w:pPr>
      <w:r w:rsidRPr="00A97F45">
        <w:t>2.2.51.1.7</w:t>
      </w:r>
      <w:r w:rsidRPr="00A97F45">
        <w:tab/>
        <w:t>[Поправка в тексте на немецком языке не касается текста на русском языке.]</w:t>
      </w:r>
    </w:p>
    <w:p w:rsidR="00A97F45" w:rsidRPr="00A97F45" w:rsidRDefault="0032017C" w:rsidP="00A97F45">
      <w:pPr>
        <w:pStyle w:val="SingleTxt"/>
      </w:pPr>
      <w:r>
        <w:t xml:space="preserve">2.2.52.1.17 </w:t>
      </w:r>
      <w:r w:rsidR="00A97F45" w:rsidRPr="00A97F45">
        <w:t>(ДОПОГ/ВОПОГ)</w:t>
      </w:r>
      <w:r>
        <w:tab/>
      </w:r>
      <w:r w:rsidR="00A97F45" w:rsidRPr="00A97F45">
        <w:t xml:space="preserve">В примечании изменить </w:t>
      </w:r>
      <w:r w:rsidR="00D47C74">
        <w:t>«</w:t>
      </w:r>
      <w:r w:rsidR="00A97F45" w:rsidRPr="00A97F45">
        <w:t>Руководстве по испыт</w:t>
      </w:r>
      <w:r w:rsidR="00A97F45" w:rsidRPr="00A97F45">
        <w:t>а</w:t>
      </w:r>
      <w:r w:rsidR="00A97F45" w:rsidRPr="00A97F45">
        <w:t>ниям и критериям, часть II, разделы 20 и 28.4</w:t>
      </w:r>
      <w:r w:rsidR="00D47C74">
        <w:t>»</w:t>
      </w:r>
      <w:r w:rsidR="00A97F45" w:rsidRPr="00A97F45">
        <w:t xml:space="preserve"> следующим образом: </w:t>
      </w:r>
      <w:r w:rsidR="00D47C74">
        <w:t>«</w:t>
      </w:r>
      <w:proofErr w:type="gramStart"/>
      <w:r w:rsidR="00A97F45" w:rsidRPr="00A97F45">
        <w:t>Руково</w:t>
      </w:r>
      <w:r w:rsidR="00A97F45" w:rsidRPr="00A97F45">
        <w:t>д</w:t>
      </w:r>
      <w:r w:rsidR="00A97F45" w:rsidRPr="00A97F45">
        <w:t>стве</w:t>
      </w:r>
      <w:proofErr w:type="gramEnd"/>
      <w:r w:rsidR="00A97F45" w:rsidRPr="00A97F45">
        <w:t xml:space="preserve"> по испытаниям и критериям, часть II, раздел 20, и в испытаниях серии Е в разделе 25</w:t>
      </w:r>
      <w:r w:rsidR="00D47C74">
        <w:t>»</w:t>
      </w:r>
      <w:r w:rsidR="00A97F45" w:rsidRPr="00A97F45">
        <w:t>.</w:t>
      </w:r>
    </w:p>
    <w:p w:rsidR="00A97F45" w:rsidRPr="00034F46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INF.14)</w:t>
      </w:r>
    </w:p>
    <w:p w:rsidR="00DF0525" w:rsidRPr="00034F46" w:rsidRDefault="00DF0525" w:rsidP="00DF0525">
      <w:pPr>
        <w:pStyle w:val="SingleTxt"/>
        <w:spacing w:after="0" w:line="120" w:lineRule="exact"/>
        <w:rPr>
          <w:i/>
          <w:iCs/>
          <w:sz w:val="10"/>
        </w:rPr>
      </w:pPr>
    </w:p>
    <w:p w:rsidR="00A97F45" w:rsidRPr="00034F46" w:rsidRDefault="00DF0525" w:rsidP="00DF052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Pr="00034F46">
        <w:tab/>
      </w:r>
      <w:r w:rsidR="00A97F45" w:rsidRPr="00DF0525">
        <w:t>Глава 3.3</w:t>
      </w:r>
    </w:p>
    <w:p w:rsidR="00DF0525" w:rsidRPr="00034F46" w:rsidRDefault="00DF0525" w:rsidP="00DF0525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СП 529</w:t>
      </w:r>
      <w:r w:rsidRPr="00A97F45">
        <w:tab/>
        <w:t xml:space="preserve">Последнее предложение изменить следующим образом: </w:t>
      </w:r>
      <w:r w:rsidR="00D47C74">
        <w:t>«</w:t>
      </w:r>
      <w:r w:rsidRPr="00A97F45">
        <w:t>Хлорид рт</w:t>
      </w:r>
      <w:r w:rsidRPr="00A97F45">
        <w:t>у</w:t>
      </w:r>
      <w:r w:rsidRPr="00A97F45">
        <w:t>ти</w:t>
      </w:r>
      <w:r w:rsidR="00B86EFE">
        <w:t> </w:t>
      </w:r>
      <w:r w:rsidRPr="00A97F45">
        <w:t>I (каломель) является веществом класса 6.1 (№ ООН 2025).</w:t>
      </w:r>
      <w:r w:rsidR="00D47C74">
        <w:t>»</w:t>
      </w:r>
      <w:r w:rsidRPr="00A97F45">
        <w:t>.</w:t>
      </w:r>
    </w:p>
    <w:p w:rsidR="00A97F45" w:rsidRPr="00034F46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INF.14)</w:t>
      </w:r>
    </w:p>
    <w:p w:rsidR="00DF0525" w:rsidRPr="00034F46" w:rsidRDefault="00DF0525" w:rsidP="00DF0525">
      <w:pPr>
        <w:pStyle w:val="SingleTxt"/>
        <w:spacing w:after="0" w:line="120" w:lineRule="exact"/>
        <w:rPr>
          <w:i/>
          <w:iCs/>
          <w:sz w:val="10"/>
        </w:rPr>
      </w:pPr>
    </w:p>
    <w:p w:rsidR="00A97F45" w:rsidRPr="00034F46" w:rsidRDefault="00DF0525" w:rsidP="00DF052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34F46">
        <w:tab/>
      </w:r>
      <w:r w:rsidRPr="00034F46">
        <w:tab/>
      </w:r>
      <w:r w:rsidR="00A97F45" w:rsidRPr="00DF0525">
        <w:t>Глава 6.2</w:t>
      </w:r>
    </w:p>
    <w:p w:rsidR="00DF0525" w:rsidRPr="00034F46" w:rsidRDefault="00DF0525" w:rsidP="00DF0525">
      <w:pPr>
        <w:pStyle w:val="SingleTxt"/>
        <w:spacing w:after="0" w:line="120" w:lineRule="exact"/>
        <w:rPr>
          <w:sz w:val="10"/>
        </w:rPr>
      </w:pPr>
    </w:p>
    <w:p w:rsidR="00A97F45" w:rsidRPr="00A97F45" w:rsidRDefault="00A97F45" w:rsidP="00A97F45">
      <w:pPr>
        <w:pStyle w:val="SingleTxt"/>
      </w:pPr>
      <w:r w:rsidRPr="00A97F45">
        <w:t>6.2.2.4</w:t>
      </w:r>
      <w:proofErr w:type="gramStart"/>
      <w:r w:rsidRPr="00A97F45">
        <w:tab/>
        <w:t>В</w:t>
      </w:r>
      <w:proofErr w:type="gramEnd"/>
      <w:r w:rsidRPr="00A97F45">
        <w:t xml:space="preserve"> таблице изменить название последней колонки </w:t>
      </w:r>
      <w:r w:rsidR="00D47C74">
        <w:t>«</w:t>
      </w:r>
      <w:r w:rsidRPr="00A97F45">
        <w:t>Применяется в о</w:t>
      </w:r>
      <w:r w:rsidRPr="00A97F45">
        <w:t>т</w:t>
      </w:r>
      <w:r w:rsidRPr="00A97F45">
        <w:t>ношении изготовления</w:t>
      </w:r>
      <w:r w:rsidR="00D47C74">
        <w:t>»</w:t>
      </w:r>
      <w:r w:rsidRPr="00A97F45">
        <w:t xml:space="preserve"> следующим образом: </w:t>
      </w:r>
      <w:r w:rsidR="00D47C74">
        <w:t>«</w:t>
      </w:r>
      <w:r w:rsidRPr="00A97F45">
        <w:t>Применяется</w:t>
      </w:r>
      <w:r w:rsidR="00D47C74">
        <w:t>»</w:t>
      </w:r>
      <w:r w:rsidRPr="00A97F45">
        <w:t>.</w:t>
      </w:r>
    </w:p>
    <w:p w:rsidR="00A97F45" w:rsidRDefault="00A97F45" w:rsidP="00A97F45">
      <w:pPr>
        <w:pStyle w:val="SingleTxt"/>
        <w:rPr>
          <w:i/>
          <w:iCs/>
        </w:rPr>
      </w:pPr>
      <w:r w:rsidRPr="00A97F45">
        <w:rPr>
          <w:i/>
          <w:iCs/>
        </w:rPr>
        <w:t>(Справочный документ: неофициальный документ INF.14)</w:t>
      </w:r>
    </w:p>
    <w:p w:rsidR="00386DD4" w:rsidRPr="00386DD4" w:rsidRDefault="00386DD4" w:rsidP="00386DD4">
      <w:pPr>
        <w:pStyle w:val="SingleTxt"/>
        <w:spacing w:after="0" w:line="240" w:lineRule="auto"/>
        <w:rPr>
          <w:iCs/>
        </w:rPr>
      </w:pPr>
      <w:r>
        <w:rPr>
          <w:iCs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864D0" wp14:editId="229036DD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86DD4" w:rsidRPr="00386DD4" w:rsidSect="00822050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4T14:52:00Z" w:initials="Start">
    <w:p w:rsidR="00270855" w:rsidRPr="00F90812" w:rsidRDefault="00270855">
      <w:pPr>
        <w:pStyle w:val="CommentText"/>
        <w:rPr>
          <w:lang w:val="en-US"/>
        </w:rPr>
      </w:pPr>
      <w:r>
        <w:fldChar w:fldCharType="begin"/>
      </w:r>
      <w:r w:rsidRPr="00F90812">
        <w:rPr>
          <w:rStyle w:val="CommentReference"/>
          <w:lang w:val="en-US"/>
        </w:rPr>
        <w:instrText xml:space="preserve"> </w:instrText>
      </w:r>
      <w:r w:rsidRPr="00F90812">
        <w:rPr>
          <w:lang w:val="en-US"/>
        </w:rPr>
        <w:instrText>PAGE \# "'Page: '#'</w:instrText>
      </w:r>
      <w:r w:rsidRPr="00F90812">
        <w:rPr>
          <w:lang w:val="en-US"/>
        </w:rPr>
        <w:br/>
        <w:instrText>'"</w:instrText>
      </w:r>
      <w:r w:rsidRPr="00F90812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90812">
        <w:rPr>
          <w:lang w:val="en-US"/>
        </w:rPr>
        <w:t>&lt;&lt;ODS JOB NO&gt;&gt;N1509207R&lt;&lt;ODS JOB NO&gt;&gt;</w:t>
      </w:r>
    </w:p>
    <w:p w:rsidR="00270855" w:rsidRDefault="00270855">
      <w:pPr>
        <w:pStyle w:val="CommentText"/>
      </w:pPr>
      <w:r>
        <w:t>&lt;&lt;ODS DOC SYMBOL1&gt;&gt;ECE/TRANS/WP.15/AC.1/138&lt;&lt;ODS DOC SYMBOL1&gt;&gt;</w:t>
      </w:r>
    </w:p>
    <w:p w:rsidR="00270855" w:rsidRDefault="00270855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55" w:rsidRDefault="00270855" w:rsidP="008A1A7A">
      <w:pPr>
        <w:spacing w:line="240" w:lineRule="auto"/>
      </w:pPr>
      <w:r>
        <w:separator/>
      </w:r>
    </w:p>
  </w:endnote>
  <w:endnote w:type="continuationSeparator" w:id="0">
    <w:p w:rsidR="00270855" w:rsidRDefault="00270855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70855" w:rsidTr="0082205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70855" w:rsidRPr="00822050" w:rsidRDefault="00270855" w:rsidP="00822050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33F6F">
            <w:rPr>
              <w:noProof/>
            </w:rPr>
            <w:t>28</w:t>
          </w:r>
          <w:r>
            <w:fldChar w:fldCharType="end"/>
          </w:r>
          <w:r>
            <w:t>/</w:t>
          </w:r>
          <w:fldSimple w:instr=" NUMPAGES  \* Arabic  \* MERGEFORMAT ">
            <w:r w:rsidR="00E33F6F">
              <w:rPr>
                <w:noProof/>
              </w:rPr>
              <w:t>28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70855" w:rsidRPr="00822050" w:rsidRDefault="00270855" w:rsidP="00822050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33F6F">
            <w:rPr>
              <w:b w:val="0"/>
              <w:color w:val="000000"/>
              <w:sz w:val="14"/>
            </w:rPr>
            <w:t>GE.15-07218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70855" w:rsidRPr="00822050" w:rsidRDefault="00270855" w:rsidP="008220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70855" w:rsidTr="00822050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70855" w:rsidRPr="00822050" w:rsidRDefault="00270855" w:rsidP="00822050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33F6F">
            <w:rPr>
              <w:b w:val="0"/>
              <w:color w:val="000000"/>
              <w:sz w:val="14"/>
            </w:rPr>
            <w:t>GE.15-07218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70855" w:rsidRPr="00822050" w:rsidRDefault="00270855" w:rsidP="00822050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33F6F">
            <w:rPr>
              <w:noProof/>
            </w:rPr>
            <w:t>27</w:t>
          </w:r>
          <w:r>
            <w:fldChar w:fldCharType="end"/>
          </w:r>
          <w:r>
            <w:t>/</w:t>
          </w:r>
          <w:fldSimple w:instr=" NUMPAGES  \* Arabic  \* MERGEFORMAT ">
            <w:r w:rsidR="00E33F6F">
              <w:rPr>
                <w:noProof/>
              </w:rPr>
              <w:t>28</w:t>
            </w:r>
          </w:fldSimple>
        </w:p>
      </w:tc>
    </w:tr>
  </w:tbl>
  <w:p w:rsidR="00270855" w:rsidRPr="00822050" w:rsidRDefault="00270855" w:rsidP="008220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70855" w:rsidTr="00822050">
      <w:tc>
        <w:tcPr>
          <w:tcW w:w="3873" w:type="dxa"/>
        </w:tcPr>
        <w:p w:rsidR="00270855" w:rsidRDefault="00270855" w:rsidP="00822050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9C3E662" wp14:editId="2B6A041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13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13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GE.15-07218 (R)</w:t>
          </w:r>
          <w:r>
            <w:rPr>
              <w:color w:val="010000"/>
            </w:rPr>
            <w:t xml:space="preserve">    140815    1</w:t>
          </w:r>
          <w:r w:rsidR="008814A0">
            <w:rPr>
              <w:color w:val="010000"/>
            </w:rPr>
            <w:t>8</w:t>
          </w:r>
          <w:r>
            <w:rPr>
              <w:color w:val="010000"/>
            </w:rPr>
            <w:t>0815</w:t>
          </w:r>
        </w:p>
        <w:p w:rsidR="00270855" w:rsidRPr="00822050" w:rsidRDefault="00270855" w:rsidP="00822050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*1507218*</w:t>
          </w:r>
        </w:p>
      </w:tc>
      <w:tc>
        <w:tcPr>
          <w:tcW w:w="5127" w:type="dxa"/>
        </w:tcPr>
        <w:p w:rsidR="00270855" w:rsidRDefault="00270855" w:rsidP="00822050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D2C7D17" wp14:editId="4EC7A9C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0855" w:rsidRPr="00822050" w:rsidRDefault="00270855" w:rsidP="0082205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55" w:rsidRPr="00A97F45" w:rsidRDefault="00270855" w:rsidP="00A97F45">
      <w:pPr>
        <w:pStyle w:val="Footer"/>
        <w:spacing w:after="80"/>
        <w:ind w:left="792"/>
        <w:rPr>
          <w:sz w:val="16"/>
        </w:rPr>
      </w:pPr>
      <w:r w:rsidRPr="00A97F45">
        <w:rPr>
          <w:sz w:val="16"/>
        </w:rPr>
        <w:t>__________________</w:t>
      </w:r>
    </w:p>
  </w:footnote>
  <w:footnote w:type="continuationSeparator" w:id="0">
    <w:p w:rsidR="00270855" w:rsidRPr="00A97F45" w:rsidRDefault="00270855" w:rsidP="00A97F45">
      <w:pPr>
        <w:pStyle w:val="Footer"/>
        <w:spacing w:after="80"/>
        <w:ind w:left="792"/>
        <w:rPr>
          <w:sz w:val="16"/>
        </w:rPr>
      </w:pPr>
      <w:r w:rsidRPr="00A97F45">
        <w:rPr>
          <w:sz w:val="16"/>
        </w:rPr>
        <w:t>__________________</w:t>
      </w:r>
    </w:p>
  </w:footnote>
  <w:footnote w:type="continuationNotice" w:id="1">
    <w:p w:rsidR="00270855" w:rsidRPr="00F90812" w:rsidRDefault="00270855" w:rsidP="00F90812">
      <w:pPr>
        <w:pStyle w:val="Footer"/>
      </w:pPr>
    </w:p>
  </w:footnote>
  <w:footnote w:id="2">
    <w:p w:rsidR="00270855" w:rsidRPr="00F90812" w:rsidRDefault="00270855" w:rsidP="00A97F4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F90812">
        <w:tab/>
        <w:t xml:space="preserve">Распространено Межправительственной организацией по международным железнодорожным перевозкам (ОТИФ) в качестве документа </w:t>
      </w:r>
      <w:r w:rsidRPr="00F90812">
        <w:rPr>
          <w:lang w:val="en-US"/>
        </w:rPr>
        <w:t>OTIF</w:t>
      </w:r>
      <w:r w:rsidRPr="00F90812">
        <w:t>/</w:t>
      </w:r>
      <w:r w:rsidRPr="00F90812">
        <w:rPr>
          <w:lang w:val="en-US"/>
        </w:rPr>
        <w:t>RID</w:t>
      </w:r>
      <w:r w:rsidRPr="00F90812">
        <w:t>/</w:t>
      </w:r>
      <w:r w:rsidRPr="00F90812">
        <w:rPr>
          <w:lang w:val="en-US"/>
        </w:rPr>
        <w:t>RC</w:t>
      </w:r>
      <w:r w:rsidRPr="00F90812">
        <w:t>/2015-</w:t>
      </w:r>
      <w:r w:rsidRPr="00F90812">
        <w:rPr>
          <w:lang w:val="en-US"/>
        </w:rPr>
        <w:t>A</w:t>
      </w:r>
      <w:r w:rsidRPr="00F90812">
        <w:t xml:space="preserve">. Если не указано иное, то другие документы, упоминаемые в настоящем докладе и имеющие условное обозначение </w:t>
      </w:r>
      <w:r w:rsidRPr="00F90812">
        <w:rPr>
          <w:lang w:val="en-US"/>
        </w:rPr>
        <w:t>ECE</w:t>
      </w:r>
      <w:r w:rsidRPr="00F90812">
        <w:t>/</w:t>
      </w:r>
      <w:r w:rsidRPr="00F90812">
        <w:rPr>
          <w:lang w:val="en-US"/>
        </w:rPr>
        <w:t>TRANS</w:t>
      </w:r>
      <w:r w:rsidRPr="00F90812">
        <w:t>/</w:t>
      </w:r>
      <w:r w:rsidRPr="00F90812">
        <w:rPr>
          <w:lang w:val="en-US"/>
        </w:rPr>
        <w:t>WP</w:t>
      </w:r>
      <w:r w:rsidRPr="00F90812">
        <w:t>.15/</w:t>
      </w:r>
      <w:r w:rsidRPr="00F90812">
        <w:rPr>
          <w:lang w:val="en-US"/>
        </w:rPr>
        <w:t>AC</w:t>
      </w:r>
      <w:r w:rsidRPr="00F90812">
        <w:t xml:space="preserve">.1/, после которого указаны год и порядковый номер, были распространены ОТИФ под условным обозначением </w:t>
      </w:r>
      <w:r w:rsidRPr="00F90812">
        <w:rPr>
          <w:lang w:val="en-US"/>
        </w:rPr>
        <w:t>OTIF</w:t>
      </w:r>
      <w:r w:rsidRPr="00F90812">
        <w:t>/</w:t>
      </w:r>
      <w:r w:rsidRPr="00F90812">
        <w:rPr>
          <w:lang w:val="en-US"/>
        </w:rPr>
        <w:t>RID</w:t>
      </w:r>
      <w:r w:rsidRPr="00F90812">
        <w:t>/</w:t>
      </w:r>
      <w:r w:rsidRPr="00F90812">
        <w:rPr>
          <w:lang w:val="en-US"/>
        </w:rPr>
        <w:t>RC</w:t>
      </w:r>
      <w:r w:rsidRPr="00F90812">
        <w:t>/, после которого указаны год и тот же порядковый номер.</w:t>
      </w:r>
    </w:p>
  </w:footnote>
  <w:footnote w:id="3">
    <w:p w:rsidR="00270855" w:rsidRPr="00A97F45" w:rsidRDefault="00270855" w:rsidP="0062527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034F46">
        <w:tab/>
      </w:r>
      <w:r>
        <w:rPr>
          <w:rStyle w:val="FootnoteReference"/>
        </w:rPr>
        <w:footnoteRef/>
      </w:r>
      <w:r w:rsidRPr="00A97F45">
        <w:tab/>
        <w:t xml:space="preserve">По соображениям практического характера приложение </w:t>
      </w:r>
      <w:r w:rsidRPr="00A97F45">
        <w:rPr>
          <w:lang w:val="en-US"/>
        </w:rPr>
        <w:t>I</w:t>
      </w:r>
      <w:r w:rsidRPr="00A97F45">
        <w:t xml:space="preserve"> опубликовано в виде добавления под условным обозначением </w:t>
      </w:r>
      <w:r w:rsidRPr="00A97F45">
        <w:rPr>
          <w:lang w:val="en-US"/>
        </w:rPr>
        <w:t>ECE</w:t>
      </w:r>
      <w:r w:rsidRPr="00A97F45">
        <w:t>/</w:t>
      </w:r>
      <w:r w:rsidRPr="00A97F45">
        <w:rPr>
          <w:lang w:val="en-US"/>
        </w:rPr>
        <w:t>TRANS</w:t>
      </w:r>
      <w:r w:rsidRPr="00A97F45">
        <w:t>/</w:t>
      </w:r>
      <w:r w:rsidRPr="00A97F45">
        <w:rPr>
          <w:lang w:val="en-US"/>
        </w:rPr>
        <w:t>WP</w:t>
      </w:r>
      <w:r w:rsidRPr="00A97F45">
        <w:t>.15/</w:t>
      </w:r>
      <w:r w:rsidRPr="00A97F45">
        <w:rPr>
          <w:lang w:val="en-US"/>
        </w:rPr>
        <w:t>AC</w:t>
      </w:r>
      <w:r w:rsidRPr="00A97F45">
        <w:t>.1/138/</w:t>
      </w:r>
      <w:r w:rsidRPr="00A97F45">
        <w:rPr>
          <w:lang w:val="en-US"/>
        </w:rPr>
        <w:t>Add</w:t>
      </w:r>
      <w:r w:rsidRPr="00A97F45">
        <w:t>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70855" w:rsidTr="0082205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70855" w:rsidRPr="00822050" w:rsidRDefault="00270855" w:rsidP="0082205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33F6F">
            <w:rPr>
              <w:b/>
            </w:rPr>
            <w:t>ECE/TRANS/WP.15/AC.1/138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70855" w:rsidRDefault="00270855" w:rsidP="00822050">
          <w:pPr>
            <w:pStyle w:val="Header"/>
          </w:pPr>
        </w:p>
      </w:tc>
    </w:tr>
  </w:tbl>
  <w:p w:rsidR="00270855" w:rsidRPr="00822050" w:rsidRDefault="00270855" w:rsidP="008220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70855" w:rsidTr="00822050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70855" w:rsidRDefault="00270855" w:rsidP="00822050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70855" w:rsidRPr="00822050" w:rsidRDefault="00270855" w:rsidP="0082205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33F6F">
            <w:rPr>
              <w:b/>
            </w:rPr>
            <w:t>ECE/TRANS/WP.15/AC.1/138</w:t>
          </w:r>
          <w:r>
            <w:rPr>
              <w:b/>
            </w:rPr>
            <w:fldChar w:fldCharType="end"/>
          </w:r>
        </w:p>
      </w:tc>
    </w:tr>
  </w:tbl>
  <w:p w:rsidR="00270855" w:rsidRPr="00822050" w:rsidRDefault="00270855" w:rsidP="008220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70855" w:rsidTr="00822050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70855" w:rsidRPr="00822050" w:rsidRDefault="00270855" w:rsidP="0082205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70855" w:rsidRDefault="00270855" w:rsidP="00822050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70855" w:rsidRPr="00822050" w:rsidRDefault="00270855" w:rsidP="00822050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/TRANS/WP.15/AC.1/138</w:t>
          </w:r>
        </w:p>
      </w:tc>
    </w:tr>
    <w:tr w:rsidR="00270855" w:rsidRPr="00506C6B" w:rsidTr="00822050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0855" w:rsidRPr="00822050" w:rsidRDefault="00270855" w:rsidP="00822050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7CB3BE0" wp14:editId="0AC4C4F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0855" w:rsidRPr="00822050" w:rsidRDefault="00270855" w:rsidP="00822050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0855" w:rsidRPr="00822050" w:rsidRDefault="00270855" w:rsidP="00822050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70855" w:rsidRPr="00F90812" w:rsidRDefault="00270855" w:rsidP="00822050">
          <w:pPr>
            <w:pStyle w:val="Distribution"/>
            <w:rPr>
              <w:color w:val="000000"/>
              <w:lang w:val="en-US"/>
            </w:rPr>
          </w:pPr>
          <w:r w:rsidRPr="00F90812">
            <w:rPr>
              <w:color w:val="000000"/>
              <w:lang w:val="en-US"/>
            </w:rPr>
            <w:t>Distr.: General</w:t>
          </w:r>
        </w:p>
        <w:p w:rsidR="00270855" w:rsidRPr="00F90812" w:rsidRDefault="00270855" w:rsidP="00822050">
          <w:pPr>
            <w:pStyle w:val="Publication"/>
            <w:rPr>
              <w:color w:val="000000"/>
              <w:lang w:val="en-US"/>
            </w:rPr>
          </w:pPr>
          <w:r w:rsidRPr="00F90812">
            <w:rPr>
              <w:color w:val="000000"/>
              <w:lang w:val="en-US"/>
            </w:rPr>
            <w:t>7 May 2015</w:t>
          </w:r>
        </w:p>
        <w:p w:rsidR="00270855" w:rsidRPr="00F90812" w:rsidRDefault="00270855" w:rsidP="00822050">
          <w:pPr>
            <w:rPr>
              <w:color w:val="000000"/>
              <w:lang w:val="en-US"/>
            </w:rPr>
          </w:pPr>
          <w:r w:rsidRPr="00F90812">
            <w:rPr>
              <w:color w:val="000000"/>
              <w:lang w:val="en-US"/>
            </w:rPr>
            <w:t>Russian</w:t>
          </w:r>
        </w:p>
        <w:p w:rsidR="00270855" w:rsidRPr="00F90812" w:rsidRDefault="00270855" w:rsidP="00822050">
          <w:pPr>
            <w:pStyle w:val="Original"/>
            <w:rPr>
              <w:color w:val="000000"/>
              <w:lang w:val="en-US"/>
            </w:rPr>
          </w:pPr>
          <w:r w:rsidRPr="00F90812">
            <w:rPr>
              <w:color w:val="000000"/>
              <w:lang w:val="en-US"/>
            </w:rPr>
            <w:t>Original: English</w:t>
          </w:r>
        </w:p>
        <w:p w:rsidR="00270855" w:rsidRPr="00F90812" w:rsidRDefault="00270855" w:rsidP="00822050">
          <w:pPr>
            <w:rPr>
              <w:lang w:val="en-US"/>
            </w:rPr>
          </w:pPr>
        </w:p>
      </w:tc>
    </w:tr>
  </w:tbl>
  <w:p w:rsidR="00270855" w:rsidRPr="00F90812" w:rsidRDefault="00270855" w:rsidP="00822050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82633"/>
    <w:multiLevelType w:val="multilevel"/>
    <w:tmpl w:val="9AA067A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7">
    <w:nsid w:val="12736B1B"/>
    <w:multiLevelType w:val="multilevel"/>
    <w:tmpl w:val="D8B65690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8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7"/>
  </w:num>
  <w:num w:numId="12">
    <w:abstractNumId w:val="6"/>
  </w:num>
  <w:num w:numId="13">
    <w:abstractNumId w:val="13"/>
  </w:num>
  <w:num w:numId="14">
    <w:abstractNumId w:val="13"/>
  </w:num>
  <w:num w:numId="15">
    <w:abstractNumId w:val="10"/>
  </w:num>
  <w:num w:numId="16">
    <w:abstractNumId w:val="10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07218*"/>
    <w:docVar w:name="CreationDt" w:val="8/14/2015 2:52: PM"/>
    <w:docVar w:name="DocCategory" w:val="Doc"/>
    <w:docVar w:name="DocType" w:val="Final"/>
    <w:docVar w:name="DutyStation" w:val="Geneva"/>
    <w:docVar w:name="FooterJN" w:val="GE.15-07218"/>
    <w:docVar w:name="jobn" w:val="GE.15-07218 (R)"/>
    <w:docVar w:name="jobnDT" w:val="GE.15-07218 (R)   140815"/>
    <w:docVar w:name="jobnDTDT" w:val="GE.15-07218 (R)   140815   140815"/>
    <w:docVar w:name="JobNo" w:val="GE.1507218R"/>
    <w:docVar w:name="JobNo2" w:val="1509207R"/>
    <w:docVar w:name="LocalDrive" w:val="0"/>
    <w:docVar w:name="OandT" w:val=" "/>
    <w:docVar w:name="PaperSize" w:val="A4"/>
    <w:docVar w:name="sss1" w:val="ECE/TRANS/WP.15/AC.1/138"/>
    <w:docVar w:name="sss2" w:val="-"/>
    <w:docVar w:name="Symbol1" w:val="ECE/TRANS/WP.15/AC.1/138"/>
    <w:docVar w:name="Symbol2" w:val="-"/>
  </w:docVars>
  <w:rsids>
    <w:rsidRoot w:val="004F4E8D"/>
    <w:rsid w:val="00004615"/>
    <w:rsid w:val="00004756"/>
    <w:rsid w:val="00013E03"/>
    <w:rsid w:val="00015201"/>
    <w:rsid w:val="00024A67"/>
    <w:rsid w:val="00025CF3"/>
    <w:rsid w:val="0002669B"/>
    <w:rsid w:val="00033C1F"/>
    <w:rsid w:val="00034F46"/>
    <w:rsid w:val="00042F33"/>
    <w:rsid w:val="0004325F"/>
    <w:rsid w:val="00046115"/>
    <w:rsid w:val="000513EF"/>
    <w:rsid w:val="0005420D"/>
    <w:rsid w:val="00055EA2"/>
    <w:rsid w:val="00064759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269AF"/>
    <w:rsid w:val="001300F9"/>
    <w:rsid w:val="00135CC8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37E5B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0855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02C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143E5"/>
    <w:rsid w:val="0032017C"/>
    <w:rsid w:val="00324FA1"/>
    <w:rsid w:val="00325C10"/>
    <w:rsid w:val="00326F5F"/>
    <w:rsid w:val="00332D90"/>
    <w:rsid w:val="00333B06"/>
    <w:rsid w:val="00337D91"/>
    <w:rsid w:val="003452EB"/>
    <w:rsid w:val="00346BFB"/>
    <w:rsid w:val="00350756"/>
    <w:rsid w:val="00353471"/>
    <w:rsid w:val="003542EE"/>
    <w:rsid w:val="00360D26"/>
    <w:rsid w:val="00362FFE"/>
    <w:rsid w:val="003658B0"/>
    <w:rsid w:val="0038044D"/>
    <w:rsid w:val="00384AEE"/>
    <w:rsid w:val="0038527A"/>
    <w:rsid w:val="00386DD4"/>
    <w:rsid w:val="00391367"/>
    <w:rsid w:val="0039505F"/>
    <w:rsid w:val="003A150E"/>
    <w:rsid w:val="003A2730"/>
    <w:rsid w:val="003B16B4"/>
    <w:rsid w:val="003B5A03"/>
    <w:rsid w:val="003C12AC"/>
    <w:rsid w:val="003C2842"/>
    <w:rsid w:val="003C5482"/>
    <w:rsid w:val="003C729B"/>
    <w:rsid w:val="003C792E"/>
    <w:rsid w:val="003D024C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0803"/>
    <w:rsid w:val="004420FB"/>
    <w:rsid w:val="00445A4E"/>
    <w:rsid w:val="004502EC"/>
    <w:rsid w:val="004504A6"/>
    <w:rsid w:val="00460D23"/>
    <w:rsid w:val="004645DD"/>
    <w:rsid w:val="0047036A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4F4E8D"/>
    <w:rsid w:val="00503637"/>
    <w:rsid w:val="00504669"/>
    <w:rsid w:val="005058E0"/>
    <w:rsid w:val="00506C6B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3270"/>
    <w:rsid w:val="00545562"/>
    <w:rsid w:val="0054563F"/>
    <w:rsid w:val="005469E1"/>
    <w:rsid w:val="00547B3B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B6A11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5279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24C68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0CA1"/>
    <w:rsid w:val="007A0DA5"/>
    <w:rsid w:val="007A41D3"/>
    <w:rsid w:val="007A4E4B"/>
    <w:rsid w:val="007A5D50"/>
    <w:rsid w:val="007B098D"/>
    <w:rsid w:val="007B1DE5"/>
    <w:rsid w:val="007B48BC"/>
    <w:rsid w:val="007B5785"/>
    <w:rsid w:val="007B5CF3"/>
    <w:rsid w:val="007B67AE"/>
    <w:rsid w:val="007C1D92"/>
    <w:rsid w:val="007C62D1"/>
    <w:rsid w:val="007C706F"/>
    <w:rsid w:val="007C7320"/>
    <w:rsid w:val="007E0E39"/>
    <w:rsid w:val="007E2B60"/>
    <w:rsid w:val="007E5086"/>
    <w:rsid w:val="007F0E54"/>
    <w:rsid w:val="007F5107"/>
    <w:rsid w:val="007F7686"/>
    <w:rsid w:val="00803EC5"/>
    <w:rsid w:val="008040BA"/>
    <w:rsid w:val="008042D6"/>
    <w:rsid w:val="00806380"/>
    <w:rsid w:val="008147BF"/>
    <w:rsid w:val="00821CE2"/>
    <w:rsid w:val="00822050"/>
    <w:rsid w:val="00822085"/>
    <w:rsid w:val="008238C7"/>
    <w:rsid w:val="00830FF8"/>
    <w:rsid w:val="00833A04"/>
    <w:rsid w:val="00833B8D"/>
    <w:rsid w:val="00835D02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14A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080"/>
    <w:rsid w:val="008C6372"/>
    <w:rsid w:val="008D0CE3"/>
    <w:rsid w:val="008E7A0A"/>
    <w:rsid w:val="008F12FD"/>
    <w:rsid w:val="008F13EA"/>
    <w:rsid w:val="008F24E6"/>
    <w:rsid w:val="00901324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11A7"/>
    <w:rsid w:val="00984EE4"/>
    <w:rsid w:val="00990168"/>
    <w:rsid w:val="0099354F"/>
    <w:rsid w:val="009A26A6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4741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335AC"/>
    <w:rsid w:val="00A344D5"/>
    <w:rsid w:val="00A35026"/>
    <w:rsid w:val="00A46574"/>
    <w:rsid w:val="00A471A3"/>
    <w:rsid w:val="00A47B1B"/>
    <w:rsid w:val="00A63339"/>
    <w:rsid w:val="00A653A6"/>
    <w:rsid w:val="00A90F41"/>
    <w:rsid w:val="00A910E7"/>
    <w:rsid w:val="00A93B3B"/>
    <w:rsid w:val="00A951DD"/>
    <w:rsid w:val="00A9600A"/>
    <w:rsid w:val="00A96C80"/>
    <w:rsid w:val="00A97F45"/>
    <w:rsid w:val="00AA0ABF"/>
    <w:rsid w:val="00AA27C2"/>
    <w:rsid w:val="00AB05F1"/>
    <w:rsid w:val="00AB1F26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AF519B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1FDA"/>
    <w:rsid w:val="00B33139"/>
    <w:rsid w:val="00B34996"/>
    <w:rsid w:val="00B36652"/>
    <w:rsid w:val="00B44E4D"/>
    <w:rsid w:val="00B47187"/>
    <w:rsid w:val="00B5129B"/>
    <w:rsid w:val="00B56376"/>
    <w:rsid w:val="00B5741E"/>
    <w:rsid w:val="00B606B7"/>
    <w:rsid w:val="00B61397"/>
    <w:rsid w:val="00B62C69"/>
    <w:rsid w:val="00B666EC"/>
    <w:rsid w:val="00B66BA3"/>
    <w:rsid w:val="00B77560"/>
    <w:rsid w:val="00B77FC0"/>
    <w:rsid w:val="00B86EFE"/>
    <w:rsid w:val="00BB052D"/>
    <w:rsid w:val="00BB1F92"/>
    <w:rsid w:val="00BB46C6"/>
    <w:rsid w:val="00BB5B7F"/>
    <w:rsid w:val="00BB7E8A"/>
    <w:rsid w:val="00BC20A0"/>
    <w:rsid w:val="00BC3A1D"/>
    <w:rsid w:val="00BC705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1AEE"/>
    <w:rsid w:val="00C05FFF"/>
    <w:rsid w:val="00C157E6"/>
    <w:rsid w:val="00C16B93"/>
    <w:rsid w:val="00C2210E"/>
    <w:rsid w:val="00C2524E"/>
    <w:rsid w:val="00C32802"/>
    <w:rsid w:val="00C35DFA"/>
    <w:rsid w:val="00C40B0B"/>
    <w:rsid w:val="00C4130D"/>
    <w:rsid w:val="00C41B6F"/>
    <w:rsid w:val="00C42BBF"/>
    <w:rsid w:val="00C44979"/>
    <w:rsid w:val="00C45525"/>
    <w:rsid w:val="00C45A45"/>
    <w:rsid w:val="00C45DB0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67FE5"/>
    <w:rsid w:val="00C7011D"/>
    <w:rsid w:val="00C70D59"/>
    <w:rsid w:val="00C7432F"/>
    <w:rsid w:val="00C77473"/>
    <w:rsid w:val="00C856F4"/>
    <w:rsid w:val="00C91210"/>
    <w:rsid w:val="00C9249B"/>
    <w:rsid w:val="00C94257"/>
    <w:rsid w:val="00C96443"/>
    <w:rsid w:val="00CA2CF3"/>
    <w:rsid w:val="00CB519E"/>
    <w:rsid w:val="00CC3D89"/>
    <w:rsid w:val="00CC5B37"/>
    <w:rsid w:val="00CD2ED3"/>
    <w:rsid w:val="00CD3C62"/>
    <w:rsid w:val="00CE2E80"/>
    <w:rsid w:val="00CE4211"/>
    <w:rsid w:val="00CF021B"/>
    <w:rsid w:val="00CF066B"/>
    <w:rsid w:val="00CF07BE"/>
    <w:rsid w:val="00CF4412"/>
    <w:rsid w:val="00CF5B33"/>
    <w:rsid w:val="00D01748"/>
    <w:rsid w:val="00D028FF"/>
    <w:rsid w:val="00D02AFF"/>
    <w:rsid w:val="00D03ECD"/>
    <w:rsid w:val="00D05963"/>
    <w:rsid w:val="00D07231"/>
    <w:rsid w:val="00D11640"/>
    <w:rsid w:val="00D1470E"/>
    <w:rsid w:val="00D20AA4"/>
    <w:rsid w:val="00D219A1"/>
    <w:rsid w:val="00D25A7B"/>
    <w:rsid w:val="00D32157"/>
    <w:rsid w:val="00D434AF"/>
    <w:rsid w:val="00D44FA6"/>
    <w:rsid w:val="00D47C74"/>
    <w:rsid w:val="00D554C9"/>
    <w:rsid w:val="00D61BB7"/>
    <w:rsid w:val="00D62DA9"/>
    <w:rsid w:val="00D70B44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B4F12"/>
    <w:rsid w:val="00DB4F23"/>
    <w:rsid w:val="00DC1E7E"/>
    <w:rsid w:val="00DC31D2"/>
    <w:rsid w:val="00DC7A5F"/>
    <w:rsid w:val="00DD6A66"/>
    <w:rsid w:val="00DE0D15"/>
    <w:rsid w:val="00DE26C0"/>
    <w:rsid w:val="00DF0525"/>
    <w:rsid w:val="00DF1CF0"/>
    <w:rsid w:val="00DF6656"/>
    <w:rsid w:val="00DF7388"/>
    <w:rsid w:val="00E04C73"/>
    <w:rsid w:val="00E079A3"/>
    <w:rsid w:val="00E12674"/>
    <w:rsid w:val="00E132AC"/>
    <w:rsid w:val="00E144C4"/>
    <w:rsid w:val="00E15CCC"/>
    <w:rsid w:val="00E15D7D"/>
    <w:rsid w:val="00E17234"/>
    <w:rsid w:val="00E23ABA"/>
    <w:rsid w:val="00E261F5"/>
    <w:rsid w:val="00E33F6F"/>
    <w:rsid w:val="00E34A5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0AF7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5CC1"/>
    <w:rsid w:val="00F07943"/>
    <w:rsid w:val="00F07DDF"/>
    <w:rsid w:val="00F16256"/>
    <w:rsid w:val="00F2109C"/>
    <w:rsid w:val="00F231E8"/>
    <w:rsid w:val="00F26EA8"/>
    <w:rsid w:val="00F30632"/>
    <w:rsid w:val="00F33544"/>
    <w:rsid w:val="00F35ACF"/>
    <w:rsid w:val="00F405E6"/>
    <w:rsid w:val="00F51C87"/>
    <w:rsid w:val="00F5214D"/>
    <w:rsid w:val="00F6061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812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iPriority="0" w:unhideWhenUsed="0"/>
    <w:lsdException w:name="footer" w:semiHidden="0" w:unhideWhenUsed="0"/>
    <w:lsdException w:name="caption" w:uiPriority="35" w:qFormat="1"/>
    <w:lsdException w:name="footnote reference" w:uiPriority="0" w:qFormat="1"/>
    <w:lsdException w:name="annotation reference" w:uiPriority="1"/>
    <w:lsdException w:name="line number" w:semiHidden="0" w:unhideWhenUsed="0"/>
    <w:lsdException w:name="page number" w:uiPriority="0"/>
    <w:lsdException w:name="endnote reference" w:semiHidden="0" w:uiPriority="0" w:unhideWhenUsed="0"/>
    <w:lsdException w:name="endnote tex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styleId="Footer">
    <w:name w:val="footer"/>
    <w:aliases w:val="3_GR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R Char"/>
    <w:basedOn w:val="DefaultParagraphFont"/>
    <w:link w:val="Header"/>
    <w:rsid w:val="00BE531D"/>
    <w:rPr>
      <w:rFonts w:ascii="Times New Roman" w:hAnsi="Times New Roman"/>
      <w:sz w:val="17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"/>
    <w:basedOn w:val="Normal"/>
    <w:link w:val="FootnoteTextChar"/>
    <w:unhideWhenUsed/>
    <w:qFormat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"/>
    <w:basedOn w:val="DefaultParagraphFont"/>
    <w:semiHidden/>
    <w:qFormat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R"/>
    <w:basedOn w:val="Normal"/>
    <w:link w:val="EndnoteTextChar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aliases w:val="2_GR Char"/>
    <w:basedOn w:val="DefaultParagraphFont"/>
    <w:link w:val="EndnoteText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R"/>
    <w:basedOn w:val="DefaultParagraphFont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2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0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05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05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A9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Table_GR Char1"/>
    <w:basedOn w:val="DefaultParagraphFont"/>
    <w:rsid w:val="00A97F45"/>
    <w:rPr>
      <w:rFonts w:asciiTheme="majorHAnsi" w:eastAsiaTheme="majorEastAsia" w:hAnsiTheme="majorHAnsi" w:cstheme="majorBidi"/>
      <w:b/>
      <w:bCs/>
      <w:color w:val="365F91" w:themeColor="accent1" w:themeShade="BF"/>
      <w:spacing w:val="4"/>
      <w:w w:val="103"/>
      <w:kern w:val="14"/>
      <w:sz w:val="28"/>
      <w:szCs w:val="28"/>
    </w:rPr>
  </w:style>
  <w:style w:type="paragraph" w:customStyle="1" w:styleId="HMGR">
    <w:name w:val="_ H __M_GR"/>
    <w:basedOn w:val="Normal"/>
    <w:next w:val="Normal"/>
    <w:rsid w:val="00A97F4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rsid w:val="00A97F4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A97F4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rsid w:val="00A97F4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rsid w:val="00A97F45"/>
    <w:pPr>
      <w:keepNext/>
      <w:keepLines/>
      <w:tabs>
        <w:tab w:val="right" w:pos="851"/>
      </w:tabs>
      <w:suppressAutoHyphens/>
      <w:spacing w:before="240" w:after="120"/>
      <w:ind w:left="1134" w:right="1134" w:hanging="1134"/>
      <w:outlineLvl w:val="3"/>
    </w:pPr>
    <w:rPr>
      <w:rFonts w:eastAsia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A97F4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zCs w:val="20"/>
      <w:lang w:eastAsia="ru-RU"/>
    </w:rPr>
  </w:style>
  <w:style w:type="paragraph" w:customStyle="1" w:styleId="SingleTxtGR">
    <w:name w:val="_ Single Txt_GR"/>
    <w:basedOn w:val="Normal"/>
    <w:rsid w:val="00A97F4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zh-CN"/>
    </w:rPr>
  </w:style>
  <w:style w:type="paragraph" w:customStyle="1" w:styleId="SLGR">
    <w:name w:val="__S_L_GR"/>
    <w:basedOn w:val="Normal"/>
    <w:next w:val="Normal"/>
    <w:rsid w:val="00A97F45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rsid w:val="00A97F4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rsid w:val="00A97F45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rsid w:val="00A97F4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rsid w:val="00A97F45"/>
    <w:pPr>
      <w:numPr>
        <w:numId w:val="13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Bullet2GR">
    <w:name w:val="_Bullet 2_GR"/>
    <w:basedOn w:val="Normal"/>
    <w:rsid w:val="00A97F45"/>
    <w:pPr>
      <w:numPr>
        <w:numId w:val="15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rsid w:val="00A97F45"/>
    <w:pPr>
      <w:numPr>
        <w:numId w:val="17"/>
      </w:numPr>
      <w:tabs>
        <w:tab w:val="left" w:pos="567"/>
      </w:tabs>
      <w:spacing w:after="120" w:line="240" w:lineRule="atLeast"/>
      <w:ind w:right="1134"/>
      <w:jc w:val="both"/>
      <w:outlineLvl w:val="0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iPriority="0" w:unhideWhenUsed="0"/>
    <w:lsdException w:name="footer" w:semiHidden="0" w:unhideWhenUsed="0"/>
    <w:lsdException w:name="caption" w:uiPriority="35" w:qFormat="1"/>
    <w:lsdException w:name="footnote reference" w:uiPriority="0" w:qFormat="1"/>
    <w:lsdException w:name="annotation reference" w:uiPriority="1"/>
    <w:lsdException w:name="line number" w:semiHidden="0" w:unhideWhenUsed="0"/>
    <w:lsdException w:name="page number" w:uiPriority="0"/>
    <w:lsdException w:name="endnote reference" w:semiHidden="0" w:uiPriority="0" w:unhideWhenUsed="0"/>
    <w:lsdException w:name="endnote text" w:uiPriority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styleId="Footer">
    <w:name w:val="footer"/>
    <w:aliases w:val="3_GR"/>
    <w:basedOn w:val="Normal"/>
    <w:link w:val="FooterChar"/>
    <w:uiPriority w:val="99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aliases w:val="6_GR"/>
    <w:basedOn w:val="Normal"/>
    <w:link w:val="HeaderChar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aliases w:val="6_GR Char"/>
    <w:basedOn w:val="DefaultParagraphFont"/>
    <w:link w:val="Header"/>
    <w:rsid w:val="00BE531D"/>
    <w:rPr>
      <w:rFonts w:ascii="Times New Roman" w:hAnsi="Times New Roman"/>
      <w:sz w:val="17"/>
      <w:lang w:val="ru-RU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aliases w:val="5_GR"/>
    <w:basedOn w:val="Normal"/>
    <w:link w:val="FootnoteTextChar"/>
    <w:unhideWhenUsed/>
    <w:qFormat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"/>
    <w:basedOn w:val="DefaultParagraphFont"/>
    <w:semiHidden/>
    <w:qFormat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aliases w:val="2_GR"/>
    <w:basedOn w:val="Normal"/>
    <w:link w:val="EndnoteTextChar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aliases w:val="2_GR Char"/>
    <w:basedOn w:val="DefaultParagraphFont"/>
    <w:link w:val="EndnoteText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aliases w:val="1_GR"/>
    <w:basedOn w:val="DefaultParagraphFont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2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0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050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050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A9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Table_GR Char1"/>
    <w:basedOn w:val="DefaultParagraphFont"/>
    <w:rsid w:val="00A97F45"/>
    <w:rPr>
      <w:rFonts w:asciiTheme="majorHAnsi" w:eastAsiaTheme="majorEastAsia" w:hAnsiTheme="majorHAnsi" w:cstheme="majorBidi"/>
      <w:b/>
      <w:bCs/>
      <w:color w:val="365F91" w:themeColor="accent1" w:themeShade="BF"/>
      <w:spacing w:val="4"/>
      <w:w w:val="103"/>
      <w:kern w:val="14"/>
      <w:sz w:val="28"/>
      <w:szCs w:val="28"/>
    </w:rPr>
  </w:style>
  <w:style w:type="paragraph" w:customStyle="1" w:styleId="HMGR">
    <w:name w:val="_ H __M_GR"/>
    <w:basedOn w:val="Normal"/>
    <w:next w:val="Normal"/>
    <w:rsid w:val="00A97F4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rsid w:val="00A97F4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A97F4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rsid w:val="00A97F4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rsid w:val="00A97F45"/>
    <w:pPr>
      <w:keepNext/>
      <w:keepLines/>
      <w:tabs>
        <w:tab w:val="right" w:pos="851"/>
      </w:tabs>
      <w:suppressAutoHyphens/>
      <w:spacing w:before="240" w:after="120"/>
      <w:ind w:left="1134" w:right="1134" w:hanging="1134"/>
      <w:outlineLvl w:val="3"/>
    </w:pPr>
    <w:rPr>
      <w:rFonts w:eastAsia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A97F45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szCs w:val="20"/>
      <w:lang w:eastAsia="ru-RU"/>
    </w:rPr>
  </w:style>
  <w:style w:type="paragraph" w:customStyle="1" w:styleId="SingleTxtGR">
    <w:name w:val="_ Single Txt_GR"/>
    <w:basedOn w:val="Normal"/>
    <w:rsid w:val="00A97F4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  <w:lang w:eastAsia="zh-CN"/>
    </w:rPr>
  </w:style>
  <w:style w:type="paragraph" w:customStyle="1" w:styleId="SLGR">
    <w:name w:val="__S_L_GR"/>
    <w:basedOn w:val="Normal"/>
    <w:next w:val="Normal"/>
    <w:rsid w:val="00A97F45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rsid w:val="00A97F4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rsid w:val="00A97F45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rsid w:val="00A97F4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rsid w:val="00A97F45"/>
    <w:pPr>
      <w:numPr>
        <w:numId w:val="13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Bullet2GR">
    <w:name w:val="_Bullet 2_GR"/>
    <w:basedOn w:val="Normal"/>
    <w:rsid w:val="00A97F45"/>
    <w:pPr>
      <w:numPr>
        <w:numId w:val="15"/>
      </w:numPr>
      <w:spacing w:after="120" w:line="240" w:lineRule="atLeast"/>
      <w:ind w:right="1134"/>
      <w:jc w:val="both"/>
    </w:pPr>
    <w:rPr>
      <w:rFonts w:eastAsia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rsid w:val="00A97F45"/>
    <w:pPr>
      <w:numPr>
        <w:numId w:val="17"/>
      </w:numPr>
      <w:tabs>
        <w:tab w:val="left" w:pos="567"/>
      </w:tabs>
      <w:spacing w:after="120" w:line="240" w:lineRule="atLeast"/>
      <w:ind w:right="1134"/>
      <w:jc w:val="both"/>
      <w:outlineLvl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AE21-56B2-45CF-98C5-41C567DC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8695</Words>
  <Characters>49563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barrio-champeau</cp:lastModifiedBy>
  <cp:revision>3</cp:revision>
  <cp:lastPrinted>2015-08-24T11:52:00Z</cp:lastPrinted>
  <dcterms:created xsi:type="dcterms:W3CDTF">2015-08-24T11:52:00Z</dcterms:created>
  <dcterms:modified xsi:type="dcterms:W3CDTF">2015-08-24T11:52:00Z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1507218R</vt:lpwstr>
  </property>
  <property fmtid="{D5CDD505-2E9C-101B-9397-08002B2CF9AE}" pid="3" name="ODSRefJobNo">
    <vt:lpwstr>1509207R</vt:lpwstr>
  </property>
  <property fmtid="{D5CDD505-2E9C-101B-9397-08002B2CF9AE}" pid="4" name="Symbol1">
    <vt:lpwstr>ECE/TRANS/WP.15/AC.1/138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7 May 2015</vt:lpwstr>
  </property>
  <property fmtid="{D5CDD505-2E9C-101B-9397-08002B2CF9AE}" pid="12" name="Original">
    <vt:lpwstr>English</vt:lpwstr>
  </property>
  <property fmtid="{D5CDD505-2E9C-101B-9397-08002B2CF9AE}" pid="13" name="Release Date">
    <vt:lpwstr>140815</vt:lpwstr>
  </property>
</Properties>
</file>