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F1600"/>
        </w:tc>
        <w:tc>
          <w:tcPr>
            <w:tcW w:w="2268" w:type="dxa"/>
            <w:tcBorders>
              <w:bottom w:val="single" w:sz="4" w:space="0" w:color="auto"/>
            </w:tcBorders>
            <w:vAlign w:val="bottom"/>
          </w:tcPr>
          <w:p w:rsidR="00F35BAF" w:rsidRPr="00DB58B5" w:rsidRDefault="00F35BAF" w:rsidP="00C11F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F1600" w:rsidP="000D708B">
            <w:pPr>
              <w:jc w:val="right"/>
            </w:pPr>
            <w:r w:rsidRPr="009F1600">
              <w:rPr>
                <w:sz w:val="40"/>
              </w:rPr>
              <w:t>ECE</w:t>
            </w:r>
            <w:r>
              <w:t>/TRANS/WP.15/2015/</w:t>
            </w:r>
            <w:r w:rsidR="000D708B">
              <w:t>7</w:t>
            </w:r>
          </w:p>
        </w:tc>
      </w:tr>
      <w:tr w:rsidR="00F35BAF" w:rsidRPr="00DB58B5" w:rsidTr="00C11FD4">
        <w:trPr>
          <w:trHeight w:hRule="exact" w:val="2835"/>
        </w:trPr>
        <w:tc>
          <w:tcPr>
            <w:tcW w:w="1276" w:type="dxa"/>
            <w:tcBorders>
              <w:top w:val="single" w:sz="4" w:space="0" w:color="auto"/>
              <w:bottom w:val="single" w:sz="12" w:space="0" w:color="auto"/>
            </w:tcBorders>
          </w:tcPr>
          <w:p w:rsidR="00F35BAF" w:rsidRPr="00DB58B5" w:rsidRDefault="00726729" w:rsidP="00C11FD4">
            <w:pPr>
              <w:spacing w:before="120"/>
              <w:jc w:val="center"/>
            </w:pPr>
            <w:r>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11FD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F1600" w:rsidP="00C11FD4">
            <w:pPr>
              <w:spacing w:before="240"/>
            </w:pPr>
            <w:proofErr w:type="spellStart"/>
            <w:r>
              <w:t>Distr</w:t>
            </w:r>
            <w:proofErr w:type="spellEnd"/>
            <w:r>
              <w:t>. générale</w:t>
            </w:r>
          </w:p>
          <w:p w:rsidR="009F1600" w:rsidRDefault="00BC4BED" w:rsidP="009F1600">
            <w:pPr>
              <w:spacing w:line="240" w:lineRule="exact"/>
            </w:pPr>
            <w:r>
              <w:t>7 August</w:t>
            </w:r>
            <w:r w:rsidR="00357495">
              <w:t xml:space="preserve"> </w:t>
            </w:r>
            <w:r w:rsidR="009F1600">
              <w:t>2015</w:t>
            </w:r>
          </w:p>
          <w:p w:rsidR="00357495" w:rsidRDefault="00357495" w:rsidP="009F1600">
            <w:pPr>
              <w:spacing w:line="240" w:lineRule="exact"/>
            </w:pPr>
          </w:p>
          <w:p w:rsidR="00873E37" w:rsidRDefault="009F1600" w:rsidP="00873E37">
            <w:pPr>
              <w:spacing w:line="240" w:lineRule="exact"/>
            </w:pPr>
            <w:r>
              <w:t>Original</w:t>
            </w:r>
            <w:proofErr w:type="gramStart"/>
            <w:r>
              <w:t xml:space="preserve">: </w:t>
            </w:r>
            <w:r w:rsidR="00873E37">
              <w:t xml:space="preserve"> français</w:t>
            </w:r>
            <w:proofErr w:type="gramEnd"/>
          </w:p>
          <w:p w:rsidR="009F1600" w:rsidRPr="00DB58B5" w:rsidRDefault="009F1600" w:rsidP="00873E37">
            <w:pPr>
              <w:spacing w:line="240" w:lineRule="exact"/>
            </w:pPr>
          </w:p>
        </w:tc>
      </w:tr>
    </w:tbl>
    <w:p w:rsidR="007F20FA" w:rsidRPr="000312C0" w:rsidRDefault="007F20FA" w:rsidP="007F20FA">
      <w:pPr>
        <w:spacing w:before="120"/>
        <w:rPr>
          <w:b/>
          <w:sz w:val="28"/>
          <w:szCs w:val="28"/>
        </w:rPr>
      </w:pPr>
      <w:r w:rsidRPr="000312C0">
        <w:rPr>
          <w:b/>
          <w:sz w:val="28"/>
          <w:szCs w:val="28"/>
        </w:rPr>
        <w:t>Commission économique pour l</w:t>
      </w:r>
      <w:r w:rsidR="00C11FD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bookmarkStart w:id="0" w:name="_GoBack"/>
      <w:bookmarkEnd w:id="0"/>
    </w:p>
    <w:p w:rsidR="009F1600" w:rsidRPr="009E01B8" w:rsidRDefault="009F1600" w:rsidP="00E85C74">
      <w:pPr>
        <w:spacing w:before="120"/>
        <w:rPr>
          <w:b/>
          <w:sz w:val="24"/>
          <w:szCs w:val="24"/>
        </w:rPr>
      </w:pPr>
      <w:r w:rsidRPr="009E01B8">
        <w:rPr>
          <w:b/>
          <w:sz w:val="24"/>
          <w:szCs w:val="24"/>
        </w:rPr>
        <w:t>Groupe de travail des transports de marchandises dangereuses</w:t>
      </w:r>
    </w:p>
    <w:p w:rsidR="009F1600" w:rsidRPr="00992778" w:rsidRDefault="009F1600" w:rsidP="00E85C74">
      <w:pPr>
        <w:spacing w:before="120"/>
        <w:rPr>
          <w:b/>
        </w:rPr>
      </w:pPr>
      <w:r>
        <w:rPr>
          <w:b/>
        </w:rPr>
        <w:t>Quatre-vingt-dix-</w:t>
      </w:r>
      <w:r w:rsidR="00643BDD">
        <w:rPr>
          <w:b/>
        </w:rPr>
        <w:t>neuvième</w:t>
      </w:r>
      <w:r>
        <w:rPr>
          <w:b/>
        </w:rPr>
        <w:t xml:space="preserve"> </w:t>
      </w:r>
      <w:r w:rsidRPr="00992778">
        <w:rPr>
          <w:b/>
        </w:rPr>
        <w:t>session</w:t>
      </w:r>
    </w:p>
    <w:p w:rsidR="00CA28D2" w:rsidRPr="007667F8" w:rsidRDefault="00CA28D2" w:rsidP="00CA28D2">
      <w:r w:rsidRPr="007667F8">
        <w:t>Gen</w:t>
      </w:r>
      <w:r>
        <w:t xml:space="preserve">ève, </w:t>
      </w:r>
      <w:r w:rsidR="00643BDD">
        <w:t>9</w:t>
      </w:r>
      <w:r w:rsidRPr="007667F8">
        <w:t>-</w:t>
      </w:r>
      <w:r w:rsidR="00643BDD">
        <w:t>13</w:t>
      </w:r>
      <w:r w:rsidRPr="007667F8">
        <w:t xml:space="preserve"> </w:t>
      </w:r>
      <w:r w:rsidR="00643BDD">
        <w:t>novembre</w:t>
      </w:r>
      <w:r w:rsidRPr="007667F8">
        <w:t xml:space="preserve"> 2015</w:t>
      </w:r>
    </w:p>
    <w:p w:rsidR="00CA28D2" w:rsidRPr="007667F8" w:rsidRDefault="00CA28D2" w:rsidP="00CA28D2">
      <w:r>
        <w:t xml:space="preserve">Point </w:t>
      </w:r>
      <w:r w:rsidR="00236808">
        <w:t>6 b)</w:t>
      </w:r>
      <w:r w:rsidR="00236808" w:rsidRPr="007667F8">
        <w:t xml:space="preserve"> </w:t>
      </w:r>
      <w:r>
        <w:t>de l</w:t>
      </w:r>
      <w:r w:rsidR="00C11FD4">
        <w:t>’</w:t>
      </w:r>
      <w:r>
        <w:t>ordre du jour provisoire</w:t>
      </w:r>
    </w:p>
    <w:p w:rsidR="000D708B" w:rsidRDefault="00CA28D2" w:rsidP="00CA28D2">
      <w:pPr>
        <w:rPr>
          <w:b/>
        </w:rPr>
      </w:pPr>
      <w:r w:rsidRPr="007667F8">
        <w:rPr>
          <w:b/>
        </w:rPr>
        <w:t>Propos</w:t>
      </w:r>
      <w:r>
        <w:rPr>
          <w:b/>
        </w:rPr>
        <w:t>itions d</w:t>
      </w:r>
      <w:r w:rsidR="00C11FD4">
        <w:rPr>
          <w:b/>
        </w:rPr>
        <w:t>’</w:t>
      </w:r>
      <w:r w:rsidRPr="007667F8">
        <w:rPr>
          <w:b/>
        </w:rPr>
        <w:t>amend</w:t>
      </w:r>
      <w:r>
        <w:rPr>
          <w:b/>
        </w:rPr>
        <w:t>e</w:t>
      </w:r>
      <w:r w:rsidRPr="007667F8">
        <w:rPr>
          <w:b/>
        </w:rPr>
        <w:t xml:space="preserve">ment </w:t>
      </w:r>
      <w:r>
        <w:rPr>
          <w:b/>
        </w:rPr>
        <w:t xml:space="preserve">aux </w:t>
      </w:r>
      <w:r w:rsidRPr="007667F8">
        <w:rPr>
          <w:b/>
        </w:rPr>
        <w:t xml:space="preserve">annexes A </w:t>
      </w:r>
      <w:r>
        <w:rPr>
          <w:b/>
        </w:rPr>
        <w:t>et</w:t>
      </w:r>
      <w:r w:rsidRPr="007667F8">
        <w:rPr>
          <w:b/>
        </w:rPr>
        <w:t xml:space="preserve"> B </w:t>
      </w:r>
      <w:r>
        <w:rPr>
          <w:b/>
        </w:rPr>
        <w:t>de l</w:t>
      </w:r>
      <w:r w:rsidR="00C11FD4">
        <w:rPr>
          <w:b/>
        </w:rPr>
        <w:t>’</w:t>
      </w:r>
      <w:r w:rsidR="000D708B">
        <w:rPr>
          <w:b/>
        </w:rPr>
        <w:t>ADR:</w:t>
      </w:r>
    </w:p>
    <w:p w:rsidR="00CA28D2" w:rsidRPr="007667F8" w:rsidRDefault="000D708B" w:rsidP="00CA28D2">
      <w:pPr>
        <w:rPr>
          <w:b/>
        </w:rPr>
      </w:pPr>
      <w:proofErr w:type="gramStart"/>
      <w:r>
        <w:rPr>
          <w:b/>
        </w:rPr>
        <w:t>propositions</w:t>
      </w:r>
      <w:proofErr w:type="gramEnd"/>
      <w:r w:rsidR="00236808">
        <w:rPr>
          <w:b/>
        </w:rPr>
        <w:t xml:space="preserve"> diverses</w:t>
      </w:r>
    </w:p>
    <w:p w:rsidR="00CA28D2" w:rsidRPr="007667F8" w:rsidRDefault="00CA28D2" w:rsidP="00C11FD4">
      <w:pPr>
        <w:pStyle w:val="HChG"/>
        <w:spacing w:before="300" w:after="200"/>
      </w:pPr>
      <w:r w:rsidRPr="007667F8">
        <w:tab/>
      </w:r>
      <w:r w:rsidRPr="007667F8">
        <w:tab/>
      </w:r>
      <w:r w:rsidR="000D708B">
        <w:t>Proposition de définition du transport par des particuliers selon le 1.1.3.1 a)</w:t>
      </w:r>
    </w:p>
    <w:p w:rsidR="000D708B" w:rsidRDefault="00CA28D2" w:rsidP="000D708B">
      <w:pPr>
        <w:pStyle w:val="H1G"/>
        <w:rPr>
          <w:bCs/>
          <w:szCs w:val="24"/>
        </w:rPr>
      </w:pPr>
      <w:r w:rsidRPr="007667F8">
        <w:tab/>
      </w:r>
      <w:r w:rsidR="00C11FD4">
        <w:tab/>
      </w:r>
      <w:r w:rsidR="000D708B">
        <w:t>Communication du</w:t>
      </w:r>
      <w:r w:rsidR="000D708B" w:rsidRPr="009D5E1C">
        <w:t xml:space="preserve"> Gouvernement de la Suisse</w:t>
      </w:r>
      <w:r w:rsidR="00C130A9" w:rsidRPr="00CA28D2">
        <w:rPr>
          <w:rStyle w:val="FootnoteReference"/>
          <w:b w:val="0"/>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A28D2" w:rsidRPr="007667F8" w:rsidTr="00C11FD4">
        <w:trPr>
          <w:jc w:val="center"/>
        </w:trPr>
        <w:tc>
          <w:tcPr>
            <w:tcW w:w="9637" w:type="dxa"/>
            <w:tcBorders>
              <w:bottom w:val="nil"/>
            </w:tcBorders>
            <w:shd w:val="clear" w:color="auto" w:fill="auto"/>
          </w:tcPr>
          <w:p w:rsidR="00CA28D2" w:rsidRPr="007667F8" w:rsidRDefault="00CA28D2" w:rsidP="00CA28D2">
            <w:pPr>
              <w:tabs>
                <w:tab w:val="left" w:pos="255"/>
              </w:tabs>
              <w:suppressAutoHyphens w:val="0"/>
              <w:spacing w:before="200" w:after="80"/>
              <w:rPr>
                <w:sz w:val="24"/>
              </w:rPr>
            </w:pPr>
            <w:r w:rsidRPr="007667F8">
              <w:tab/>
            </w:r>
            <w:r>
              <w:rPr>
                <w:i/>
                <w:sz w:val="24"/>
              </w:rPr>
              <w:t>Résumé</w:t>
            </w:r>
          </w:p>
        </w:tc>
      </w:tr>
      <w:tr w:rsidR="00CA28D2" w:rsidRPr="007667F8" w:rsidTr="00C11FD4">
        <w:trPr>
          <w:jc w:val="center"/>
        </w:trPr>
        <w:tc>
          <w:tcPr>
            <w:tcW w:w="9637" w:type="dxa"/>
            <w:tcBorders>
              <w:top w:val="nil"/>
              <w:bottom w:val="nil"/>
            </w:tcBorders>
            <w:shd w:val="clear" w:color="auto" w:fill="auto"/>
          </w:tcPr>
          <w:p w:rsidR="00CA28D2" w:rsidRPr="007667F8" w:rsidRDefault="00CA28D2" w:rsidP="00C11FD4">
            <w:pPr>
              <w:pStyle w:val="SingleTxtG"/>
              <w:spacing w:line="236" w:lineRule="atLeast"/>
              <w:ind w:left="3402" w:hanging="2268"/>
            </w:pPr>
            <w:r>
              <w:rPr>
                <w:b/>
                <w:szCs w:val="22"/>
              </w:rPr>
              <w:t>Résumé analytique</w:t>
            </w:r>
            <w:r w:rsidRPr="007667F8">
              <w:rPr>
                <w:szCs w:val="22"/>
              </w:rPr>
              <w:t>:</w:t>
            </w:r>
            <w:r w:rsidRPr="007667F8">
              <w:tab/>
            </w:r>
            <w:r w:rsidR="000D708B">
              <w:t xml:space="preserve">Préciser le champ d’application du </w:t>
            </w:r>
            <w:r w:rsidR="000D708B" w:rsidRPr="001F391C">
              <w:t xml:space="preserve">1.1.3.1 </w:t>
            </w:r>
            <w:r w:rsidR="000D708B">
              <w:t>a</w:t>
            </w:r>
            <w:r w:rsidR="000D708B" w:rsidRPr="001F391C">
              <w:t xml:space="preserve">) </w:t>
            </w:r>
            <w:r w:rsidR="000D708B">
              <w:t>et fixer des limites en quantités pour l’exemption au moyen des  quantités du 1.1.3.6.3.</w:t>
            </w:r>
          </w:p>
        </w:tc>
      </w:tr>
      <w:tr w:rsidR="00CA28D2" w:rsidRPr="007667F8" w:rsidTr="00C11FD4">
        <w:trPr>
          <w:jc w:val="center"/>
        </w:trPr>
        <w:tc>
          <w:tcPr>
            <w:tcW w:w="9637" w:type="dxa"/>
            <w:tcBorders>
              <w:top w:val="nil"/>
              <w:bottom w:val="nil"/>
            </w:tcBorders>
            <w:shd w:val="clear" w:color="auto" w:fill="auto"/>
          </w:tcPr>
          <w:p w:rsidR="00CA28D2" w:rsidRPr="007667F8" w:rsidRDefault="00CA28D2" w:rsidP="00C11FD4">
            <w:pPr>
              <w:pStyle w:val="SingleTxtG"/>
              <w:spacing w:line="236" w:lineRule="atLeast"/>
              <w:ind w:left="3402" w:hanging="2268"/>
            </w:pPr>
            <w:r w:rsidRPr="00DB5848">
              <w:rPr>
                <w:b/>
                <w:szCs w:val="22"/>
              </w:rPr>
              <w:t>Mesure à prendre</w:t>
            </w:r>
            <w:r w:rsidRPr="007667F8">
              <w:rPr>
                <w:szCs w:val="22"/>
              </w:rPr>
              <w:t>:</w:t>
            </w:r>
            <w:r w:rsidRPr="007667F8">
              <w:tab/>
            </w:r>
            <w:r w:rsidR="000D708B">
              <w:rPr>
                <w:rStyle w:val="SingleTxtGChar"/>
              </w:rPr>
              <w:t xml:space="preserve">Modifier le texte du 1.1.3.1 a) et </w:t>
            </w:r>
            <w:r w:rsidR="000D708B">
              <w:rPr>
                <w:rFonts w:ascii="TimesNewRomanPSMT" w:hAnsi="TimesNewRomanPSMT" w:cs="TimesNewRomanPSMT"/>
                <w:lang w:eastAsia="fr-CH"/>
              </w:rPr>
              <w:t>au 1.1.3.6.5 supprimer «</w:t>
            </w:r>
            <w:r w:rsidR="000D708B" w:rsidRPr="00926B9F">
              <w:rPr>
                <w:rFonts w:ascii="TimesNewRomanPSMT" w:hAnsi="TimesNewRomanPSMT" w:cs="TimesNewRomanPSMT"/>
                <w:lang w:eastAsia="fr-CH"/>
              </w:rPr>
              <w:t>a)</w:t>
            </w:r>
            <w:r w:rsidR="000D708B">
              <w:rPr>
                <w:rFonts w:ascii="TimesNewRomanPSMT" w:hAnsi="TimesNewRomanPSMT" w:cs="TimesNewRomanPSMT"/>
                <w:lang w:eastAsia="fr-CH"/>
              </w:rPr>
              <w:t>» après «1.1.3.1».</w:t>
            </w:r>
          </w:p>
        </w:tc>
      </w:tr>
      <w:tr w:rsidR="00CA28D2" w:rsidRPr="007667F8" w:rsidTr="00C11FD4">
        <w:trPr>
          <w:jc w:val="center"/>
        </w:trPr>
        <w:tc>
          <w:tcPr>
            <w:tcW w:w="9637" w:type="dxa"/>
            <w:tcBorders>
              <w:top w:val="nil"/>
              <w:bottom w:val="nil"/>
            </w:tcBorders>
            <w:shd w:val="clear" w:color="auto" w:fill="auto"/>
          </w:tcPr>
          <w:p w:rsidR="000D708B" w:rsidRPr="007667F8" w:rsidRDefault="00CA28D2" w:rsidP="000D708B">
            <w:pPr>
              <w:pStyle w:val="SingleTxtG"/>
              <w:spacing w:after="0" w:line="236" w:lineRule="atLeast"/>
              <w:ind w:left="3402" w:hanging="2268"/>
              <w:jc w:val="left"/>
            </w:pPr>
            <w:r>
              <w:rPr>
                <w:b/>
                <w:szCs w:val="22"/>
              </w:rPr>
              <w:t>D</w:t>
            </w:r>
            <w:r w:rsidRPr="007667F8">
              <w:rPr>
                <w:b/>
                <w:szCs w:val="22"/>
              </w:rPr>
              <w:t>ocuments</w:t>
            </w:r>
            <w:r>
              <w:rPr>
                <w:b/>
                <w:szCs w:val="22"/>
              </w:rPr>
              <w:t xml:space="preserve"> de référence</w:t>
            </w:r>
            <w:r w:rsidRPr="007667F8">
              <w:rPr>
                <w:szCs w:val="22"/>
              </w:rPr>
              <w:t>:</w:t>
            </w:r>
            <w:r w:rsidRPr="007667F8">
              <w:tab/>
            </w:r>
            <w:r w:rsidR="000D708B">
              <w:t xml:space="preserve">ECE/TRANS/WP.15/226 et </w:t>
            </w:r>
            <w:r w:rsidR="000D708B" w:rsidRPr="00BE12A0">
              <w:rPr>
                <w:lang w:val="fr-FR"/>
              </w:rPr>
              <w:t>ECE/TRANS/WP.15/</w:t>
            </w:r>
            <w:r w:rsidR="000D708B">
              <w:rPr>
                <w:lang w:val="fr-FR"/>
              </w:rPr>
              <w:t>2014/10</w:t>
            </w:r>
          </w:p>
          <w:p w:rsidR="00CA28D2" w:rsidRPr="007667F8" w:rsidRDefault="00CA28D2" w:rsidP="00C11FD4">
            <w:pPr>
              <w:pStyle w:val="SingleTxtG"/>
              <w:spacing w:line="236" w:lineRule="atLeast"/>
              <w:ind w:left="3402" w:hanging="1"/>
              <w:jc w:val="left"/>
            </w:pPr>
          </w:p>
        </w:tc>
      </w:tr>
      <w:tr w:rsidR="00CA28D2" w:rsidRPr="007667F8" w:rsidTr="00C11FD4">
        <w:trPr>
          <w:jc w:val="center"/>
        </w:trPr>
        <w:tc>
          <w:tcPr>
            <w:tcW w:w="9637" w:type="dxa"/>
            <w:tcBorders>
              <w:top w:val="nil"/>
            </w:tcBorders>
            <w:shd w:val="clear" w:color="auto" w:fill="auto"/>
          </w:tcPr>
          <w:p w:rsidR="00CA28D2" w:rsidRPr="007667F8" w:rsidRDefault="00CA28D2" w:rsidP="00C11FD4">
            <w:pPr>
              <w:suppressAutoHyphens w:val="0"/>
            </w:pPr>
          </w:p>
        </w:tc>
      </w:tr>
    </w:tbl>
    <w:p w:rsidR="000D708B" w:rsidRPr="0072378C" w:rsidRDefault="000D708B" w:rsidP="000D708B">
      <w:pPr>
        <w:pStyle w:val="HChG"/>
        <w:tabs>
          <w:tab w:val="clear" w:pos="851"/>
        </w:tabs>
        <w:ind w:left="567" w:right="0" w:firstLine="567"/>
      </w:pPr>
      <w:r w:rsidRPr="0072378C">
        <w:t>Introduction</w:t>
      </w:r>
    </w:p>
    <w:p w:rsidR="000D708B" w:rsidRDefault="000D708B" w:rsidP="00A21D65">
      <w:pPr>
        <w:pStyle w:val="SingleTxtG"/>
      </w:pPr>
      <w:r>
        <w:t>1.</w:t>
      </w:r>
      <w:r>
        <w:tab/>
        <w:t xml:space="preserve">Au cours de la session de novembre du </w:t>
      </w:r>
      <w:r w:rsidR="00236808">
        <w:t>groupe de travail (WP.15)</w:t>
      </w:r>
      <w:r>
        <w:t xml:space="preserve"> la question de l’interprétation du champ d’application du 1.1.3.1 a) a été soulevée. Ceci est reproduit aux points 17 à 19 du rapport ECE/TRANS/WP.15/226. Le WP.15 a invité le représentant de la Suisse à poursuivre les discussions à ce sujet au sein de la Réunion commune afin qu’une approche harmonisée soit adoptée si nécessaire. La question de la pertinence de prévoir une définition plus précise de ce que l’on entend par transport réalisé par des particuliers au </w:t>
      </w:r>
      <w:r>
        <w:lastRenderedPageBreak/>
        <w:t xml:space="preserve">1.1.3.1 a) a été discutée avec l’autorité compétente suisse en charge du transport par rail (RID) et par voies de navigation intérieures (ADN). De l’avis de cette autorité, pour ces deux modes de transport il n’y a pas besoin de préciser davantage la portée de l’exemption car les cas soulevés dans le document </w:t>
      </w:r>
      <w:r w:rsidRPr="00BE12A0">
        <w:rPr>
          <w:lang w:val="fr-FR"/>
        </w:rPr>
        <w:t>ECE/TRANS/WP.15/</w:t>
      </w:r>
      <w:r>
        <w:rPr>
          <w:lang w:val="fr-FR"/>
        </w:rPr>
        <w:t xml:space="preserve">2014/10 ne risquent pas de se rencontrer dans les deux modes de transport concernés. </w:t>
      </w:r>
      <w:r>
        <w:t>La question semble en effet être spécifique aux transports routiers réalisés par des particuliers. C’est pourquoi en accord avec ces autorités suisses, nous présentons ce document uniquement au WP.15.</w:t>
      </w:r>
    </w:p>
    <w:p w:rsidR="000D708B" w:rsidRDefault="000D708B" w:rsidP="00A21D65">
      <w:pPr>
        <w:pStyle w:val="SingleTxtG"/>
      </w:pPr>
      <w:r>
        <w:t>2.</w:t>
      </w:r>
      <w:r>
        <w:tab/>
        <w:t xml:space="preserve">Le droit sur la circulation routière s’adresse au conducteur du véhicule. C’est donc le conducteur qui est l’intervenant responsable du respect des règles de la circulation routière et qui le cas échéant doit supporter les conséquences d’une infraction à ces règles. C’est donc uniquement à lui que s’adresse l’exemption du 1.1.3.1 a). </w:t>
      </w:r>
    </w:p>
    <w:p w:rsidR="000D708B" w:rsidRDefault="00C130A9" w:rsidP="00A21D65">
      <w:pPr>
        <w:pStyle w:val="SingleTxtG"/>
      </w:pPr>
      <w:r>
        <w:t>3.</w:t>
      </w:r>
      <w:r w:rsidR="00A81E56">
        <w:tab/>
        <w:t>Le texte du 1.1.3.1 a) dit «</w:t>
      </w:r>
      <w:r w:rsidR="000D708B">
        <w:t xml:space="preserve">transport de marchandises dangereuses </w:t>
      </w:r>
      <w:r w:rsidR="000D708B" w:rsidRPr="004E4E7C">
        <w:rPr>
          <w:b/>
        </w:rPr>
        <w:t xml:space="preserve">effectué par des </w:t>
      </w:r>
      <w:proofErr w:type="gramStart"/>
      <w:r w:rsidR="000D708B" w:rsidRPr="004E4E7C">
        <w:rPr>
          <w:b/>
        </w:rPr>
        <w:t>particuliers</w:t>
      </w:r>
      <w:r w:rsidR="000D708B">
        <w:t xml:space="preserve"> ..</w:t>
      </w:r>
      <w:proofErr w:type="gramEnd"/>
      <w:r w:rsidR="000D708B">
        <w:t xml:space="preserve"> </w:t>
      </w:r>
      <w:proofErr w:type="gramStart"/>
      <w:r w:rsidR="000D708B">
        <w:t>destinées</w:t>
      </w:r>
      <w:proofErr w:type="gramEnd"/>
      <w:r w:rsidR="000D708B">
        <w:t xml:space="preserve"> à </w:t>
      </w:r>
      <w:r w:rsidR="000D708B" w:rsidRPr="00461B7D">
        <w:rPr>
          <w:b/>
          <w:color w:val="000000"/>
        </w:rPr>
        <w:t xml:space="preserve">leur </w:t>
      </w:r>
      <w:r w:rsidR="000D708B">
        <w:t xml:space="preserve">usage </w:t>
      </w:r>
      <w:r w:rsidR="000D708B" w:rsidRPr="004E4E7C">
        <w:rPr>
          <w:b/>
        </w:rPr>
        <w:t>personnel</w:t>
      </w:r>
      <w:r w:rsidR="00A81E56">
        <w:t xml:space="preserve"> ou domestique</w:t>
      </w:r>
      <w:r w:rsidR="000D708B">
        <w:t>». Ceci ne peut s’adresser q</w:t>
      </w:r>
      <w:r w:rsidR="00A81E56">
        <w:t>u’à celui qui «effectue» le transport pour «son usage personnel</w:t>
      </w:r>
      <w:r w:rsidR="000D708B">
        <w:t xml:space="preserve">», c’est-à-dire au conducteur qui transporte pour lui-même ces marchandises. Pour imaginer un autre destinataire de l’exemption il aurait fallu que le texte soit formulé d’une manière plus générale, par exemple « transport de marchandises dangereuses effectué par des particuliers … destinées à </w:t>
      </w:r>
      <w:r w:rsidR="000D708B" w:rsidRPr="004E4E7C">
        <w:rPr>
          <w:b/>
        </w:rPr>
        <w:t>un</w:t>
      </w:r>
      <w:r w:rsidR="000D708B">
        <w:t xml:space="preserve"> usage privé ou domestique ». Néanmoins lors de la réunion de novembre 2014, comme ceci est reflété aux points 17 et 18 du rapport ECE/TRANS/WP.15/226, il est ressorti que plusieurs délégations estimaient une telle interprétation comme trop restrictive. Ainsi de l’avis de certains on pourrait admettre que les transports réalisés pour tous les membres d’une même famille ou d’un groupe de plusieurs voyageurs dans le même véhicule peuvent bénéficier du 1.1.3.1 a). (</w:t>
      </w:r>
      <w:proofErr w:type="gramStart"/>
      <w:r w:rsidR="000D708B">
        <w:t>voir</w:t>
      </w:r>
      <w:proofErr w:type="gramEnd"/>
      <w:r w:rsidR="000D708B">
        <w:t xml:space="preserve"> point 17 du rapport ECE/TRANS/WP.15/226). D’autres au contraire estimaient que la rédaction actuelle peut entraîner des abus quant à la quantité de marchandises dangereuses transportées par des grands groupes et qu’il pourrait être utile de fixer des limites raisonnables et praticables pour toutes les marchandises dangereuses pouvant entrer dans le champ d’application du 1.1.3.1 a) (voir point 18 du rapport ECE/TRANS/WP.15/226).</w:t>
      </w:r>
    </w:p>
    <w:p w:rsidR="000D708B" w:rsidRDefault="000D708B" w:rsidP="00A21D65">
      <w:pPr>
        <w:pStyle w:val="SingleTxtG"/>
      </w:pPr>
      <w:r>
        <w:t>4.</w:t>
      </w:r>
      <w:r>
        <w:tab/>
        <w:t>Pour rendre compte de la volonté d’étendre le champ d’application à d’autres particuliers que le conducteur du véhicule nous pensons que le texte du 1.1.3.1 a) devrait être modifié. Le texte de la proposition 1 ci-après continue à s’adresser au conducteur mais étend l’exemption aux transports que ce conducteur réalise pour d’autres particuliers.</w:t>
      </w:r>
    </w:p>
    <w:p w:rsidR="000D708B" w:rsidRDefault="00666122" w:rsidP="00726756">
      <w:pPr>
        <w:pStyle w:val="HChG"/>
      </w:pPr>
      <w:r>
        <w:tab/>
      </w:r>
      <w:r>
        <w:tab/>
      </w:r>
      <w:r w:rsidR="000D708B">
        <w:t>Proposition 1</w:t>
      </w:r>
    </w:p>
    <w:p w:rsidR="000D708B" w:rsidRDefault="000D708B" w:rsidP="00A21D65">
      <w:pPr>
        <w:pStyle w:val="SingleTxtG"/>
      </w:pPr>
      <w:r>
        <w:t xml:space="preserve">Modifier la première </w:t>
      </w:r>
      <w:r w:rsidR="00A81E56">
        <w:t>phrase du 1.1.3.1 a) comme suit</w:t>
      </w:r>
      <w:r>
        <w:t>:</w:t>
      </w:r>
    </w:p>
    <w:p w:rsidR="000D708B" w:rsidRDefault="00C130A9" w:rsidP="00A21D65">
      <w:pPr>
        <w:pStyle w:val="SingleTxtG"/>
        <w:rPr>
          <w:color w:val="1F497D"/>
        </w:rPr>
      </w:pPr>
      <w:r>
        <w:t>«</w:t>
      </w:r>
      <w:proofErr w:type="gramStart"/>
      <w:r w:rsidR="000D708B" w:rsidRPr="00BB31FB">
        <w:t>a</w:t>
      </w:r>
      <w:proofErr w:type="gramEnd"/>
      <w:r w:rsidR="000D708B" w:rsidRPr="00BB31FB">
        <w:t xml:space="preserve">) au transport de marchandises dangereuses effectué par des particuliers </w:t>
      </w:r>
      <w:r w:rsidR="000D708B" w:rsidRPr="00BB31FB">
        <w:rPr>
          <w:b/>
          <w:bCs/>
          <w:u w:val="single"/>
        </w:rPr>
        <w:t>pour leur propre compte ou pour d’autres particuliers</w:t>
      </w:r>
      <w:r w:rsidR="000D708B">
        <w:rPr>
          <w:b/>
          <w:bCs/>
          <w:u w:val="single"/>
        </w:rPr>
        <w:t xml:space="preserve"> </w:t>
      </w:r>
      <w:r w:rsidR="000D708B" w:rsidRPr="00926B9F">
        <w:rPr>
          <w:b/>
          <w:bCs/>
          <w:u w:val="single"/>
        </w:rPr>
        <w:t>présents lors du transport</w:t>
      </w:r>
      <w:r w:rsidR="000D708B" w:rsidRPr="00926B9F">
        <w:t xml:space="preserve"> lorsque</w:t>
      </w:r>
      <w:r>
        <w:t xml:space="preserve"> les marchandises en question….</w:t>
      </w:r>
      <w:r w:rsidR="000D708B">
        <w:rPr>
          <w:color w:val="1F497D"/>
        </w:rPr>
        <w:t>».</w:t>
      </w:r>
    </w:p>
    <w:p w:rsidR="000D708B" w:rsidRDefault="000D708B" w:rsidP="00A21D65">
      <w:pPr>
        <w:pStyle w:val="SingleTxtG"/>
      </w:pPr>
      <w:r>
        <w:t>5.</w:t>
      </w:r>
      <w:r>
        <w:tab/>
        <w:t xml:space="preserve">Pour répondre à la demande de fixer des limites à l’exemption en fonction de quantités, il faut noter que les limites qui figurent actuellement dans la deuxième phrase du 1.1.3.1 a) ne concernent pas toutes les marchandises dangereuses autres que celles </w:t>
      </w:r>
      <w:proofErr w:type="gramStart"/>
      <w:r>
        <w:t>indiquées</w:t>
      </w:r>
      <w:proofErr w:type="gramEnd"/>
      <w:r>
        <w:t xml:space="preserve">, ni les emballages non rechargeables ni ceux qui sont achetés scellés pour la vente au détail. </w:t>
      </w:r>
    </w:p>
    <w:p w:rsidR="000D708B" w:rsidRDefault="000D708B" w:rsidP="00A21D65">
      <w:pPr>
        <w:pStyle w:val="SingleTxtG"/>
      </w:pPr>
      <w:r>
        <w:t>6.</w:t>
      </w:r>
      <w:r>
        <w:tab/>
        <w:t xml:space="preserve">Le fait de fixer des limites en quantité au champ d’application de l’exemption permet une mise en </w:t>
      </w:r>
      <w:r w:rsidR="00236808">
        <w:t>œuvre</w:t>
      </w:r>
      <w:r>
        <w:t xml:space="preserve"> plus simple de celle-ci. En effet, à l’heure actuelle même si une quantité exagérée de marchandises est transportée la police sur la route n’a pas les instruments juridiques qui lui permettent d’interdire la continuation du transport d’une manière simple sur la base des quantités limites. C’est pour cette raison  également que des </w:t>
      </w:r>
      <w:r>
        <w:lastRenderedPageBreak/>
        <w:t xml:space="preserve">limites ont été introduites en Suisse qui </w:t>
      </w:r>
      <w:proofErr w:type="gramStart"/>
      <w:r>
        <w:t>permettent</w:t>
      </w:r>
      <w:proofErr w:type="gramEnd"/>
      <w:r>
        <w:t xml:space="preserve"> de mieux définir le champ d’application de l’exemption du 1.1.3.1 a). Les abus que certains craignent peuvent ainsi être évités.</w:t>
      </w:r>
    </w:p>
    <w:p w:rsidR="000D708B" w:rsidRDefault="000D708B" w:rsidP="00A21D65">
      <w:pPr>
        <w:pStyle w:val="SingleTxtG"/>
      </w:pPr>
      <w:r>
        <w:t>7.</w:t>
      </w:r>
      <w:r>
        <w:tab/>
        <w:t>Il reste à déterminer quelles limites seraient adaptées à garantir la sécurité et l’identification du transport. Pour l’application du 1.1.3.1 a) ADR en Suisse nous avons introduit depuis plus de quinze ans des limites que nous présentons dans la proposition 2a. Celles-ci sont inférieures à celles que l’on trouve au 1.1.3.6 ADR afin de ne pas favoriser des transports en-dehors de la législation et d’éviter une concurrence déloyale par rapport à ceux qui respectent la législation. Ces quantités semblent amplement suffisantes pour les besoins des particuliers. Si le WP.15 est prêt à entrer en matière nous proposerions d’introduire ces textes dans l’ADR.</w:t>
      </w:r>
    </w:p>
    <w:p w:rsidR="000D708B" w:rsidRDefault="00666122" w:rsidP="00726756">
      <w:pPr>
        <w:pStyle w:val="HChG"/>
      </w:pPr>
      <w:r>
        <w:tab/>
      </w:r>
      <w:r>
        <w:tab/>
      </w:r>
      <w:r w:rsidR="000D708B">
        <w:t>Proposition 2a</w:t>
      </w:r>
    </w:p>
    <w:p w:rsidR="000D708B" w:rsidRDefault="003971E7" w:rsidP="00A21D65">
      <w:pPr>
        <w:pStyle w:val="SingleTxtG"/>
      </w:pPr>
      <w:r>
        <w:t>8.</w:t>
      </w:r>
      <w:r>
        <w:tab/>
      </w:r>
      <w:r w:rsidR="000D708B">
        <w:t>Introduire à la fin du 1.1</w:t>
      </w:r>
      <w:r w:rsidR="00F51F35">
        <w:t>.3.1 a) le texte suivant</w:t>
      </w:r>
      <w:r w:rsidR="000D708B">
        <w:t>:</w:t>
      </w:r>
    </w:p>
    <w:p w:rsidR="00236808" w:rsidRDefault="00236808" w:rsidP="00A21D65">
      <w:pPr>
        <w:pStyle w:val="SingleTxtG"/>
        <w:rPr>
          <w:rFonts w:cs="Arial"/>
        </w:rPr>
      </w:pPr>
      <w:r>
        <w:rPr>
          <w:rFonts w:cs="Arial"/>
        </w:rPr>
        <w:t>«</w:t>
      </w:r>
      <w:r w:rsidRPr="00A10361">
        <w:rPr>
          <w:rFonts w:cs="Arial"/>
        </w:rPr>
        <w:t>Pour l’application de ces dispositions la règle suivante doit être observée:</w:t>
      </w:r>
    </w:p>
    <w:p w:rsidR="00236808" w:rsidRPr="00A10361" w:rsidRDefault="00236808" w:rsidP="00236808">
      <w:pPr>
        <w:pStyle w:val="SingleTxtG"/>
      </w:pPr>
      <w:r w:rsidRPr="00A10361">
        <w:t>La quantité totale par unité de transport ne doit pas dépasser les valeurs fixées au tableau ci-dessous.</w:t>
      </w:r>
    </w:p>
    <w:p w:rsidR="00236808" w:rsidRDefault="00236808" w:rsidP="00236808">
      <w:pPr>
        <w:pStyle w:val="SingleTxtG"/>
      </w:pPr>
      <w:r w:rsidRPr="00A10361">
        <w:t>Dans le tableau ci-dessous, par «quantités maximales totales par unité de transport», on entend:</w:t>
      </w:r>
    </w:p>
    <w:p w:rsidR="00236808" w:rsidRDefault="00236808" w:rsidP="00236808">
      <w:pPr>
        <w:pStyle w:val="SingleTxtG"/>
      </w:pPr>
      <w:r w:rsidRPr="00A10361">
        <w:t>–</w:t>
      </w:r>
      <w:r w:rsidRPr="00A10361">
        <w:tab/>
        <w:t>pour les objets, la masse brute en kilogrammes (pour les objets de la classe 1, la masse nette en kg de la matière explosible);</w:t>
      </w:r>
    </w:p>
    <w:p w:rsidR="00236808" w:rsidRDefault="00236808" w:rsidP="00236808">
      <w:pPr>
        <w:pStyle w:val="SingleTxtG"/>
      </w:pPr>
      <w:r w:rsidRPr="00A10361">
        <w:t>–</w:t>
      </w:r>
      <w:r w:rsidRPr="00A10361">
        <w:tab/>
        <w:t xml:space="preserve">pour les matières solides et les gaz liquéfiés, les gaz liquéfiés </w:t>
      </w:r>
      <w:r w:rsidRPr="00A10361">
        <w:rPr>
          <w:noProof/>
        </w:rPr>
        <w:t>réfrigérés</w:t>
      </w:r>
      <w:r w:rsidRPr="00A10361">
        <w:t xml:space="preserve"> et les gaz dissous, la masse nette en kilogrammes;</w:t>
      </w:r>
    </w:p>
    <w:p w:rsidR="00236808" w:rsidRDefault="00236808" w:rsidP="00236808">
      <w:pPr>
        <w:pStyle w:val="SingleTxtG"/>
      </w:pPr>
      <w:r w:rsidRPr="00A10361">
        <w:t>–</w:t>
      </w:r>
      <w:r w:rsidRPr="00A10361">
        <w:tab/>
        <w:t>pour les matières liquides, la quantité totale des marchandises dangereuses contenues, en litres;</w:t>
      </w:r>
    </w:p>
    <w:p w:rsidR="00236808" w:rsidRDefault="00236808" w:rsidP="00236808">
      <w:pPr>
        <w:pStyle w:val="SingleTxtG"/>
      </w:pPr>
      <w:r w:rsidRPr="00A10361">
        <w:t>–</w:t>
      </w:r>
      <w:r w:rsidRPr="00A10361">
        <w:tab/>
        <w:t>pour les gaz comprimés et les produits chimiques sous pression, la contenance en eau du récipient en litres.</w:t>
      </w:r>
    </w:p>
    <w:p w:rsidR="000D708B" w:rsidRDefault="00F51F35" w:rsidP="00726756">
      <w:pPr>
        <w:pStyle w:val="H1G"/>
      </w:pPr>
      <w:r>
        <w:lastRenderedPageBreak/>
        <w:tab/>
      </w:r>
      <w:r>
        <w:tab/>
      </w:r>
      <w:r w:rsidR="000D708B">
        <w:t xml:space="preserve">Tableau </w:t>
      </w:r>
      <w:r w:rsidR="00A020BC">
        <w:t>1.1.3.1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51"/>
        <w:gridCol w:w="1333"/>
        <w:gridCol w:w="2604"/>
        <w:gridCol w:w="1024"/>
        <w:gridCol w:w="1418"/>
      </w:tblGrid>
      <w:tr w:rsidR="000D708B" w:rsidTr="00A020BC">
        <w:trPr>
          <w:cantSplit/>
          <w:trHeight w:val="20"/>
          <w:jc w:val="center"/>
        </w:trPr>
        <w:tc>
          <w:tcPr>
            <w:tcW w:w="2184" w:type="dxa"/>
            <w:gridSpan w:val="2"/>
            <w:tcBorders>
              <w:bottom w:val="single" w:sz="6" w:space="0" w:color="auto"/>
              <w:right w:val="nil"/>
            </w:tcBorders>
            <w:shd w:val="clear" w:color="auto" w:fill="auto"/>
          </w:tcPr>
          <w:p w:rsidR="000D708B" w:rsidRDefault="000D708B" w:rsidP="00A020BC">
            <w:pPr>
              <w:pStyle w:val="TabellenkopfN"/>
              <w:keepNext/>
              <w:keepLines/>
              <w:spacing w:before="20" w:after="20"/>
              <w:rPr>
                <w:szCs w:val="18"/>
                <w:lang w:val="fr-CH"/>
              </w:rPr>
            </w:pPr>
            <w:r>
              <w:rPr>
                <w:lang w:val="fr-CH"/>
              </w:rPr>
              <w:t>Matières ou objets</w:t>
            </w:r>
          </w:p>
        </w:tc>
        <w:tc>
          <w:tcPr>
            <w:tcW w:w="3628" w:type="dxa"/>
            <w:gridSpan w:val="2"/>
            <w:tcBorders>
              <w:left w:val="nil"/>
              <w:bottom w:val="single" w:sz="6" w:space="0" w:color="auto"/>
            </w:tcBorders>
            <w:shd w:val="clear" w:color="auto" w:fill="auto"/>
          </w:tcPr>
          <w:p w:rsidR="000D708B" w:rsidRDefault="000D708B" w:rsidP="00A020BC">
            <w:pPr>
              <w:pStyle w:val="TabellenkopfN"/>
              <w:keepNext/>
              <w:keepLines/>
              <w:spacing w:before="20" w:after="20"/>
              <w:jc w:val="both"/>
              <w:rPr>
                <w:szCs w:val="18"/>
                <w:lang w:val="fr-CH"/>
              </w:rPr>
            </w:pPr>
          </w:p>
        </w:tc>
        <w:tc>
          <w:tcPr>
            <w:tcW w:w="1418" w:type="dxa"/>
            <w:tcBorders>
              <w:bottom w:val="single" w:sz="6" w:space="0" w:color="auto"/>
            </w:tcBorders>
            <w:shd w:val="clear" w:color="auto" w:fill="auto"/>
          </w:tcPr>
          <w:p w:rsidR="000D708B" w:rsidRDefault="000D708B" w:rsidP="00A020BC">
            <w:pPr>
              <w:pStyle w:val="TabellenkopfN"/>
              <w:keepNext/>
              <w:keepLines/>
              <w:spacing w:before="20" w:after="20"/>
              <w:rPr>
                <w:szCs w:val="18"/>
                <w:lang w:val="fr-CH"/>
              </w:rPr>
            </w:pPr>
            <w:r>
              <w:rPr>
                <w:lang w:val="fr-CH"/>
              </w:rPr>
              <w:t>Quantités maximales totales par unité de transport</w:t>
            </w:r>
          </w:p>
        </w:tc>
      </w:tr>
      <w:tr w:rsidR="000D708B" w:rsidTr="00A020BC">
        <w:trPr>
          <w:cantSplit/>
          <w:trHeight w:val="20"/>
          <w:jc w:val="center"/>
        </w:trPr>
        <w:tc>
          <w:tcPr>
            <w:tcW w:w="851" w:type="dxa"/>
            <w:tcBorders>
              <w:bottom w:val="nil"/>
              <w:right w:val="nil"/>
            </w:tcBorders>
            <w:shd w:val="clear" w:color="auto" w:fill="auto"/>
          </w:tcPr>
          <w:p w:rsidR="000D708B" w:rsidRDefault="000D708B" w:rsidP="00A020BC">
            <w:pPr>
              <w:pStyle w:val="Tabkrper38pt"/>
              <w:keepNext/>
              <w:keepLines/>
              <w:spacing w:before="20" w:after="20"/>
              <w:rPr>
                <w:szCs w:val="18"/>
                <w:lang w:val="fr-CH"/>
              </w:rPr>
            </w:pPr>
            <w:r>
              <w:rPr>
                <w:lang w:val="fr-CH"/>
              </w:rPr>
              <w:t xml:space="preserve">Classe </w:t>
            </w:r>
            <w:r>
              <w:rPr>
                <w:szCs w:val="18"/>
                <w:lang w:val="fr-CH"/>
              </w:rPr>
              <w:t>1:</w:t>
            </w:r>
          </w:p>
        </w:tc>
        <w:tc>
          <w:tcPr>
            <w:tcW w:w="4961" w:type="dxa"/>
            <w:gridSpan w:val="3"/>
            <w:tcBorders>
              <w:left w:val="nil"/>
              <w:bottom w:val="nil"/>
            </w:tcBorders>
            <w:shd w:val="clear" w:color="auto" w:fill="auto"/>
          </w:tcPr>
          <w:p w:rsidR="000D708B" w:rsidRPr="000D708B" w:rsidRDefault="000D708B" w:rsidP="00A020BC">
            <w:pPr>
              <w:pStyle w:val="Tabkrper38pt"/>
              <w:keepNext/>
              <w:keepLines/>
              <w:spacing w:before="20" w:after="20"/>
              <w:rPr>
                <w:szCs w:val="18"/>
                <w:lang w:val="en-GB"/>
              </w:rPr>
            </w:pPr>
            <w:r w:rsidRPr="000D708B">
              <w:rPr>
                <w:lang w:val="en-GB"/>
              </w:rPr>
              <w:t xml:space="preserve">1.1A, 1.1L, 1.2L, 1.3L, 1.4L, </w:t>
            </w:r>
            <w:proofErr w:type="spellStart"/>
            <w:r w:rsidRPr="000D708B">
              <w:rPr>
                <w:lang w:val="en-GB"/>
              </w:rPr>
              <w:t>N</w:t>
            </w:r>
            <w:r w:rsidRPr="000D708B">
              <w:rPr>
                <w:position w:val="4"/>
                <w:sz w:val="13"/>
                <w:lang w:val="en-GB"/>
              </w:rPr>
              <w:t>o</w:t>
            </w:r>
            <w:proofErr w:type="spellEnd"/>
            <w:r w:rsidRPr="000D708B">
              <w:rPr>
                <w:lang w:val="en-GB"/>
              </w:rPr>
              <w:t xml:space="preserve"> ONU 0190</w:t>
            </w:r>
          </w:p>
        </w:tc>
        <w:tc>
          <w:tcPr>
            <w:tcW w:w="1418" w:type="dxa"/>
            <w:tcBorders>
              <w:bottom w:val="nil"/>
            </w:tcBorders>
            <w:shd w:val="clear" w:color="auto" w:fill="auto"/>
          </w:tcPr>
          <w:p w:rsidR="000D708B" w:rsidRDefault="000D708B" w:rsidP="00A020BC">
            <w:pPr>
              <w:pStyle w:val="Tabkrper38pt"/>
              <w:keepNext/>
              <w:keepLines/>
              <w:spacing w:before="20" w:after="20"/>
              <w:rPr>
                <w:szCs w:val="18"/>
                <w:lang w:val="fr-CH"/>
              </w:rPr>
            </w:pPr>
            <w:r>
              <w:rPr>
                <w:szCs w:val="16"/>
                <w:lang w:val="fr-CH"/>
              </w:rPr>
              <w:t>0</w:t>
            </w: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3:</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N</w:t>
            </w:r>
            <w:r>
              <w:rPr>
                <w:position w:val="4"/>
                <w:sz w:val="13"/>
                <w:lang w:val="fr-CH"/>
              </w:rPr>
              <w:t>o</w:t>
            </w:r>
            <w:r>
              <w:rPr>
                <w:lang w:val="fr-CH"/>
              </w:rPr>
              <w:t xml:space="preserve"> ONU 3343</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4.2: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appartenant au groupe d’emballage 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4.3:</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appartenant au groupe d’emballage 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5.1: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N</w:t>
            </w:r>
            <w:r>
              <w:rPr>
                <w:position w:val="4"/>
                <w:sz w:val="13"/>
                <w:lang w:val="fr-CH"/>
              </w:rPr>
              <w:t>o</w:t>
            </w:r>
            <w:r>
              <w:rPr>
                <w:lang w:val="fr-CH"/>
              </w:rPr>
              <w:t xml:space="preserve"> ONU 2426</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6.1: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proofErr w:type="spellStart"/>
            <w:r>
              <w:rPr>
                <w:lang w:val="fr-CH"/>
              </w:rPr>
              <w:t>N</w:t>
            </w:r>
            <w:r>
              <w:rPr>
                <w:position w:val="4"/>
                <w:sz w:val="13"/>
                <w:lang w:val="fr-CH"/>
              </w:rPr>
              <w:t>os</w:t>
            </w:r>
            <w:proofErr w:type="spellEnd"/>
            <w:r>
              <w:rPr>
                <w:lang w:val="fr-CH"/>
              </w:rPr>
              <w:t xml:space="preserve"> ONU 1051, 1600, 1613, 1614, 2312, 3250 et 3294</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6.2: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proofErr w:type="spellStart"/>
            <w:r>
              <w:rPr>
                <w:lang w:val="fr-CH"/>
              </w:rPr>
              <w:t>N</w:t>
            </w:r>
            <w:r>
              <w:rPr>
                <w:position w:val="4"/>
                <w:sz w:val="13"/>
                <w:lang w:val="fr-CH"/>
              </w:rPr>
              <w:t>os</w:t>
            </w:r>
            <w:proofErr w:type="spellEnd"/>
            <w:r>
              <w:rPr>
                <w:lang w:val="fr-CH"/>
              </w:rPr>
              <w:t xml:space="preserve"> ONU 2814 et 2900</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7:</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N</w:t>
            </w:r>
            <w:r>
              <w:rPr>
                <w:position w:val="4"/>
                <w:sz w:val="13"/>
                <w:lang w:val="fr-CH"/>
              </w:rPr>
              <w:t>o</w:t>
            </w:r>
            <w:r>
              <w:rPr>
                <w:lang w:val="fr-CH"/>
              </w:rPr>
              <w:t xml:space="preserve"> ONU 2912 à 2919, 2977, 2978, 3321 à 3333</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8:</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pacing w:val="-1"/>
                <w:szCs w:val="18"/>
                <w:lang w:val="fr-CH"/>
              </w:rPr>
            </w:pPr>
            <w:r>
              <w:rPr>
                <w:lang w:val="fr-CH"/>
              </w:rPr>
              <w:t>N</w:t>
            </w:r>
            <w:r>
              <w:rPr>
                <w:position w:val="4"/>
                <w:sz w:val="13"/>
                <w:lang w:val="fr-CH"/>
              </w:rPr>
              <w:t>o</w:t>
            </w:r>
            <w:r>
              <w:rPr>
                <w:lang w:val="fr-CH"/>
              </w:rPr>
              <w:t xml:space="preserve"> ONU 2215 (ANHYDRIDE MALEIQUE FONDU)</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9:</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pacing w:val="-1"/>
                <w:szCs w:val="18"/>
                <w:lang w:val="fr-CH"/>
              </w:rPr>
            </w:pPr>
            <w:proofErr w:type="spellStart"/>
            <w:r>
              <w:rPr>
                <w:spacing w:val="-1"/>
                <w:lang w:val="fr-CH"/>
              </w:rPr>
              <w:t>N</w:t>
            </w:r>
            <w:r>
              <w:rPr>
                <w:spacing w:val="-1"/>
                <w:position w:val="4"/>
                <w:sz w:val="13"/>
                <w:lang w:val="fr-CH"/>
              </w:rPr>
              <w:t>os</w:t>
            </w:r>
            <w:proofErr w:type="spellEnd"/>
            <w:r>
              <w:rPr>
                <w:spacing w:val="-1"/>
                <w:lang w:val="fr-CH"/>
              </w:rPr>
              <w:t xml:space="preserve"> ONU 2315, 3151, 3152 et 3432 ainsi que les appareils qui contiennent de telles matières ou des mélanges de celles-ci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4788" w:type="dxa"/>
            <w:gridSpan w:val="3"/>
            <w:tcBorders>
              <w:top w:val="nil"/>
              <w:bottom w:val="single" w:sz="6" w:space="0" w:color="auto"/>
              <w:right w:val="nil"/>
            </w:tcBorders>
            <w:shd w:val="clear" w:color="auto" w:fill="auto"/>
          </w:tcPr>
          <w:p w:rsidR="000D708B" w:rsidRDefault="000D708B" w:rsidP="00A020BC">
            <w:pPr>
              <w:pStyle w:val="Tabkrper383pt"/>
              <w:keepNext/>
              <w:keepLines/>
              <w:spacing w:before="20" w:after="20"/>
              <w:rPr>
                <w:szCs w:val="18"/>
                <w:lang w:val="fr-CH"/>
              </w:rPr>
            </w:pPr>
            <w:r>
              <w:rPr>
                <w:lang w:val="fr-CH"/>
              </w:rPr>
              <w:t>ainsi que les emballages vides non nettoyés ayant contenu des matières figurant dans cette catégorie de transport, à l’exception de ceux classés sous le N</w:t>
            </w:r>
            <w:r>
              <w:rPr>
                <w:position w:val="4"/>
                <w:sz w:val="13"/>
                <w:lang w:val="fr-CH"/>
              </w:rPr>
              <w:t>o</w:t>
            </w:r>
            <w:r>
              <w:rPr>
                <w:lang w:val="fr-CH"/>
              </w:rPr>
              <w:t xml:space="preserve"> ONU 2908.</w:t>
            </w:r>
          </w:p>
        </w:tc>
        <w:tc>
          <w:tcPr>
            <w:tcW w:w="1024" w:type="dxa"/>
            <w:tcBorders>
              <w:top w:val="nil"/>
              <w:left w:val="nil"/>
              <w:bottom w:val="single" w:sz="6" w:space="0" w:color="auto"/>
              <w:right w:val="single" w:sz="6" w:space="0" w:color="auto"/>
            </w:tcBorders>
            <w:shd w:val="clear" w:color="auto" w:fill="auto"/>
          </w:tcPr>
          <w:p w:rsidR="000D708B" w:rsidRDefault="000D708B" w:rsidP="00A020BC">
            <w:pPr>
              <w:pStyle w:val="Tabkrper383pt"/>
              <w:keepNext/>
              <w:keepLines/>
              <w:spacing w:before="20" w:after="20"/>
              <w:jc w:val="both"/>
              <w:rPr>
                <w:szCs w:val="18"/>
                <w:lang w:val="fr-CH"/>
              </w:rPr>
            </w:pPr>
          </w:p>
        </w:tc>
        <w:tc>
          <w:tcPr>
            <w:tcW w:w="1418" w:type="dxa"/>
            <w:tcBorders>
              <w:top w:val="nil"/>
              <w:left w:val="single" w:sz="6" w:space="0" w:color="auto"/>
              <w:bottom w:val="single" w:sz="6" w:space="0" w:color="auto"/>
            </w:tcBorders>
            <w:shd w:val="clear" w:color="auto" w:fill="auto"/>
          </w:tcPr>
          <w:p w:rsidR="000D708B" w:rsidRDefault="000D708B" w:rsidP="00A020BC">
            <w:pPr>
              <w:pStyle w:val="Tabkrper383pt"/>
              <w:keepNext/>
              <w:keepLines/>
              <w:spacing w:before="20" w:after="20"/>
              <w:jc w:val="both"/>
              <w:rPr>
                <w:szCs w:val="18"/>
                <w:lang w:val="fr-CH"/>
              </w:rPr>
            </w:pPr>
          </w:p>
        </w:tc>
      </w:tr>
      <w:tr w:rsidR="000D708B" w:rsidTr="00A020BC">
        <w:trPr>
          <w:cantSplit/>
          <w:trHeight w:val="20"/>
          <w:jc w:val="center"/>
        </w:trPr>
        <w:tc>
          <w:tcPr>
            <w:tcW w:w="851" w:type="dxa"/>
            <w:tcBorders>
              <w:top w:val="single" w:sz="6" w:space="0" w:color="auto"/>
              <w:bottom w:val="nil"/>
              <w:right w:val="nil"/>
            </w:tcBorders>
            <w:shd w:val="clear" w:color="auto" w:fill="auto"/>
          </w:tcPr>
          <w:p w:rsidR="000D708B" w:rsidRDefault="000D708B" w:rsidP="00A020BC">
            <w:pPr>
              <w:pStyle w:val="Tabkrper38pt"/>
              <w:keepNext/>
              <w:keepLines/>
              <w:spacing w:before="20" w:after="20"/>
              <w:rPr>
                <w:szCs w:val="18"/>
                <w:lang w:val="fr-CH"/>
              </w:rPr>
            </w:pPr>
            <w:r>
              <w:rPr>
                <w:lang w:val="fr-CH"/>
              </w:rPr>
              <w:t xml:space="preserve">Classe </w:t>
            </w:r>
            <w:r>
              <w:rPr>
                <w:szCs w:val="18"/>
                <w:lang w:val="fr-CH"/>
              </w:rPr>
              <w:t>1:</w:t>
            </w:r>
          </w:p>
        </w:tc>
        <w:tc>
          <w:tcPr>
            <w:tcW w:w="4961" w:type="dxa"/>
            <w:gridSpan w:val="3"/>
            <w:tcBorders>
              <w:top w:val="single" w:sz="6" w:space="0" w:color="auto"/>
              <w:left w:val="nil"/>
              <w:bottom w:val="nil"/>
            </w:tcBorders>
            <w:shd w:val="clear" w:color="auto" w:fill="auto"/>
          </w:tcPr>
          <w:p w:rsidR="000D708B" w:rsidRDefault="000D708B" w:rsidP="00A020BC">
            <w:pPr>
              <w:pStyle w:val="Tabkrper38pt"/>
              <w:keepNext/>
              <w:keepLines/>
              <w:spacing w:before="20" w:after="20"/>
              <w:rPr>
                <w:szCs w:val="18"/>
                <w:lang w:val="fr-CH"/>
              </w:rPr>
            </w:pPr>
            <w:r>
              <w:rPr>
                <w:lang w:val="fr-CH"/>
              </w:rPr>
              <w:t>matières des divisions 1.1C à 1.5D et objets des divisions 1.1B et 1.2B</w:t>
            </w:r>
          </w:p>
        </w:tc>
        <w:tc>
          <w:tcPr>
            <w:tcW w:w="1418" w:type="dxa"/>
            <w:tcBorders>
              <w:top w:val="single" w:sz="6" w:space="0" w:color="auto"/>
              <w:bottom w:val="nil"/>
            </w:tcBorders>
            <w:shd w:val="clear" w:color="auto" w:fill="auto"/>
          </w:tcPr>
          <w:p w:rsidR="000D708B" w:rsidRDefault="000D708B" w:rsidP="00A020BC">
            <w:pPr>
              <w:pStyle w:val="Tabkrper38pt"/>
              <w:keepNext/>
              <w:keepLines/>
              <w:spacing w:before="20" w:after="20"/>
              <w:rPr>
                <w:szCs w:val="18"/>
                <w:lang w:val="fr-CH"/>
              </w:rPr>
            </w:pPr>
            <w:r>
              <w:rPr>
                <w:szCs w:val="16"/>
                <w:lang w:val="fr-CH"/>
              </w:rPr>
              <w:t>1</w:t>
            </w: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4.1: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proofErr w:type="spellStart"/>
            <w:r>
              <w:rPr>
                <w:lang w:val="fr-CH"/>
              </w:rPr>
              <w:t>N</w:t>
            </w:r>
            <w:r>
              <w:rPr>
                <w:position w:val="4"/>
                <w:sz w:val="13"/>
                <w:lang w:val="fr-CH"/>
              </w:rPr>
              <w:t>os</w:t>
            </w:r>
            <w:proofErr w:type="spellEnd"/>
            <w:r>
              <w:rPr>
                <w:lang w:val="fr-CH"/>
              </w:rPr>
              <w:t xml:space="preserve"> ONU 3221 à 3224 et 3231 à 3240 et matières du groupe d’emballage 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4.2: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du groupe d’emballage II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4.3:</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du groupe d’emballage II ou III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5.1: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du groupe d’emballage 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single" w:sz="6" w:space="0" w:color="auto"/>
              <w:right w:val="nil"/>
            </w:tcBorders>
            <w:shd w:val="clear" w:color="auto" w:fill="auto"/>
          </w:tcPr>
          <w:p w:rsidR="000D708B" w:rsidRDefault="000D708B" w:rsidP="00A020BC">
            <w:pPr>
              <w:pStyle w:val="Tabkrper383pt"/>
              <w:keepNext/>
              <w:keepLines/>
              <w:spacing w:before="20" w:after="20"/>
              <w:jc w:val="both"/>
              <w:rPr>
                <w:szCs w:val="18"/>
                <w:lang w:val="fr-CH"/>
              </w:rPr>
            </w:pPr>
            <w:r>
              <w:rPr>
                <w:lang w:val="fr-CH"/>
              </w:rPr>
              <w:t xml:space="preserve">Classe </w:t>
            </w:r>
            <w:r>
              <w:rPr>
                <w:szCs w:val="18"/>
                <w:lang w:val="fr-CH"/>
              </w:rPr>
              <w:t>5.2:</w:t>
            </w:r>
          </w:p>
        </w:tc>
        <w:tc>
          <w:tcPr>
            <w:tcW w:w="4961" w:type="dxa"/>
            <w:gridSpan w:val="3"/>
            <w:tcBorders>
              <w:top w:val="nil"/>
              <w:left w:val="nil"/>
              <w:bottom w:val="single" w:sz="6" w:space="0" w:color="auto"/>
            </w:tcBorders>
            <w:shd w:val="clear" w:color="auto" w:fill="auto"/>
          </w:tcPr>
          <w:p w:rsidR="000D708B" w:rsidRDefault="000D708B" w:rsidP="00A020BC">
            <w:pPr>
              <w:pStyle w:val="Tabkrper383pt"/>
              <w:keepNext/>
              <w:keepLines/>
              <w:spacing w:before="20" w:after="20"/>
              <w:jc w:val="both"/>
              <w:rPr>
                <w:szCs w:val="18"/>
                <w:lang w:val="fr-CH"/>
              </w:rPr>
            </w:pPr>
            <w:proofErr w:type="spellStart"/>
            <w:r>
              <w:rPr>
                <w:lang w:val="fr-CH"/>
              </w:rPr>
              <w:t>N</w:t>
            </w:r>
            <w:r>
              <w:rPr>
                <w:position w:val="4"/>
                <w:sz w:val="13"/>
                <w:lang w:val="fr-CH"/>
              </w:rPr>
              <w:t>os</w:t>
            </w:r>
            <w:proofErr w:type="spellEnd"/>
            <w:r>
              <w:rPr>
                <w:lang w:val="fr-CH"/>
              </w:rPr>
              <w:t xml:space="preserve"> ONU 3101 à 3104, 3111 à 3120</w:t>
            </w:r>
          </w:p>
        </w:tc>
        <w:tc>
          <w:tcPr>
            <w:tcW w:w="1418" w:type="dxa"/>
            <w:tcBorders>
              <w:top w:val="nil"/>
              <w:bottom w:val="single" w:sz="6" w:space="0" w:color="auto"/>
            </w:tcBorders>
            <w:shd w:val="clear" w:color="auto" w:fill="auto"/>
          </w:tcPr>
          <w:p w:rsidR="000D708B" w:rsidRDefault="000D708B" w:rsidP="00A020BC">
            <w:pPr>
              <w:pStyle w:val="Tabkrper383pt"/>
              <w:keepNext/>
              <w:keepLines/>
              <w:spacing w:before="20" w:after="20"/>
              <w:jc w:val="both"/>
              <w:rPr>
                <w:szCs w:val="18"/>
                <w:lang w:val="fr-CH"/>
              </w:rPr>
            </w:pPr>
          </w:p>
        </w:tc>
      </w:tr>
      <w:tr w:rsidR="000D708B" w:rsidTr="00A020BC">
        <w:trPr>
          <w:cantSplit/>
          <w:trHeight w:val="20"/>
          <w:jc w:val="center"/>
        </w:trPr>
        <w:tc>
          <w:tcPr>
            <w:tcW w:w="4788" w:type="dxa"/>
            <w:gridSpan w:val="3"/>
            <w:tcBorders>
              <w:top w:val="single" w:sz="6" w:space="0" w:color="auto"/>
              <w:bottom w:val="nil"/>
              <w:right w:val="nil"/>
            </w:tcBorders>
            <w:shd w:val="clear" w:color="auto" w:fill="auto"/>
          </w:tcPr>
          <w:p w:rsidR="000D708B" w:rsidRDefault="000D708B" w:rsidP="00A020BC">
            <w:pPr>
              <w:pStyle w:val="Tabkrper38pt"/>
              <w:keepNext/>
              <w:keepLines/>
              <w:spacing w:before="20" w:after="20"/>
              <w:rPr>
                <w:szCs w:val="18"/>
                <w:lang w:val="fr-CH"/>
              </w:rPr>
            </w:pPr>
            <w:r>
              <w:rPr>
                <w:lang w:val="fr-CH"/>
              </w:rPr>
              <w:t>Matières et objets du groupe d’emballage I et ne figurant pas dans les quantités maximales autorisées 0 ou 1 ainsi que les matières et objets des classes ou groupes suivants:</w:t>
            </w:r>
          </w:p>
        </w:tc>
        <w:tc>
          <w:tcPr>
            <w:tcW w:w="1024" w:type="dxa"/>
            <w:tcBorders>
              <w:top w:val="single" w:sz="6" w:space="0" w:color="auto"/>
              <w:left w:val="nil"/>
              <w:bottom w:val="nil"/>
            </w:tcBorders>
            <w:shd w:val="clear" w:color="auto" w:fill="auto"/>
          </w:tcPr>
          <w:p w:rsidR="000D708B" w:rsidRDefault="000D708B" w:rsidP="00A020BC">
            <w:pPr>
              <w:pStyle w:val="Tabkrper38pt"/>
              <w:keepNext/>
              <w:keepLines/>
              <w:spacing w:before="20" w:after="20"/>
              <w:rPr>
                <w:szCs w:val="18"/>
                <w:lang w:val="fr-CH"/>
              </w:rPr>
            </w:pPr>
          </w:p>
        </w:tc>
        <w:tc>
          <w:tcPr>
            <w:tcW w:w="1418" w:type="dxa"/>
            <w:tcBorders>
              <w:top w:val="single" w:sz="6" w:space="0" w:color="auto"/>
              <w:bottom w:val="nil"/>
            </w:tcBorders>
            <w:shd w:val="clear" w:color="auto" w:fill="auto"/>
          </w:tcPr>
          <w:p w:rsidR="000D708B" w:rsidRDefault="000D708B" w:rsidP="00A020BC">
            <w:pPr>
              <w:pStyle w:val="Tabkrper38pt"/>
              <w:keepNext/>
              <w:keepLines/>
              <w:spacing w:before="20" w:after="20"/>
              <w:rPr>
                <w:szCs w:val="18"/>
                <w:lang w:val="fr-CH"/>
              </w:rPr>
            </w:pPr>
            <w:r>
              <w:rPr>
                <w:szCs w:val="16"/>
                <w:lang w:val="fr-CH"/>
              </w:rPr>
              <w:t>5</w:t>
            </w: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Objets des divisions 1.1C à 1.1J, 1.2C à 1.2J, 1.3C à 1.3J, 1.4B à 1.4S, 1.6N</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lang w:val="fr-CH"/>
              </w:rPr>
            </w:pPr>
            <w:r>
              <w:rPr>
                <w:lang w:val="fr-CH"/>
              </w:rPr>
              <w:t>groupes T, TC, TO, TF, TOC et TFC</w:t>
            </w:r>
            <w:r>
              <w:rPr>
                <w:lang w:val="fr-CH"/>
              </w:rPr>
              <w:br/>
              <w:t>aérosols: groupes C, CO, FC, T, TF, TC, TO, TFC et TOC</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4.1: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proofErr w:type="spellStart"/>
            <w:r>
              <w:rPr>
                <w:lang w:val="fr-CH"/>
              </w:rPr>
              <w:t>N</w:t>
            </w:r>
            <w:r>
              <w:rPr>
                <w:position w:val="4"/>
                <w:sz w:val="13"/>
                <w:lang w:val="fr-CH"/>
              </w:rPr>
              <w:t>os</w:t>
            </w:r>
            <w:proofErr w:type="spellEnd"/>
            <w:r>
              <w:rPr>
                <w:lang w:val="fr-CH"/>
              </w:rPr>
              <w:t xml:space="preserve"> ONU 3225 à 3230</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5.1: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du groupe d’emballage II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5.2: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proofErr w:type="spellStart"/>
            <w:r>
              <w:rPr>
                <w:lang w:val="fr-CH"/>
              </w:rPr>
              <w:t>N</w:t>
            </w:r>
            <w:r>
              <w:rPr>
                <w:position w:val="4"/>
                <w:sz w:val="13"/>
                <w:lang w:val="fr-CH"/>
              </w:rPr>
              <w:t>os</w:t>
            </w:r>
            <w:proofErr w:type="spellEnd"/>
            <w:r>
              <w:rPr>
                <w:lang w:val="fr-CH"/>
              </w:rPr>
              <w:t xml:space="preserve"> ONU 3105 à 3110</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single" w:sz="6" w:space="0" w:color="auto"/>
              <w:right w:val="nil"/>
            </w:tcBorders>
            <w:shd w:val="clear" w:color="auto" w:fill="auto"/>
          </w:tcPr>
          <w:p w:rsidR="000D708B" w:rsidRDefault="000D708B" w:rsidP="00A020BC">
            <w:pPr>
              <w:pStyle w:val="Tabkrper383pt"/>
              <w:keepNext/>
              <w:keepLines/>
              <w:spacing w:before="20" w:after="20"/>
              <w:jc w:val="both"/>
              <w:rPr>
                <w:szCs w:val="18"/>
                <w:lang w:val="fr-CH"/>
              </w:rPr>
            </w:pPr>
            <w:r>
              <w:rPr>
                <w:lang w:val="fr-CH"/>
              </w:rPr>
              <w:t xml:space="preserve">Classe </w:t>
            </w:r>
            <w:r>
              <w:rPr>
                <w:szCs w:val="18"/>
                <w:lang w:val="fr-CH"/>
              </w:rPr>
              <w:t>9:</w:t>
            </w:r>
          </w:p>
        </w:tc>
        <w:tc>
          <w:tcPr>
            <w:tcW w:w="4961" w:type="dxa"/>
            <w:gridSpan w:val="3"/>
            <w:tcBorders>
              <w:top w:val="nil"/>
              <w:left w:val="nil"/>
              <w:bottom w:val="single" w:sz="6" w:space="0" w:color="auto"/>
            </w:tcBorders>
            <w:shd w:val="clear" w:color="auto" w:fill="auto"/>
          </w:tcPr>
          <w:p w:rsidR="000D708B" w:rsidRDefault="000D708B" w:rsidP="00A020BC">
            <w:pPr>
              <w:pStyle w:val="Tabkrper383pt"/>
              <w:keepNext/>
              <w:keepLines/>
              <w:spacing w:before="20" w:after="20"/>
              <w:jc w:val="both"/>
              <w:rPr>
                <w:szCs w:val="18"/>
                <w:lang w:val="fr-CH"/>
              </w:rPr>
            </w:pPr>
            <w:r>
              <w:rPr>
                <w:lang w:val="fr-CH"/>
              </w:rPr>
              <w:t>N</w:t>
            </w:r>
            <w:r>
              <w:rPr>
                <w:position w:val="4"/>
                <w:sz w:val="13"/>
                <w:lang w:val="fr-CH"/>
              </w:rPr>
              <w:t>o</w:t>
            </w:r>
            <w:r>
              <w:rPr>
                <w:lang w:val="fr-CH"/>
              </w:rPr>
              <w:t xml:space="preserve"> ONU 3245</w:t>
            </w:r>
          </w:p>
        </w:tc>
        <w:tc>
          <w:tcPr>
            <w:tcW w:w="1418" w:type="dxa"/>
            <w:tcBorders>
              <w:top w:val="nil"/>
              <w:bottom w:val="single" w:sz="6" w:space="0" w:color="auto"/>
            </w:tcBorders>
            <w:shd w:val="clear" w:color="auto" w:fill="auto"/>
          </w:tcPr>
          <w:p w:rsidR="000D708B" w:rsidRDefault="000D708B" w:rsidP="00A020BC">
            <w:pPr>
              <w:pStyle w:val="Tabkrper383pt"/>
              <w:keepNext/>
              <w:keepLines/>
              <w:spacing w:before="20" w:after="20"/>
              <w:jc w:val="both"/>
              <w:rPr>
                <w:szCs w:val="18"/>
                <w:lang w:val="fr-CH"/>
              </w:rPr>
            </w:pPr>
          </w:p>
        </w:tc>
      </w:tr>
      <w:tr w:rsidR="000D708B" w:rsidTr="00A020BC">
        <w:trPr>
          <w:cantSplit/>
          <w:trHeight w:val="20"/>
          <w:jc w:val="center"/>
        </w:trPr>
        <w:tc>
          <w:tcPr>
            <w:tcW w:w="4788" w:type="dxa"/>
            <w:gridSpan w:val="3"/>
            <w:tcBorders>
              <w:top w:val="single" w:sz="6" w:space="0" w:color="auto"/>
              <w:bottom w:val="nil"/>
              <w:right w:val="nil"/>
            </w:tcBorders>
            <w:shd w:val="clear" w:color="auto" w:fill="auto"/>
          </w:tcPr>
          <w:p w:rsidR="000D708B" w:rsidRDefault="000D708B" w:rsidP="00A020BC">
            <w:pPr>
              <w:pStyle w:val="Tabkrper38pt"/>
              <w:keepNext/>
              <w:keepLines/>
              <w:spacing w:before="20" w:after="20"/>
              <w:rPr>
                <w:szCs w:val="18"/>
                <w:lang w:val="fr-CH"/>
              </w:rPr>
            </w:pPr>
            <w:r>
              <w:rPr>
                <w:lang w:val="fr-CH"/>
              </w:rPr>
              <w:t>Matières et objets du groupe d’emballage II et ne figurant pas dans les quantités maximales autorisées 0, 1 ou 5 ainsi que les matières et objets des classes ou groupes suivants:</w:t>
            </w:r>
          </w:p>
        </w:tc>
        <w:tc>
          <w:tcPr>
            <w:tcW w:w="1024" w:type="dxa"/>
            <w:tcBorders>
              <w:top w:val="single" w:sz="6" w:space="0" w:color="auto"/>
              <w:left w:val="nil"/>
              <w:bottom w:val="nil"/>
            </w:tcBorders>
            <w:shd w:val="clear" w:color="auto" w:fill="auto"/>
          </w:tcPr>
          <w:p w:rsidR="000D708B" w:rsidRDefault="000D708B" w:rsidP="00A020BC">
            <w:pPr>
              <w:pStyle w:val="Tabkrper38pt"/>
              <w:keepNext/>
              <w:keepLines/>
              <w:spacing w:before="20" w:after="20"/>
              <w:rPr>
                <w:szCs w:val="18"/>
                <w:lang w:val="fr-CH"/>
              </w:rPr>
            </w:pPr>
          </w:p>
        </w:tc>
        <w:tc>
          <w:tcPr>
            <w:tcW w:w="1418" w:type="dxa"/>
            <w:tcBorders>
              <w:top w:val="single" w:sz="6" w:space="0" w:color="auto"/>
              <w:bottom w:val="nil"/>
            </w:tcBorders>
            <w:shd w:val="clear" w:color="auto" w:fill="auto"/>
          </w:tcPr>
          <w:p w:rsidR="000D708B" w:rsidRDefault="000D708B" w:rsidP="00A020BC">
            <w:pPr>
              <w:pStyle w:val="Tabkrper38pt"/>
              <w:keepNext/>
              <w:keepLines/>
              <w:spacing w:before="20" w:after="20"/>
              <w:rPr>
                <w:szCs w:val="18"/>
                <w:lang w:val="fr-CH"/>
              </w:rPr>
            </w:pPr>
            <w:r>
              <w:rPr>
                <w:szCs w:val="16"/>
                <w:lang w:val="fr-CH"/>
              </w:rPr>
              <w:t>100</w:t>
            </w: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groupe F, aérosols: groupe F</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5.1:</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matières du groupe d’emballage III</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383pt"/>
              <w:keepNext/>
              <w:keepLines/>
              <w:spacing w:before="20" w:after="20"/>
              <w:jc w:val="both"/>
              <w:rPr>
                <w:szCs w:val="18"/>
                <w:lang w:val="fr-CH"/>
              </w:rPr>
            </w:pPr>
            <w:r>
              <w:rPr>
                <w:lang w:val="fr-CH"/>
              </w:rPr>
              <w:t xml:space="preserve">Classe </w:t>
            </w:r>
            <w:r>
              <w:rPr>
                <w:szCs w:val="18"/>
                <w:lang w:val="fr-CH"/>
              </w:rPr>
              <w:t>6.1:</w:t>
            </w:r>
          </w:p>
        </w:tc>
        <w:tc>
          <w:tcPr>
            <w:tcW w:w="4961" w:type="dxa"/>
            <w:gridSpan w:val="3"/>
            <w:tcBorders>
              <w:top w:val="nil"/>
              <w:left w:val="nil"/>
              <w:bottom w:val="nil"/>
            </w:tcBorders>
            <w:shd w:val="clear" w:color="auto" w:fill="auto"/>
          </w:tcPr>
          <w:p w:rsidR="000D708B" w:rsidRDefault="000D708B" w:rsidP="00A020BC">
            <w:pPr>
              <w:pStyle w:val="Tabkrper383pt"/>
              <w:keepNext/>
              <w:keepLines/>
              <w:spacing w:before="20" w:after="20"/>
              <w:jc w:val="both"/>
              <w:rPr>
                <w:szCs w:val="18"/>
                <w:lang w:val="fr-CH"/>
              </w:rPr>
            </w:pPr>
            <w:r>
              <w:rPr>
                <w:lang w:val="fr-CH"/>
              </w:rPr>
              <w:t>matières du groupe d’emballage III</w:t>
            </w:r>
          </w:p>
        </w:tc>
        <w:tc>
          <w:tcPr>
            <w:tcW w:w="1418" w:type="dxa"/>
            <w:tcBorders>
              <w:top w:val="nil"/>
              <w:bottom w:val="nil"/>
            </w:tcBorders>
            <w:shd w:val="clear" w:color="auto" w:fill="auto"/>
          </w:tcPr>
          <w:p w:rsidR="000D708B" w:rsidRDefault="000D708B" w:rsidP="00A020BC">
            <w:pPr>
              <w:pStyle w:val="Tabkrper383pt"/>
              <w:keepNext/>
              <w:keepLines/>
              <w:spacing w:before="20" w:after="20"/>
              <w:jc w:val="both"/>
              <w:rPr>
                <w:szCs w:val="18"/>
                <w:lang w:val="fr-CH"/>
              </w:rPr>
            </w:pPr>
          </w:p>
        </w:tc>
      </w:tr>
      <w:tr w:rsidR="000D708B" w:rsidTr="00A020BC">
        <w:trPr>
          <w:cantSplit/>
          <w:trHeight w:val="20"/>
          <w:jc w:val="center"/>
        </w:trPr>
        <w:tc>
          <w:tcPr>
            <w:tcW w:w="4788" w:type="dxa"/>
            <w:gridSpan w:val="3"/>
            <w:tcBorders>
              <w:top w:val="single" w:sz="6" w:space="0" w:color="auto"/>
              <w:bottom w:val="nil"/>
              <w:right w:val="nil"/>
            </w:tcBorders>
            <w:shd w:val="clear" w:color="auto" w:fill="auto"/>
          </w:tcPr>
          <w:p w:rsidR="000D708B" w:rsidRDefault="000D708B" w:rsidP="00A020BC">
            <w:pPr>
              <w:pStyle w:val="Tabkrper38pt"/>
              <w:keepNext/>
              <w:keepLines/>
              <w:spacing w:before="20" w:after="20"/>
              <w:rPr>
                <w:szCs w:val="18"/>
                <w:lang w:val="fr-CH"/>
              </w:rPr>
            </w:pPr>
            <w:r>
              <w:rPr>
                <w:lang w:val="fr-CH"/>
              </w:rPr>
              <w:t>Matières et objets du groupe d’emballage III et ne figurant pas dans les quantités maximales autorisées 0, 1, 5 ou 100 ainsi que les matières et objets des classes ou groupes suivants:</w:t>
            </w:r>
          </w:p>
        </w:tc>
        <w:tc>
          <w:tcPr>
            <w:tcW w:w="1024" w:type="dxa"/>
            <w:tcBorders>
              <w:top w:val="single" w:sz="6" w:space="0" w:color="auto"/>
              <w:left w:val="nil"/>
              <w:bottom w:val="nil"/>
            </w:tcBorders>
            <w:shd w:val="clear" w:color="auto" w:fill="auto"/>
          </w:tcPr>
          <w:p w:rsidR="000D708B" w:rsidRDefault="000D708B" w:rsidP="00A020BC">
            <w:pPr>
              <w:pStyle w:val="Tabkrper38pt"/>
              <w:keepNext/>
              <w:keepLines/>
              <w:spacing w:before="20" w:after="20"/>
              <w:rPr>
                <w:szCs w:val="18"/>
                <w:lang w:val="fr-CH"/>
              </w:rPr>
            </w:pPr>
          </w:p>
        </w:tc>
        <w:tc>
          <w:tcPr>
            <w:tcW w:w="1418" w:type="dxa"/>
            <w:tcBorders>
              <w:top w:val="single" w:sz="6" w:space="0" w:color="auto"/>
              <w:bottom w:val="nil"/>
            </w:tcBorders>
            <w:shd w:val="clear" w:color="auto" w:fill="auto"/>
          </w:tcPr>
          <w:p w:rsidR="000D708B" w:rsidRDefault="000D708B" w:rsidP="00A020BC">
            <w:pPr>
              <w:pStyle w:val="Tabkrper38pt"/>
              <w:keepNext/>
              <w:keepLines/>
              <w:spacing w:before="20" w:after="20"/>
              <w:rPr>
                <w:szCs w:val="18"/>
                <w:lang w:val="fr-CH"/>
              </w:rPr>
            </w:pPr>
            <w:r>
              <w:rPr>
                <w:szCs w:val="16"/>
                <w:lang w:val="fr-CH"/>
              </w:rPr>
              <w:t>300</w:t>
            </w: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2:</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groupes A et </w:t>
            </w:r>
            <w:proofErr w:type="gramStart"/>
            <w:r>
              <w:rPr>
                <w:lang w:val="fr-CH"/>
              </w:rPr>
              <w:t>O ,aérosols</w:t>
            </w:r>
            <w:proofErr w:type="gramEnd"/>
            <w:r>
              <w:rPr>
                <w:lang w:val="fr-CH"/>
              </w:rPr>
              <w:t>: groupes A et O</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rPr>
                <w:szCs w:val="18"/>
                <w:lang w:val="fr-CH"/>
              </w:rPr>
            </w:pPr>
            <w:r>
              <w:rPr>
                <w:lang w:val="fr-CH"/>
              </w:rPr>
              <w:t xml:space="preserve">Classe </w:t>
            </w:r>
            <w:r>
              <w:rPr>
                <w:szCs w:val="18"/>
                <w:lang w:val="fr-CH"/>
              </w:rPr>
              <w:t>3:</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rPr>
                <w:szCs w:val="18"/>
                <w:lang w:val="fr-CH"/>
              </w:rPr>
            </w:pPr>
            <w:r>
              <w:rPr>
                <w:lang w:val="fr-CH"/>
              </w:rPr>
              <w:t>N</w:t>
            </w:r>
            <w:r>
              <w:rPr>
                <w:position w:val="4"/>
                <w:sz w:val="13"/>
                <w:lang w:val="fr-CH"/>
              </w:rPr>
              <w:t>o</w:t>
            </w:r>
            <w:r>
              <w:rPr>
                <w:lang w:val="fr-CH"/>
              </w:rPr>
              <w:t xml:space="preserve"> 3473</w:t>
            </w:r>
          </w:p>
        </w:tc>
        <w:tc>
          <w:tcPr>
            <w:tcW w:w="1418" w:type="dxa"/>
            <w:tcBorders>
              <w:top w:val="nil"/>
              <w:bottom w:val="nil"/>
            </w:tcBorders>
            <w:shd w:val="clear" w:color="auto" w:fill="auto"/>
          </w:tcPr>
          <w:p w:rsidR="000D708B" w:rsidRDefault="000D708B" w:rsidP="00A020BC">
            <w:pPr>
              <w:pStyle w:val="Tabkrper08pt"/>
              <w:keepNext/>
              <w:keepLines/>
              <w:spacing w:before="20" w:after="20"/>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jc w:val="both"/>
              <w:rPr>
                <w:szCs w:val="18"/>
                <w:lang w:val="fr-CH"/>
              </w:rPr>
            </w:pPr>
            <w:r>
              <w:rPr>
                <w:lang w:val="fr-CH"/>
              </w:rPr>
              <w:t xml:space="preserve">Classe </w:t>
            </w:r>
            <w:r>
              <w:rPr>
                <w:szCs w:val="18"/>
                <w:lang w:val="fr-CH"/>
              </w:rPr>
              <w:t>4.3:</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jc w:val="both"/>
              <w:rPr>
                <w:szCs w:val="18"/>
                <w:lang w:val="fr-CH"/>
              </w:rPr>
            </w:pPr>
            <w:r>
              <w:rPr>
                <w:lang w:val="fr-CH"/>
              </w:rPr>
              <w:t>N</w:t>
            </w:r>
            <w:r>
              <w:rPr>
                <w:position w:val="4"/>
                <w:sz w:val="13"/>
                <w:lang w:val="fr-CH"/>
              </w:rPr>
              <w:t>o</w:t>
            </w:r>
            <w:r>
              <w:rPr>
                <w:lang w:val="fr-CH"/>
              </w:rPr>
              <w:t xml:space="preserve"> 3476</w:t>
            </w:r>
          </w:p>
        </w:tc>
        <w:tc>
          <w:tcPr>
            <w:tcW w:w="1418" w:type="dxa"/>
            <w:tcBorders>
              <w:top w:val="nil"/>
              <w:bottom w:val="nil"/>
            </w:tcBorders>
            <w:shd w:val="clear" w:color="auto" w:fill="auto"/>
          </w:tcPr>
          <w:p w:rsidR="000D708B" w:rsidRDefault="000D708B" w:rsidP="00A020BC">
            <w:pPr>
              <w:pStyle w:val="Tabkrper08pt"/>
              <w:keepNext/>
              <w:keepLines/>
              <w:spacing w:before="20" w:after="20"/>
              <w:jc w:val="both"/>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keepNext/>
              <w:keepLines/>
              <w:spacing w:before="20" w:after="20"/>
              <w:jc w:val="both"/>
              <w:rPr>
                <w:szCs w:val="18"/>
                <w:lang w:val="fr-CH"/>
              </w:rPr>
            </w:pPr>
            <w:r>
              <w:rPr>
                <w:lang w:val="fr-CH"/>
              </w:rPr>
              <w:t xml:space="preserve">Classe </w:t>
            </w:r>
            <w:r>
              <w:rPr>
                <w:szCs w:val="18"/>
                <w:lang w:val="fr-CH"/>
              </w:rPr>
              <w:t>7:</w:t>
            </w:r>
          </w:p>
        </w:tc>
        <w:tc>
          <w:tcPr>
            <w:tcW w:w="4961" w:type="dxa"/>
            <w:gridSpan w:val="3"/>
            <w:tcBorders>
              <w:top w:val="nil"/>
              <w:left w:val="nil"/>
              <w:bottom w:val="nil"/>
            </w:tcBorders>
            <w:shd w:val="clear" w:color="auto" w:fill="auto"/>
          </w:tcPr>
          <w:p w:rsidR="000D708B" w:rsidRDefault="000D708B" w:rsidP="00A020BC">
            <w:pPr>
              <w:pStyle w:val="Tabkrper08pt"/>
              <w:keepNext/>
              <w:keepLines/>
              <w:spacing w:before="20" w:after="20"/>
              <w:jc w:val="both"/>
              <w:rPr>
                <w:szCs w:val="18"/>
                <w:lang w:val="fr-CH"/>
              </w:rPr>
            </w:pPr>
            <w:r>
              <w:rPr>
                <w:lang w:val="fr-CH"/>
              </w:rPr>
              <w:t>N</w:t>
            </w:r>
            <w:r>
              <w:rPr>
                <w:position w:val="4"/>
                <w:sz w:val="13"/>
                <w:lang w:val="fr-CH"/>
              </w:rPr>
              <w:t>os</w:t>
            </w:r>
            <w:r>
              <w:rPr>
                <w:lang w:val="fr-CH"/>
              </w:rPr>
              <w:t xml:space="preserve"> 2908 à 2911</w:t>
            </w:r>
          </w:p>
        </w:tc>
        <w:tc>
          <w:tcPr>
            <w:tcW w:w="1418" w:type="dxa"/>
            <w:tcBorders>
              <w:top w:val="nil"/>
              <w:bottom w:val="nil"/>
            </w:tcBorders>
            <w:shd w:val="clear" w:color="auto" w:fill="auto"/>
          </w:tcPr>
          <w:p w:rsidR="000D708B" w:rsidRDefault="000D708B" w:rsidP="00A020BC">
            <w:pPr>
              <w:pStyle w:val="Tabkrper08pt"/>
              <w:keepNext/>
              <w:keepLines/>
              <w:spacing w:before="20" w:after="20"/>
              <w:jc w:val="both"/>
              <w:rPr>
                <w:szCs w:val="18"/>
                <w:lang w:val="fr-CH"/>
              </w:rPr>
            </w:pPr>
          </w:p>
        </w:tc>
      </w:tr>
      <w:tr w:rsidR="000D708B" w:rsidTr="00A020BC">
        <w:trPr>
          <w:cantSplit/>
          <w:trHeight w:val="20"/>
          <w:jc w:val="center"/>
        </w:trPr>
        <w:tc>
          <w:tcPr>
            <w:tcW w:w="851" w:type="dxa"/>
            <w:tcBorders>
              <w:top w:val="nil"/>
              <w:bottom w:val="nil"/>
              <w:right w:val="nil"/>
            </w:tcBorders>
            <w:shd w:val="clear" w:color="auto" w:fill="auto"/>
          </w:tcPr>
          <w:p w:rsidR="000D708B" w:rsidRDefault="000D708B" w:rsidP="00A020BC">
            <w:pPr>
              <w:pStyle w:val="Tabkrper08pt"/>
              <w:spacing w:before="20" w:after="20"/>
              <w:jc w:val="both"/>
              <w:rPr>
                <w:szCs w:val="18"/>
                <w:lang w:val="fr-CH"/>
              </w:rPr>
            </w:pPr>
            <w:r>
              <w:rPr>
                <w:lang w:val="fr-CH"/>
              </w:rPr>
              <w:t xml:space="preserve">Classe </w:t>
            </w:r>
            <w:r>
              <w:rPr>
                <w:szCs w:val="18"/>
                <w:lang w:val="fr-CH"/>
              </w:rPr>
              <w:t>8:</w:t>
            </w:r>
          </w:p>
        </w:tc>
        <w:tc>
          <w:tcPr>
            <w:tcW w:w="4961" w:type="dxa"/>
            <w:gridSpan w:val="3"/>
            <w:tcBorders>
              <w:top w:val="nil"/>
              <w:left w:val="nil"/>
              <w:bottom w:val="nil"/>
            </w:tcBorders>
            <w:shd w:val="clear" w:color="auto" w:fill="auto"/>
          </w:tcPr>
          <w:p w:rsidR="000D708B" w:rsidRDefault="000D708B" w:rsidP="00A020BC">
            <w:pPr>
              <w:pStyle w:val="Tabkrper08pt"/>
              <w:spacing w:before="20" w:after="20"/>
              <w:jc w:val="both"/>
              <w:rPr>
                <w:szCs w:val="18"/>
                <w:lang w:val="fr-CH"/>
              </w:rPr>
            </w:pPr>
            <w:r>
              <w:rPr>
                <w:lang w:val="fr-CH"/>
              </w:rPr>
              <w:t>N</w:t>
            </w:r>
            <w:r>
              <w:rPr>
                <w:position w:val="4"/>
                <w:sz w:val="13"/>
                <w:lang w:val="fr-CH"/>
              </w:rPr>
              <w:t>os</w:t>
            </w:r>
            <w:r>
              <w:rPr>
                <w:lang w:val="fr-CH"/>
              </w:rPr>
              <w:t xml:space="preserve"> 2794, 2795, 2800, 3028 et 3477</w:t>
            </w:r>
          </w:p>
        </w:tc>
        <w:tc>
          <w:tcPr>
            <w:tcW w:w="1418" w:type="dxa"/>
            <w:tcBorders>
              <w:top w:val="nil"/>
              <w:bottom w:val="nil"/>
            </w:tcBorders>
            <w:shd w:val="clear" w:color="auto" w:fill="auto"/>
          </w:tcPr>
          <w:p w:rsidR="000D708B" w:rsidRDefault="000D708B" w:rsidP="00A020BC">
            <w:pPr>
              <w:pStyle w:val="Tabkrper08pt"/>
              <w:spacing w:before="20" w:after="20"/>
              <w:jc w:val="both"/>
              <w:rPr>
                <w:szCs w:val="18"/>
                <w:lang w:val="fr-CH"/>
              </w:rPr>
            </w:pPr>
          </w:p>
        </w:tc>
      </w:tr>
      <w:tr w:rsidR="000D708B" w:rsidTr="00A020BC">
        <w:trPr>
          <w:cantSplit/>
          <w:trHeight w:val="20"/>
          <w:jc w:val="center"/>
        </w:trPr>
        <w:tc>
          <w:tcPr>
            <w:tcW w:w="851" w:type="dxa"/>
            <w:tcBorders>
              <w:top w:val="nil"/>
              <w:bottom w:val="single" w:sz="6" w:space="0" w:color="auto"/>
              <w:right w:val="nil"/>
            </w:tcBorders>
            <w:shd w:val="clear" w:color="auto" w:fill="auto"/>
          </w:tcPr>
          <w:p w:rsidR="000D708B" w:rsidRDefault="000D708B" w:rsidP="00A020BC">
            <w:pPr>
              <w:pStyle w:val="Tabkrper383pt"/>
              <w:spacing w:before="20" w:after="20"/>
              <w:jc w:val="both"/>
              <w:rPr>
                <w:szCs w:val="18"/>
                <w:lang w:val="fr-CH"/>
              </w:rPr>
            </w:pPr>
            <w:r>
              <w:rPr>
                <w:lang w:val="fr-CH"/>
              </w:rPr>
              <w:t xml:space="preserve">Classe </w:t>
            </w:r>
            <w:r>
              <w:rPr>
                <w:szCs w:val="18"/>
                <w:lang w:val="fr-CH"/>
              </w:rPr>
              <w:t>9:</w:t>
            </w:r>
          </w:p>
        </w:tc>
        <w:tc>
          <w:tcPr>
            <w:tcW w:w="4961" w:type="dxa"/>
            <w:gridSpan w:val="3"/>
            <w:tcBorders>
              <w:top w:val="nil"/>
              <w:left w:val="nil"/>
              <w:bottom w:val="single" w:sz="6" w:space="0" w:color="auto"/>
            </w:tcBorders>
            <w:shd w:val="clear" w:color="auto" w:fill="auto"/>
          </w:tcPr>
          <w:p w:rsidR="000D708B" w:rsidRDefault="000D708B" w:rsidP="00A020BC">
            <w:pPr>
              <w:pStyle w:val="Tabkrper383pt"/>
              <w:spacing w:before="20" w:after="20"/>
              <w:jc w:val="both"/>
              <w:rPr>
                <w:szCs w:val="18"/>
                <w:lang w:val="fr-CH"/>
              </w:rPr>
            </w:pPr>
            <w:r>
              <w:rPr>
                <w:lang w:val="fr-CH"/>
              </w:rPr>
              <w:t>N</w:t>
            </w:r>
            <w:r>
              <w:rPr>
                <w:position w:val="4"/>
                <w:sz w:val="13"/>
                <w:lang w:val="fr-CH"/>
              </w:rPr>
              <w:t>os</w:t>
            </w:r>
            <w:r>
              <w:rPr>
                <w:lang w:val="fr-CH"/>
              </w:rPr>
              <w:t xml:space="preserve"> 2990 et UN 3072</w:t>
            </w:r>
          </w:p>
        </w:tc>
        <w:tc>
          <w:tcPr>
            <w:tcW w:w="1418" w:type="dxa"/>
            <w:tcBorders>
              <w:top w:val="nil"/>
              <w:bottom w:val="single" w:sz="6" w:space="0" w:color="auto"/>
            </w:tcBorders>
            <w:shd w:val="clear" w:color="auto" w:fill="auto"/>
          </w:tcPr>
          <w:p w:rsidR="000D708B" w:rsidRDefault="000D708B" w:rsidP="00A020BC">
            <w:pPr>
              <w:pStyle w:val="Tabkrper383pt"/>
              <w:spacing w:before="20" w:after="20"/>
              <w:jc w:val="both"/>
              <w:rPr>
                <w:szCs w:val="18"/>
                <w:lang w:val="fr-CH"/>
              </w:rPr>
            </w:pPr>
          </w:p>
        </w:tc>
      </w:tr>
    </w:tbl>
    <w:p w:rsidR="00A020BC" w:rsidRDefault="00A020BC" w:rsidP="00A020BC">
      <w:pPr>
        <w:pStyle w:val="SingleTxtG"/>
        <w:spacing w:before="120"/>
      </w:pPr>
      <w:r w:rsidRPr="00A10361">
        <w:t>Lorsque des marchandises dangereuses appartenant à des catégories de transport différentes, telles que définies dans le tableau A, sont transportées dans la même unité de transport, la somme de</w:t>
      </w:r>
      <w:r>
        <w:t>:</w:t>
      </w:r>
    </w:p>
    <w:p w:rsidR="00A020BC" w:rsidRDefault="00A020BC" w:rsidP="00A020BC">
      <w:pPr>
        <w:pStyle w:val="SingleTxtG"/>
      </w:pPr>
      <w:r w:rsidRPr="00A10361">
        <w:t>–</w:t>
      </w:r>
      <w:r w:rsidRPr="00A10361">
        <w:tab/>
        <w:t>la quantité de matières et d’objets de quantité maximale totale 1 multipliée par 300</w:t>
      </w:r>
      <w:r>
        <w:t>;</w:t>
      </w:r>
    </w:p>
    <w:p w:rsidR="00A020BC" w:rsidRDefault="00A020BC" w:rsidP="00A020BC">
      <w:pPr>
        <w:pStyle w:val="SingleTxtG"/>
      </w:pPr>
      <w:r w:rsidRPr="00A10361">
        <w:t>–</w:t>
      </w:r>
      <w:r w:rsidRPr="00A10361">
        <w:tab/>
        <w:t>la quantité de matières et d’objets de quantité maximale totale 5 multipliée par 60</w:t>
      </w:r>
      <w:r>
        <w:t>;</w:t>
      </w:r>
    </w:p>
    <w:p w:rsidR="00A020BC" w:rsidRDefault="00A020BC" w:rsidP="00A020BC">
      <w:pPr>
        <w:pStyle w:val="SingleTxtG"/>
      </w:pPr>
      <w:r w:rsidRPr="00A10361">
        <w:t>–</w:t>
      </w:r>
      <w:r w:rsidRPr="00A10361">
        <w:tab/>
        <w:t>la quantité de matières et d’objets de quantité maximale totale 100 multipliée par 3</w:t>
      </w:r>
      <w:r>
        <w:t xml:space="preserve">; </w:t>
      </w:r>
      <w:r w:rsidRPr="00A10361">
        <w:t>et</w:t>
      </w:r>
    </w:p>
    <w:p w:rsidR="00A020BC" w:rsidRDefault="00A020BC" w:rsidP="00A020BC">
      <w:pPr>
        <w:pStyle w:val="SingleTxtG"/>
      </w:pPr>
      <w:r w:rsidRPr="00A10361">
        <w:t>–</w:t>
      </w:r>
      <w:r w:rsidRPr="00A10361">
        <w:tab/>
        <w:t>la quantité de matières et d’objets de quantité maximale totale 300</w:t>
      </w:r>
    </w:p>
    <w:p w:rsidR="00A020BC" w:rsidRDefault="00A020BC" w:rsidP="00A020BC">
      <w:pPr>
        <w:pStyle w:val="SingleTxtG"/>
      </w:pPr>
      <w:proofErr w:type="gramStart"/>
      <w:r w:rsidRPr="00A10361">
        <w:t>ne</w:t>
      </w:r>
      <w:proofErr w:type="gramEnd"/>
      <w:r w:rsidRPr="00A10361">
        <w:t xml:space="preserve"> doit pas dépasser 300.</w:t>
      </w:r>
      <w:r>
        <w:t>»</w:t>
      </w:r>
    </w:p>
    <w:p w:rsidR="000D708B" w:rsidRDefault="003971E7" w:rsidP="00A21D65">
      <w:pPr>
        <w:pStyle w:val="SingleTxtG"/>
      </w:pPr>
      <w:r>
        <w:lastRenderedPageBreak/>
        <w:t>9</w:t>
      </w:r>
      <w:r w:rsidR="000D708B">
        <w:t>.</w:t>
      </w:r>
      <w:r w:rsidR="000D708B">
        <w:tab/>
        <w:t xml:space="preserve">Une autre option pourrait être de se référer aux quantités fixées au 1.1.3.6.3 comme dans la proposition 2b ci-après. Elle aurait l’avantage de la simplicité mais elle a le désavantage à notre avis de stimuler les transports réalisés sans respect des règles de l’ADR par rapport à ceux qui les respectent. </w:t>
      </w:r>
    </w:p>
    <w:p w:rsidR="000D708B" w:rsidRDefault="00666122" w:rsidP="00726756">
      <w:pPr>
        <w:pStyle w:val="HChG"/>
      </w:pPr>
      <w:r>
        <w:tab/>
      </w:r>
      <w:r>
        <w:tab/>
      </w:r>
      <w:r w:rsidR="000D708B">
        <w:t>Proposition 2b</w:t>
      </w:r>
    </w:p>
    <w:p w:rsidR="000D708B" w:rsidRDefault="003971E7" w:rsidP="00A21D65">
      <w:pPr>
        <w:pStyle w:val="SingleTxtG"/>
      </w:pPr>
      <w:r>
        <w:t>10.</w:t>
      </w:r>
      <w:r>
        <w:tab/>
      </w:r>
      <w:r w:rsidR="000D708B">
        <w:t>Introduire une deuxième phrase au 1</w:t>
      </w:r>
      <w:r w:rsidR="00F51F35">
        <w:t>.1.3.1 a) avec le texte suivant</w:t>
      </w:r>
      <w:r w:rsidR="000D708B">
        <w:t>:</w:t>
      </w:r>
    </w:p>
    <w:p w:rsidR="000D708B" w:rsidRDefault="00F51F35" w:rsidP="00A21D65">
      <w:pPr>
        <w:pStyle w:val="SingleTxtG"/>
        <w:rPr>
          <w:rFonts w:ascii="TimesNewRomanPSMT" w:hAnsi="TimesNewRomanPSMT" w:cs="TimesNewRomanPSMT"/>
          <w:lang w:eastAsia="fr-CH"/>
        </w:rPr>
      </w:pPr>
      <w:r>
        <w:t>«</w:t>
      </w:r>
      <w:r w:rsidR="000D708B">
        <w:t>Dans ce cas les quantités totales transportées ne sont pas supérieu</w:t>
      </w:r>
      <w:r>
        <w:t>res à celles prévues au 1.1.3.6</w:t>
      </w:r>
      <w:r w:rsidR="000D708B">
        <w:t xml:space="preserve">». </w:t>
      </w:r>
    </w:p>
    <w:p w:rsidR="000D708B" w:rsidRDefault="00666122" w:rsidP="00726756">
      <w:pPr>
        <w:pStyle w:val="HChG"/>
      </w:pPr>
      <w:r>
        <w:tab/>
      </w:r>
      <w:r>
        <w:tab/>
      </w:r>
      <w:r w:rsidR="000D708B">
        <w:t xml:space="preserve">Amendement de conséquence </w:t>
      </w:r>
    </w:p>
    <w:p w:rsidR="000D708B" w:rsidRDefault="00726756" w:rsidP="00A21D65">
      <w:pPr>
        <w:pStyle w:val="SingleTxtG"/>
      </w:pPr>
      <w:r>
        <w:rPr>
          <w:lang w:eastAsia="fr-CH"/>
        </w:rPr>
        <w:t>11.</w:t>
      </w:r>
      <w:r>
        <w:rPr>
          <w:lang w:eastAsia="fr-CH"/>
        </w:rPr>
        <w:tab/>
      </w:r>
      <w:r w:rsidR="000D708B" w:rsidRPr="00926B9F">
        <w:rPr>
          <w:lang w:eastAsia="fr-CH"/>
        </w:rPr>
        <w:t xml:space="preserve">Pour les propositions 2a et 2b, </w:t>
      </w:r>
      <w:r w:rsidR="000D708B">
        <w:rPr>
          <w:lang w:eastAsia="fr-CH"/>
        </w:rPr>
        <w:t xml:space="preserve">au 1.1.3.6.5 </w:t>
      </w:r>
      <w:r w:rsidR="00F51F35">
        <w:rPr>
          <w:lang w:eastAsia="fr-CH"/>
        </w:rPr>
        <w:t>supprimer «</w:t>
      </w:r>
      <w:r w:rsidR="000D708B" w:rsidRPr="00926B9F">
        <w:rPr>
          <w:lang w:eastAsia="fr-CH"/>
        </w:rPr>
        <w:t>a)</w:t>
      </w:r>
      <w:r w:rsidR="00F51F35">
        <w:rPr>
          <w:lang w:eastAsia="fr-CH"/>
        </w:rPr>
        <w:t>» après «1.1.3.1</w:t>
      </w:r>
      <w:r w:rsidR="000D708B">
        <w:rPr>
          <w:lang w:eastAsia="fr-CH"/>
        </w:rPr>
        <w:t>».</w:t>
      </w:r>
    </w:p>
    <w:p w:rsidR="000D708B" w:rsidRPr="009662F6" w:rsidRDefault="000D708B" w:rsidP="000D708B">
      <w:pPr>
        <w:pStyle w:val="SingleTxtG"/>
        <w:spacing w:before="240" w:after="0"/>
        <w:jc w:val="center"/>
        <w:rPr>
          <w:u w:val="single"/>
        </w:rPr>
      </w:pPr>
      <w:r>
        <w:rPr>
          <w:u w:val="single"/>
        </w:rPr>
        <w:tab/>
      </w:r>
      <w:r>
        <w:rPr>
          <w:u w:val="single"/>
        </w:rPr>
        <w:tab/>
      </w:r>
      <w:r>
        <w:rPr>
          <w:u w:val="single"/>
        </w:rPr>
        <w:tab/>
      </w:r>
    </w:p>
    <w:sectPr w:rsidR="000D708B" w:rsidRPr="009662F6" w:rsidSect="009F160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52" w:rsidRDefault="00EB2352" w:rsidP="00F95C08">
      <w:pPr>
        <w:spacing w:line="240" w:lineRule="auto"/>
      </w:pPr>
    </w:p>
  </w:endnote>
  <w:endnote w:type="continuationSeparator" w:id="0">
    <w:p w:rsidR="00EB2352" w:rsidRPr="00AC3823" w:rsidRDefault="00EB2352" w:rsidP="00AC3823">
      <w:pPr>
        <w:pStyle w:val="Footer"/>
      </w:pPr>
    </w:p>
  </w:endnote>
  <w:endnote w:type="continuationNotice" w:id="1">
    <w:p w:rsidR="00EB2352" w:rsidRDefault="00EB23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7D" w:rsidRPr="009F1600" w:rsidRDefault="00754A7D" w:rsidP="009F1600">
    <w:pPr>
      <w:pStyle w:val="Footer"/>
      <w:tabs>
        <w:tab w:val="right" w:pos="9638"/>
      </w:tabs>
    </w:pPr>
    <w:r w:rsidRPr="009F1600">
      <w:rPr>
        <w:b/>
        <w:sz w:val="18"/>
      </w:rPr>
      <w:fldChar w:fldCharType="begin"/>
    </w:r>
    <w:r w:rsidRPr="009F1600">
      <w:rPr>
        <w:b/>
        <w:sz w:val="18"/>
      </w:rPr>
      <w:instrText xml:space="preserve"> PAGE  \* MERGEFORMAT </w:instrText>
    </w:r>
    <w:r w:rsidRPr="009F1600">
      <w:rPr>
        <w:b/>
        <w:sz w:val="18"/>
      </w:rPr>
      <w:fldChar w:fldCharType="separate"/>
    </w:r>
    <w:r w:rsidR="00BC4BED">
      <w:rPr>
        <w:b/>
        <w:noProof/>
        <w:sz w:val="18"/>
      </w:rPr>
      <w:t>4</w:t>
    </w:r>
    <w:r w:rsidRPr="009F160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7D" w:rsidRPr="009F1600" w:rsidRDefault="00754A7D" w:rsidP="009F1600">
    <w:pPr>
      <w:pStyle w:val="Footer"/>
      <w:tabs>
        <w:tab w:val="right" w:pos="9638"/>
      </w:tabs>
      <w:rPr>
        <w:b/>
        <w:sz w:val="18"/>
      </w:rPr>
    </w:pPr>
    <w:r>
      <w:tab/>
    </w:r>
    <w:r w:rsidRPr="009F1600">
      <w:rPr>
        <w:b/>
        <w:sz w:val="18"/>
      </w:rPr>
      <w:fldChar w:fldCharType="begin"/>
    </w:r>
    <w:r w:rsidRPr="009F1600">
      <w:rPr>
        <w:b/>
        <w:sz w:val="18"/>
      </w:rPr>
      <w:instrText xml:space="preserve"> PAGE  \* MERGEFORMAT </w:instrText>
    </w:r>
    <w:r w:rsidRPr="009F1600">
      <w:rPr>
        <w:b/>
        <w:sz w:val="18"/>
      </w:rPr>
      <w:fldChar w:fldCharType="separate"/>
    </w:r>
    <w:r w:rsidR="00BC4BED">
      <w:rPr>
        <w:b/>
        <w:noProof/>
        <w:sz w:val="18"/>
      </w:rPr>
      <w:t>5</w:t>
    </w:r>
    <w:r w:rsidRPr="009F16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7D" w:rsidRPr="009F1600" w:rsidRDefault="00754A7D" w:rsidP="009F1600">
    <w:pPr>
      <w:pStyle w:val="Footer"/>
      <w:spacing w:before="120"/>
      <w:rPr>
        <w:sz w:val="20"/>
      </w:rPr>
    </w:pPr>
    <w:r>
      <w:rPr>
        <w:sz w:val="20"/>
      </w:rPr>
      <w:t>GE.</w:t>
    </w:r>
    <w:r w:rsidR="00726729">
      <w:rPr>
        <w:noProof/>
        <w:lang w:val="en-GB" w:eastAsia="en-GB"/>
      </w:rPr>
      <w:drawing>
        <wp:anchor distT="0" distB="0" distL="114300" distR="114300" simplePos="0" relativeHeight="251657728" behindDoc="0" locked="0" layoutInCell="1" allowOverlap="0">
          <wp:simplePos x="0" y="0"/>
          <wp:positionH relativeFrom="margin">
            <wp:posOffset>4319905</wp:posOffset>
          </wp:positionH>
          <wp:positionV relativeFrom="margin">
            <wp:posOffset>8279765</wp:posOffset>
          </wp:positionV>
          <wp:extent cx="1104900" cy="234315"/>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52" w:rsidRPr="006A1422" w:rsidRDefault="00EB2352" w:rsidP="006A1422">
      <w:pPr>
        <w:pStyle w:val="Footer"/>
      </w:pPr>
    </w:p>
  </w:footnote>
  <w:footnote w:type="continuationSeparator" w:id="0">
    <w:p w:rsidR="00EB2352" w:rsidRPr="00AC3823" w:rsidRDefault="00EB2352" w:rsidP="00AC3823">
      <w:pPr>
        <w:pStyle w:val="Footer"/>
        <w:tabs>
          <w:tab w:val="right" w:pos="2155"/>
        </w:tabs>
        <w:spacing w:after="80" w:line="240" w:lineRule="atLeast"/>
        <w:ind w:left="680"/>
        <w:rPr>
          <w:u w:val="single"/>
        </w:rPr>
      </w:pPr>
      <w:r>
        <w:rPr>
          <w:u w:val="single"/>
        </w:rPr>
        <w:tab/>
      </w:r>
    </w:p>
  </w:footnote>
  <w:footnote w:type="continuationNotice" w:id="1">
    <w:p w:rsidR="00EB2352" w:rsidRPr="00AC3823" w:rsidRDefault="00EB2352">
      <w:pPr>
        <w:spacing w:line="240" w:lineRule="auto"/>
        <w:rPr>
          <w:sz w:val="2"/>
          <w:szCs w:val="2"/>
        </w:rPr>
      </w:pPr>
    </w:p>
  </w:footnote>
  <w:footnote w:id="2">
    <w:p w:rsidR="00754A7D" w:rsidRDefault="00754A7D" w:rsidP="00C130A9">
      <w:pPr>
        <w:pStyle w:val="FootnoteText"/>
      </w:pPr>
      <w:r>
        <w:tab/>
      </w:r>
      <w:r>
        <w:rPr>
          <w:rStyle w:val="FootnoteReference"/>
        </w:rPr>
        <w:footnoteRef/>
      </w:r>
      <w:r>
        <w:tab/>
      </w:r>
      <w:r w:rsidRPr="007667F8">
        <w:t xml:space="preserve">Conformément au programme </w:t>
      </w:r>
      <w:r>
        <w:t>de travail du Comité des transports intérieurs pour la période 2014</w:t>
      </w:r>
      <w:r>
        <w:noBreakHyphen/>
        <w:t>2015 (ECE/TRANS/240, par. </w:t>
      </w:r>
      <w:r w:rsidRPr="007667F8">
        <w:t xml:space="preserve">100, ECE/TRANS/2014/23, </w:t>
      </w:r>
      <w:r>
        <w:t>module </w:t>
      </w:r>
      <w:r w:rsidRPr="007667F8">
        <w:t>9, par.</w:t>
      </w:r>
      <w:r>
        <w:t> </w:t>
      </w:r>
      <w:r w:rsidRPr="007667F8">
        <w:t>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7D" w:rsidRPr="009F1600" w:rsidRDefault="00754A7D">
    <w:pPr>
      <w:pStyle w:val="Header"/>
    </w:pPr>
    <w:r>
      <w:t>ECE/TRANS/WP.15/2015/7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7D" w:rsidRPr="009F1600" w:rsidRDefault="00754A7D" w:rsidP="009F1600">
    <w:pPr>
      <w:pStyle w:val="Header"/>
      <w:jc w:val="right"/>
    </w:pPr>
    <w:r>
      <w:t>ECE/TRANS/WP.15/2015/7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911A04F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C"/>
    <w:rsid w:val="00017F94"/>
    <w:rsid w:val="00023842"/>
    <w:rsid w:val="000334F9"/>
    <w:rsid w:val="0007796D"/>
    <w:rsid w:val="000B7790"/>
    <w:rsid w:val="000D708B"/>
    <w:rsid w:val="000E5D1F"/>
    <w:rsid w:val="000F445E"/>
    <w:rsid w:val="00111F2F"/>
    <w:rsid w:val="0014365E"/>
    <w:rsid w:val="00143C66"/>
    <w:rsid w:val="00176178"/>
    <w:rsid w:val="001E27CD"/>
    <w:rsid w:val="001F525A"/>
    <w:rsid w:val="00223272"/>
    <w:rsid w:val="00236808"/>
    <w:rsid w:val="0024779E"/>
    <w:rsid w:val="00257168"/>
    <w:rsid w:val="002744B8"/>
    <w:rsid w:val="002832AC"/>
    <w:rsid w:val="002D7C93"/>
    <w:rsid w:val="00305801"/>
    <w:rsid w:val="00357495"/>
    <w:rsid w:val="00372ACF"/>
    <w:rsid w:val="00374BA4"/>
    <w:rsid w:val="003848F7"/>
    <w:rsid w:val="003916DE"/>
    <w:rsid w:val="003971E7"/>
    <w:rsid w:val="003C0B60"/>
    <w:rsid w:val="003F3F85"/>
    <w:rsid w:val="004218E3"/>
    <w:rsid w:val="00430CA4"/>
    <w:rsid w:val="00441C3B"/>
    <w:rsid w:val="00446FE5"/>
    <w:rsid w:val="00452396"/>
    <w:rsid w:val="004524E6"/>
    <w:rsid w:val="004837D8"/>
    <w:rsid w:val="004A6C2A"/>
    <w:rsid w:val="004E468C"/>
    <w:rsid w:val="0051333D"/>
    <w:rsid w:val="00520A05"/>
    <w:rsid w:val="005505B7"/>
    <w:rsid w:val="00573BE5"/>
    <w:rsid w:val="00586ED3"/>
    <w:rsid w:val="00593DA3"/>
    <w:rsid w:val="00596AA9"/>
    <w:rsid w:val="005D5464"/>
    <w:rsid w:val="00603C3C"/>
    <w:rsid w:val="00643BDD"/>
    <w:rsid w:val="00666122"/>
    <w:rsid w:val="006A1422"/>
    <w:rsid w:val="0071601D"/>
    <w:rsid w:val="00725A5C"/>
    <w:rsid w:val="00726729"/>
    <w:rsid w:val="00726756"/>
    <w:rsid w:val="007364B4"/>
    <w:rsid w:val="00754A7D"/>
    <w:rsid w:val="00794655"/>
    <w:rsid w:val="007A62E6"/>
    <w:rsid w:val="007F20FA"/>
    <w:rsid w:val="0080684C"/>
    <w:rsid w:val="008164FC"/>
    <w:rsid w:val="00871C75"/>
    <w:rsid w:val="008724F8"/>
    <w:rsid w:val="00873E37"/>
    <w:rsid w:val="008776DC"/>
    <w:rsid w:val="00885DCC"/>
    <w:rsid w:val="008C28C9"/>
    <w:rsid w:val="008F4D3A"/>
    <w:rsid w:val="009705C8"/>
    <w:rsid w:val="009C1CF4"/>
    <w:rsid w:val="009D79F1"/>
    <w:rsid w:val="009F1600"/>
    <w:rsid w:val="009F2220"/>
    <w:rsid w:val="009F6B74"/>
    <w:rsid w:val="00A020BC"/>
    <w:rsid w:val="00A02213"/>
    <w:rsid w:val="00A13076"/>
    <w:rsid w:val="00A21D65"/>
    <w:rsid w:val="00A30353"/>
    <w:rsid w:val="00A5753E"/>
    <w:rsid w:val="00A67276"/>
    <w:rsid w:val="00A81E56"/>
    <w:rsid w:val="00AC084B"/>
    <w:rsid w:val="00AC3823"/>
    <w:rsid w:val="00AC54E0"/>
    <w:rsid w:val="00AD7770"/>
    <w:rsid w:val="00AE323C"/>
    <w:rsid w:val="00AF0CB5"/>
    <w:rsid w:val="00B00181"/>
    <w:rsid w:val="00B00B0D"/>
    <w:rsid w:val="00B43BF5"/>
    <w:rsid w:val="00B765F7"/>
    <w:rsid w:val="00BA04EF"/>
    <w:rsid w:val="00BA0CA9"/>
    <w:rsid w:val="00BC033F"/>
    <w:rsid w:val="00BC4BED"/>
    <w:rsid w:val="00BC7157"/>
    <w:rsid w:val="00BD0340"/>
    <w:rsid w:val="00C02897"/>
    <w:rsid w:val="00C11FD4"/>
    <w:rsid w:val="00C130A9"/>
    <w:rsid w:val="00C236C9"/>
    <w:rsid w:val="00C853E4"/>
    <w:rsid w:val="00CA28D2"/>
    <w:rsid w:val="00D3439C"/>
    <w:rsid w:val="00DB1831"/>
    <w:rsid w:val="00DB5848"/>
    <w:rsid w:val="00DD3BFD"/>
    <w:rsid w:val="00DF6678"/>
    <w:rsid w:val="00E013EC"/>
    <w:rsid w:val="00E85C74"/>
    <w:rsid w:val="00EA6547"/>
    <w:rsid w:val="00EB2352"/>
    <w:rsid w:val="00EF2E22"/>
    <w:rsid w:val="00F35BAF"/>
    <w:rsid w:val="00F51F35"/>
    <w:rsid w:val="00F660DF"/>
    <w:rsid w:val="00F94664"/>
    <w:rsid w:val="00F9573C"/>
    <w:rsid w:val="00F95C08"/>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A28D2"/>
    <w:rPr>
      <w:rFonts w:ascii="Times New Roman" w:hAnsi="Times New Roman" w:cs="Times New Roman"/>
      <w:sz w:val="20"/>
      <w:szCs w:val="20"/>
      <w:lang w:eastAsia="en-US"/>
    </w:rPr>
  </w:style>
  <w:style w:type="character" w:customStyle="1" w:styleId="SingleTxtGCar">
    <w:name w:val="_ Single Txt_G Car"/>
    <w:rsid w:val="000D708B"/>
    <w:rPr>
      <w:lang w:val="fr-CH" w:eastAsia="en-US" w:bidi="ar-SA"/>
    </w:rPr>
  </w:style>
  <w:style w:type="character" w:customStyle="1" w:styleId="HChGChar">
    <w:name w:val="_ H _Ch_G Char"/>
    <w:link w:val="HChG"/>
    <w:rsid w:val="000D708B"/>
    <w:rPr>
      <w:rFonts w:ascii="Times New Roman" w:hAnsi="Times New Roman" w:cs="Times New Roman"/>
      <w:b/>
      <w:sz w:val="28"/>
      <w:lang w:val="fr-CH" w:eastAsia="en-US"/>
    </w:rPr>
  </w:style>
  <w:style w:type="paragraph" w:customStyle="1" w:styleId="Absatz">
    <w:name w:val="Absatz"/>
    <w:link w:val="AbsatzChar"/>
    <w:rsid w:val="000D708B"/>
    <w:pPr>
      <w:spacing w:before="80" w:line="200" w:lineRule="exact"/>
      <w:jc w:val="both"/>
    </w:pPr>
    <w:rPr>
      <w:rFonts w:ascii="Times New Roman" w:hAnsi="Times New Roman" w:cs="Times New Roman"/>
      <w:sz w:val="18"/>
      <w:lang w:val="de-CH" w:eastAsia="de-DE"/>
    </w:rPr>
  </w:style>
  <w:style w:type="paragraph" w:customStyle="1" w:styleId="Tabkrper08pt">
    <w:name w:val="Tabkörper 0/8pt"/>
    <w:link w:val="Tabkrper08ptChar"/>
    <w:rsid w:val="000D708B"/>
    <w:pPr>
      <w:spacing w:line="160" w:lineRule="exact"/>
    </w:pPr>
    <w:rPr>
      <w:rFonts w:ascii="Times New Roman" w:hAnsi="Times New Roman" w:cs="Times New Roman"/>
      <w:sz w:val="16"/>
      <w:lang w:val="de-CH" w:eastAsia="de-DE"/>
    </w:rPr>
  </w:style>
  <w:style w:type="paragraph" w:customStyle="1" w:styleId="Tabkrper38pt">
    <w:name w:val="Tabkörper 3/8pt"/>
    <w:basedOn w:val="Tabkrper08pt"/>
    <w:rsid w:val="000D708B"/>
    <w:pPr>
      <w:spacing w:before="60"/>
    </w:pPr>
  </w:style>
  <w:style w:type="paragraph" w:customStyle="1" w:styleId="TabellenkopfN">
    <w:name w:val="Tabellenkopf N"/>
    <w:basedOn w:val="Normal"/>
    <w:rsid w:val="000D708B"/>
    <w:pPr>
      <w:suppressAutoHyphens w:val="0"/>
      <w:kinsoku/>
      <w:overflowPunct/>
      <w:autoSpaceDE/>
      <w:autoSpaceDN/>
      <w:adjustRightInd/>
      <w:snapToGrid/>
      <w:spacing w:before="60" w:after="60" w:line="130" w:lineRule="exact"/>
    </w:pPr>
    <w:rPr>
      <w:sz w:val="13"/>
      <w:lang w:val="de-CH" w:eastAsia="de-DE"/>
    </w:rPr>
  </w:style>
  <w:style w:type="paragraph" w:customStyle="1" w:styleId="Abstand4pt">
    <w:name w:val="Abstand /4pt"/>
    <w:basedOn w:val="Normal"/>
    <w:rsid w:val="000D708B"/>
    <w:pPr>
      <w:suppressAutoHyphens w:val="0"/>
      <w:kinsoku/>
      <w:overflowPunct/>
      <w:autoSpaceDE/>
      <w:autoSpaceDN/>
      <w:adjustRightInd/>
      <w:snapToGrid/>
      <w:spacing w:before="60" w:line="20" w:lineRule="exact"/>
    </w:pPr>
    <w:rPr>
      <w:b/>
      <w:bCs/>
      <w:color w:val="00FF00"/>
      <w:sz w:val="290"/>
      <w:szCs w:val="290"/>
      <w:lang w:val="de-CH" w:eastAsia="de-DE"/>
    </w:rPr>
  </w:style>
  <w:style w:type="paragraph" w:customStyle="1" w:styleId="Tab-Struktur229pt">
    <w:name w:val="Tab-Struktur 2 2/9pt"/>
    <w:basedOn w:val="Normal"/>
    <w:rsid w:val="000D708B"/>
    <w:pPr>
      <w:tabs>
        <w:tab w:val="left" w:pos="227"/>
        <w:tab w:val="left" w:pos="454"/>
      </w:tabs>
      <w:suppressAutoHyphens w:val="0"/>
      <w:kinsoku/>
      <w:overflowPunct/>
      <w:autoSpaceDE/>
      <w:autoSpaceDN/>
      <w:adjustRightInd/>
      <w:snapToGrid/>
      <w:spacing w:before="40" w:line="200" w:lineRule="exact"/>
      <w:ind w:left="454" w:hanging="227"/>
    </w:pPr>
    <w:rPr>
      <w:sz w:val="18"/>
      <w:lang w:val="de-CH" w:eastAsia="de-DE"/>
    </w:rPr>
  </w:style>
  <w:style w:type="paragraph" w:customStyle="1" w:styleId="Absatz09pt">
    <w:name w:val="Absatz 0/9pt"/>
    <w:basedOn w:val="Absatz"/>
    <w:rsid w:val="000D708B"/>
    <w:pPr>
      <w:spacing w:before="0"/>
    </w:pPr>
  </w:style>
  <w:style w:type="paragraph" w:customStyle="1" w:styleId="Tab-Struktur149pt">
    <w:name w:val="Tab-Struktur 1 4/9pt"/>
    <w:basedOn w:val="Normal"/>
    <w:rsid w:val="000D708B"/>
    <w:pPr>
      <w:tabs>
        <w:tab w:val="left" w:pos="227"/>
      </w:tabs>
      <w:suppressAutoHyphens w:val="0"/>
      <w:kinsoku/>
      <w:overflowPunct/>
      <w:autoSpaceDE/>
      <w:autoSpaceDN/>
      <w:adjustRightInd/>
      <w:snapToGrid/>
      <w:spacing w:before="80" w:line="200" w:lineRule="exact"/>
      <w:ind w:left="227" w:hanging="227"/>
    </w:pPr>
    <w:rPr>
      <w:sz w:val="18"/>
      <w:lang w:val="de-CH" w:eastAsia="de-DE"/>
    </w:rPr>
  </w:style>
  <w:style w:type="paragraph" w:customStyle="1" w:styleId="Tabkrper49pt-fett">
    <w:name w:val="Tabkörper 4/9pt-fett"/>
    <w:basedOn w:val="Normal"/>
    <w:rsid w:val="000D708B"/>
    <w:pPr>
      <w:suppressAutoHyphens w:val="0"/>
      <w:kinsoku/>
      <w:overflowPunct/>
      <w:autoSpaceDE/>
      <w:autoSpaceDN/>
      <w:adjustRightInd/>
      <w:snapToGrid/>
      <w:spacing w:before="80" w:line="200" w:lineRule="exact"/>
    </w:pPr>
    <w:rPr>
      <w:b/>
      <w:sz w:val="18"/>
      <w:lang w:val="de-CH" w:eastAsia="de-DE"/>
    </w:rPr>
  </w:style>
  <w:style w:type="paragraph" w:customStyle="1" w:styleId="Tabkrper383pt">
    <w:name w:val="Tabkörper 3/8/3pt"/>
    <w:basedOn w:val="Tabkrper38pt"/>
    <w:qFormat/>
    <w:rsid w:val="000D708B"/>
    <w:pPr>
      <w:tabs>
        <w:tab w:val="left" w:pos="2892"/>
      </w:tabs>
      <w:spacing w:after="60"/>
    </w:pPr>
  </w:style>
  <w:style w:type="character" w:customStyle="1" w:styleId="AbsatzChar">
    <w:name w:val="Absatz Char"/>
    <w:link w:val="Absatz"/>
    <w:rsid w:val="000D708B"/>
    <w:rPr>
      <w:rFonts w:ascii="Times New Roman" w:hAnsi="Times New Roman" w:cs="Times New Roman"/>
      <w:sz w:val="18"/>
      <w:lang w:val="de-CH" w:eastAsia="de-DE"/>
    </w:rPr>
  </w:style>
  <w:style w:type="character" w:customStyle="1" w:styleId="Tabkrper08ptChar">
    <w:name w:val="Tabkörper 0/8pt Char"/>
    <w:link w:val="Tabkrper08pt"/>
    <w:rsid w:val="000D708B"/>
    <w:rPr>
      <w:rFonts w:ascii="Times New Roman" w:hAnsi="Times New Roman" w:cs="Times New Roman"/>
      <w:sz w:val="16"/>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A28D2"/>
    <w:rPr>
      <w:rFonts w:ascii="Times New Roman" w:hAnsi="Times New Roman" w:cs="Times New Roman"/>
      <w:sz w:val="20"/>
      <w:szCs w:val="20"/>
      <w:lang w:eastAsia="en-US"/>
    </w:rPr>
  </w:style>
  <w:style w:type="character" w:customStyle="1" w:styleId="SingleTxtGCar">
    <w:name w:val="_ Single Txt_G Car"/>
    <w:rsid w:val="000D708B"/>
    <w:rPr>
      <w:lang w:val="fr-CH" w:eastAsia="en-US" w:bidi="ar-SA"/>
    </w:rPr>
  </w:style>
  <w:style w:type="character" w:customStyle="1" w:styleId="HChGChar">
    <w:name w:val="_ H _Ch_G Char"/>
    <w:link w:val="HChG"/>
    <w:rsid w:val="000D708B"/>
    <w:rPr>
      <w:rFonts w:ascii="Times New Roman" w:hAnsi="Times New Roman" w:cs="Times New Roman"/>
      <w:b/>
      <w:sz w:val="28"/>
      <w:lang w:val="fr-CH" w:eastAsia="en-US"/>
    </w:rPr>
  </w:style>
  <w:style w:type="paragraph" w:customStyle="1" w:styleId="Absatz">
    <w:name w:val="Absatz"/>
    <w:link w:val="AbsatzChar"/>
    <w:rsid w:val="000D708B"/>
    <w:pPr>
      <w:spacing w:before="80" w:line="200" w:lineRule="exact"/>
      <w:jc w:val="both"/>
    </w:pPr>
    <w:rPr>
      <w:rFonts w:ascii="Times New Roman" w:hAnsi="Times New Roman" w:cs="Times New Roman"/>
      <w:sz w:val="18"/>
      <w:lang w:val="de-CH" w:eastAsia="de-DE"/>
    </w:rPr>
  </w:style>
  <w:style w:type="paragraph" w:customStyle="1" w:styleId="Tabkrper08pt">
    <w:name w:val="Tabkörper 0/8pt"/>
    <w:link w:val="Tabkrper08ptChar"/>
    <w:rsid w:val="000D708B"/>
    <w:pPr>
      <w:spacing w:line="160" w:lineRule="exact"/>
    </w:pPr>
    <w:rPr>
      <w:rFonts w:ascii="Times New Roman" w:hAnsi="Times New Roman" w:cs="Times New Roman"/>
      <w:sz w:val="16"/>
      <w:lang w:val="de-CH" w:eastAsia="de-DE"/>
    </w:rPr>
  </w:style>
  <w:style w:type="paragraph" w:customStyle="1" w:styleId="Tabkrper38pt">
    <w:name w:val="Tabkörper 3/8pt"/>
    <w:basedOn w:val="Tabkrper08pt"/>
    <w:rsid w:val="000D708B"/>
    <w:pPr>
      <w:spacing w:before="60"/>
    </w:pPr>
  </w:style>
  <w:style w:type="paragraph" w:customStyle="1" w:styleId="TabellenkopfN">
    <w:name w:val="Tabellenkopf N"/>
    <w:basedOn w:val="Normal"/>
    <w:rsid w:val="000D708B"/>
    <w:pPr>
      <w:suppressAutoHyphens w:val="0"/>
      <w:kinsoku/>
      <w:overflowPunct/>
      <w:autoSpaceDE/>
      <w:autoSpaceDN/>
      <w:adjustRightInd/>
      <w:snapToGrid/>
      <w:spacing w:before="60" w:after="60" w:line="130" w:lineRule="exact"/>
    </w:pPr>
    <w:rPr>
      <w:sz w:val="13"/>
      <w:lang w:val="de-CH" w:eastAsia="de-DE"/>
    </w:rPr>
  </w:style>
  <w:style w:type="paragraph" w:customStyle="1" w:styleId="Abstand4pt">
    <w:name w:val="Abstand /4pt"/>
    <w:basedOn w:val="Normal"/>
    <w:rsid w:val="000D708B"/>
    <w:pPr>
      <w:suppressAutoHyphens w:val="0"/>
      <w:kinsoku/>
      <w:overflowPunct/>
      <w:autoSpaceDE/>
      <w:autoSpaceDN/>
      <w:adjustRightInd/>
      <w:snapToGrid/>
      <w:spacing w:before="60" w:line="20" w:lineRule="exact"/>
    </w:pPr>
    <w:rPr>
      <w:b/>
      <w:bCs/>
      <w:color w:val="00FF00"/>
      <w:sz w:val="290"/>
      <w:szCs w:val="290"/>
      <w:lang w:val="de-CH" w:eastAsia="de-DE"/>
    </w:rPr>
  </w:style>
  <w:style w:type="paragraph" w:customStyle="1" w:styleId="Tab-Struktur229pt">
    <w:name w:val="Tab-Struktur 2 2/9pt"/>
    <w:basedOn w:val="Normal"/>
    <w:rsid w:val="000D708B"/>
    <w:pPr>
      <w:tabs>
        <w:tab w:val="left" w:pos="227"/>
        <w:tab w:val="left" w:pos="454"/>
      </w:tabs>
      <w:suppressAutoHyphens w:val="0"/>
      <w:kinsoku/>
      <w:overflowPunct/>
      <w:autoSpaceDE/>
      <w:autoSpaceDN/>
      <w:adjustRightInd/>
      <w:snapToGrid/>
      <w:spacing w:before="40" w:line="200" w:lineRule="exact"/>
      <w:ind w:left="454" w:hanging="227"/>
    </w:pPr>
    <w:rPr>
      <w:sz w:val="18"/>
      <w:lang w:val="de-CH" w:eastAsia="de-DE"/>
    </w:rPr>
  </w:style>
  <w:style w:type="paragraph" w:customStyle="1" w:styleId="Absatz09pt">
    <w:name w:val="Absatz 0/9pt"/>
    <w:basedOn w:val="Absatz"/>
    <w:rsid w:val="000D708B"/>
    <w:pPr>
      <w:spacing w:before="0"/>
    </w:pPr>
  </w:style>
  <w:style w:type="paragraph" w:customStyle="1" w:styleId="Tab-Struktur149pt">
    <w:name w:val="Tab-Struktur 1 4/9pt"/>
    <w:basedOn w:val="Normal"/>
    <w:rsid w:val="000D708B"/>
    <w:pPr>
      <w:tabs>
        <w:tab w:val="left" w:pos="227"/>
      </w:tabs>
      <w:suppressAutoHyphens w:val="0"/>
      <w:kinsoku/>
      <w:overflowPunct/>
      <w:autoSpaceDE/>
      <w:autoSpaceDN/>
      <w:adjustRightInd/>
      <w:snapToGrid/>
      <w:spacing w:before="80" w:line="200" w:lineRule="exact"/>
      <w:ind w:left="227" w:hanging="227"/>
    </w:pPr>
    <w:rPr>
      <w:sz w:val="18"/>
      <w:lang w:val="de-CH" w:eastAsia="de-DE"/>
    </w:rPr>
  </w:style>
  <w:style w:type="paragraph" w:customStyle="1" w:styleId="Tabkrper49pt-fett">
    <w:name w:val="Tabkörper 4/9pt-fett"/>
    <w:basedOn w:val="Normal"/>
    <w:rsid w:val="000D708B"/>
    <w:pPr>
      <w:suppressAutoHyphens w:val="0"/>
      <w:kinsoku/>
      <w:overflowPunct/>
      <w:autoSpaceDE/>
      <w:autoSpaceDN/>
      <w:adjustRightInd/>
      <w:snapToGrid/>
      <w:spacing w:before="80" w:line="200" w:lineRule="exact"/>
    </w:pPr>
    <w:rPr>
      <w:b/>
      <w:sz w:val="18"/>
      <w:lang w:val="de-CH" w:eastAsia="de-DE"/>
    </w:rPr>
  </w:style>
  <w:style w:type="paragraph" w:customStyle="1" w:styleId="Tabkrper383pt">
    <w:name w:val="Tabkörper 3/8/3pt"/>
    <w:basedOn w:val="Tabkrper38pt"/>
    <w:qFormat/>
    <w:rsid w:val="000D708B"/>
    <w:pPr>
      <w:tabs>
        <w:tab w:val="left" w:pos="2892"/>
      </w:tabs>
      <w:spacing w:after="60"/>
    </w:pPr>
  </w:style>
  <w:style w:type="character" w:customStyle="1" w:styleId="AbsatzChar">
    <w:name w:val="Absatz Char"/>
    <w:link w:val="Absatz"/>
    <w:rsid w:val="000D708B"/>
    <w:rPr>
      <w:rFonts w:ascii="Times New Roman" w:hAnsi="Times New Roman" w:cs="Times New Roman"/>
      <w:sz w:val="18"/>
      <w:lang w:val="de-CH" w:eastAsia="de-DE"/>
    </w:rPr>
  </w:style>
  <w:style w:type="character" w:customStyle="1" w:styleId="Tabkrper08ptChar">
    <w:name w:val="Tabkörper 0/8pt Char"/>
    <w:link w:val="Tabkrper08pt"/>
    <w:rsid w:val="000D708B"/>
    <w:rPr>
      <w:rFonts w:ascii="Times New Roman" w:hAnsi="Times New Roman" w:cs="Times New Roman"/>
      <w:sz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D9AE-D032-4D31-AFC7-1D4A8B04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1570</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ECE/TRANS/WP.15/2015/6</vt:lpstr>
      <vt:lpstr>ECE/TRANS/WP.15/2015/6</vt:lpstr>
    </vt:vector>
  </TitlesOfParts>
  <Company>DCM</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ECE/TRANS/WP.15/2015/6</dc:title>
  <dc:subject>Final</dc:subject>
  <dc:creator>Crelier</dc:creator>
  <cp:lastModifiedBy>barrio-champeau</cp:lastModifiedBy>
  <cp:revision>3</cp:revision>
  <cp:lastPrinted>2015-08-07T09:12:00Z</cp:lastPrinted>
  <dcterms:created xsi:type="dcterms:W3CDTF">2015-08-03T14:49:00Z</dcterms:created>
  <dcterms:modified xsi:type="dcterms:W3CDTF">2015-08-07T09:12:00Z</dcterms:modified>
</cp:coreProperties>
</file>