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C" w:rsidRPr="00145F95" w:rsidRDefault="0082306C" w:rsidP="0082306C">
      <w:pPr>
        <w:spacing w:line="60" w:lineRule="exact"/>
        <w:rPr>
          <w:color w:val="010000"/>
          <w:sz w:val="6"/>
        </w:rPr>
        <w:sectPr w:rsidR="0082306C" w:rsidRPr="00145F95" w:rsidSect="008230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FA0E61" w:rsidRPr="00145F95" w:rsidRDefault="00FA0E61" w:rsidP="00145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lastRenderedPageBreak/>
        <w:t>Европейская экономическая комиссия</w:t>
      </w:r>
    </w:p>
    <w:p w:rsidR="00145F95" w:rsidRPr="00145F95" w:rsidRDefault="00145F95" w:rsidP="00145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FA0E61" w:rsidRPr="00145F95" w:rsidRDefault="00FA0E61" w:rsidP="00145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45F95">
        <w:rPr>
          <w:b w:val="0"/>
          <w:bCs/>
        </w:rPr>
        <w:t>Комитет по внутреннему транспорту</w:t>
      </w:r>
    </w:p>
    <w:p w:rsidR="00145F95" w:rsidRPr="00145F95" w:rsidRDefault="00145F95" w:rsidP="00145F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A0E61" w:rsidRPr="00145F95" w:rsidRDefault="00FA0E61" w:rsidP="00145F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>Рабочая группа по перевозкам опасных грузов</w:t>
      </w:r>
    </w:p>
    <w:p w:rsidR="00145F95" w:rsidRPr="00145F95" w:rsidRDefault="00145F95" w:rsidP="00145F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A0E61" w:rsidRPr="00145F95" w:rsidRDefault="00FA0E61" w:rsidP="00145F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>Девяносто девятая сессия</w:t>
      </w:r>
    </w:p>
    <w:p w:rsidR="00FA0E61" w:rsidRPr="00145F95" w:rsidRDefault="00FA0E61" w:rsidP="00145F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45F95">
        <w:rPr>
          <w:b w:val="0"/>
          <w:bCs/>
        </w:rPr>
        <w:t>Женева, 9</w:t>
      </w:r>
      <w:r w:rsidR="00145F95" w:rsidRPr="00145F95">
        <w:rPr>
          <w:b w:val="0"/>
          <w:bCs/>
        </w:rPr>
        <w:t>–</w:t>
      </w:r>
      <w:r w:rsidRPr="00145F95">
        <w:rPr>
          <w:b w:val="0"/>
          <w:bCs/>
        </w:rPr>
        <w:t>13 ноября 2015</w:t>
      </w:r>
    </w:p>
    <w:p w:rsidR="00FA0E61" w:rsidRPr="00145F95" w:rsidRDefault="00FA0E61" w:rsidP="00145F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145F95">
        <w:rPr>
          <w:b w:val="0"/>
          <w:bCs/>
        </w:rPr>
        <w:t>Пункт 6 b) предварительной повестки дня</w:t>
      </w:r>
    </w:p>
    <w:p w:rsidR="00FA0E61" w:rsidRPr="00145F95" w:rsidRDefault="00FA0E61" w:rsidP="00145F95">
      <w:pPr>
        <w:pStyle w:val="H23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145F95">
        <w:t xml:space="preserve">Предложения о внесении поправок </w:t>
      </w:r>
      <w:r w:rsidR="00145F95" w:rsidRPr="00145F95">
        <w:br/>
      </w:r>
      <w:r w:rsidRPr="00145F95">
        <w:t>в приложения A и B к ДОПОГ:</w:t>
      </w:r>
      <w:r w:rsidR="00145F95" w:rsidRPr="00145F95">
        <w:t xml:space="preserve"> </w:t>
      </w:r>
      <w:r w:rsidRPr="00145F95">
        <w:t>различные предложения</w:t>
      </w:r>
    </w:p>
    <w:p w:rsidR="00145F95" w:rsidRPr="00145F95" w:rsidRDefault="00145F95" w:rsidP="00145F95">
      <w:pPr>
        <w:pStyle w:val="SingleTxt"/>
        <w:spacing w:after="0" w:line="120" w:lineRule="exact"/>
        <w:rPr>
          <w:b/>
          <w:sz w:val="10"/>
        </w:rPr>
      </w:pPr>
    </w:p>
    <w:p w:rsidR="00145F95" w:rsidRPr="00145F95" w:rsidRDefault="00145F95" w:rsidP="00145F95">
      <w:pPr>
        <w:pStyle w:val="SingleTxt"/>
        <w:spacing w:after="0" w:line="120" w:lineRule="exact"/>
        <w:rPr>
          <w:b/>
          <w:sz w:val="10"/>
        </w:rPr>
      </w:pPr>
    </w:p>
    <w:p w:rsidR="00145F95" w:rsidRPr="00145F95" w:rsidRDefault="00145F95" w:rsidP="00145F95">
      <w:pPr>
        <w:pStyle w:val="SingleTxt"/>
        <w:spacing w:after="0" w:line="120" w:lineRule="exact"/>
        <w:rPr>
          <w:b/>
          <w:sz w:val="10"/>
        </w:rPr>
      </w:pPr>
    </w:p>
    <w:p w:rsidR="00FA0E61" w:rsidRPr="00145F95" w:rsidRDefault="00FA0E61" w:rsidP="00145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ab/>
      </w:r>
      <w:r w:rsidRPr="00145F95">
        <w:tab/>
        <w:t>Предложение по определению перевозки опасных грузов частными лицами в соот</w:t>
      </w:r>
      <w:r w:rsidR="007F5301">
        <w:t>ветствии с подпунктом a) пункта </w:t>
      </w:r>
      <w:r w:rsidRPr="00145F95">
        <w:t>1.1.3.1</w:t>
      </w:r>
    </w:p>
    <w:p w:rsidR="00145F95" w:rsidRPr="00145F95" w:rsidRDefault="00145F95" w:rsidP="00145F95">
      <w:pPr>
        <w:pStyle w:val="SingleTxt"/>
        <w:spacing w:after="0" w:line="120" w:lineRule="exact"/>
        <w:rPr>
          <w:b/>
          <w:sz w:val="10"/>
        </w:rPr>
      </w:pPr>
    </w:p>
    <w:p w:rsidR="00145F95" w:rsidRPr="00145F95" w:rsidRDefault="00145F95" w:rsidP="00145F95">
      <w:pPr>
        <w:pStyle w:val="SingleTxt"/>
        <w:spacing w:after="0" w:line="120" w:lineRule="exact"/>
        <w:rPr>
          <w:b/>
          <w:sz w:val="10"/>
        </w:rPr>
      </w:pPr>
    </w:p>
    <w:p w:rsidR="00FA0E61" w:rsidRPr="00145F95" w:rsidRDefault="00FA0E61" w:rsidP="00145F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ab/>
      </w:r>
      <w:r w:rsidRPr="00145F95">
        <w:tab/>
        <w:t>Передано правительством Швейцарии</w:t>
      </w:r>
      <w:r w:rsidRPr="00145F95">
        <w:rPr>
          <w:b w:val="0"/>
          <w:bCs/>
          <w:color w:val="943634" w:themeColor="accent2" w:themeShade="BF"/>
          <w:sz w:val="20"/>
          <w:vertAlign w:val="superscript"/>
        </w:rPr>
        <w:footnoteReference w:id="1"/>
      </w:r>
    </w:p>
    <w:p w:rsidR="00145F95" w:rsidRPr="00145F95" w:rsidRDefault="00145F95" w:rsidP="00145F95">
      <w:pPr>
        <w:pStyle w:val="SingleTxt"/>
        <w:spacing w:after="0" w:line="120" w:lineRule="exact"/>
        <w:rPr>
          <w:sz w:val="10"/>
        </w:rPr>
      </w:pPr>
    </w:p>
    <w:p w:rsidR="00145F95" w:rsidRPr="00145F95" w:rsidRDefault="00145F95" w:rsidP="00145F95">
      <w:pPr>
        <w:pStyle w:val="SingleTxt"/>
        <w:spacing w:after="0" w:line="120" w:lineRule="exact"/>
        <w:rPr>
          <w:sz w:val="10"/>
        </w:rPr>
      </w:pPr>
    </w:p>
    <w:p w:rsidR="00145F95" w:rsidRDefault="00145F95" w:rsidP="00145F95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145F95" w:rsidTr="00145F9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45F95" w:rsidRPr="00145F95" w:rsidRDefault="00145F95" w:rsidP="00145F9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145F95" w:rsidRPr="00145F95" w:rsidTr="00145F95">
        <w:tc>
          <w:tcPr>
            <w:tcW w:w="10051" w:type="dxa"/>
            <w:shd w:val="clear" w:color="auto" w:fill="auto"/>
          </w:tcPr>
          <w:p w:rsidR="00145F95" w:rsidRPr="00145F95" w:rsidRDefault="00145F95" w:rsidP="00145F9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ind w:left="3063" w:hanging="2790"/>
            </w:pPr>
            <w:r w:rsidRPr="00145F95">
              <w:rPr>
                <w:b/>
              </w:rPr>
              <w:t>Существо предложения:</w:t>
            </w:r>
            <w:r w:rsidRPr="00145F95">
              <w:tab/>
              <w:t>Уточнить сферу применения подпункта a) пункта 1.1.3.1 и установить соответствующие ограничения на количество, подпадающее под изъятие, в пункте 1.1.3.6.3.</w:t>
            </w:r>
          </w:p>
        </w:tc>
      </w:tr>
      <w:tr w:rsidR="00145F95" w:rsidRPr="00145F95" w:rsidTr="00145F95">
        <w:tc>
          <w:tcPr>
            <w:tcW w:w="10051" w:type="dxa"/>
            <w:shd w:val="clear" w:color="auto" w:fill="auto"/>
          </w:tcPr>
          <w:p w:rsidR="00145F95" w:rsidRPr="00145F95" w:rsidRDefault="00145F95" w:rsidP="00145F9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ind w:left="3063" w:hanging="2790"/>
            </w:pPr>
            <w:r w:rsidRPr="00145F95">
              <w:rPr>
                <w:b/>
              </w:rPr>
              <w:t>Предлагаемое решение:</w:t>
            </w:r>
            <w:r w:rsidRPr="00145F95">
              <w:tab/>
            </w:r>
            <w:r w:rsidRPr="00145F95">
              <w:rPr>
                <w:bCs/>
              </w:rPr>
              <w:t>Изменить</w:t>
            </w:r>
            <w:r w:rsidRPr="00145F95">
              <w:t xml:space="preserve"> текст подпунк</w:t>
            </w:r>
            <w:r w:rsidR="007F5301">
              <w:t>та a) пункта 1.1.3.1 и в пункте </w:t>
            </w:r>
            <w:r w:rsidRPr="00145F95">
              <w:t xml:space="preserve">1.1.3.6.5 исключить </w:t>
            </w:r>
            <w:r>
              <w:t>«</w:t>
            </w:r>
            <w:r w:rsidRPr="00145F95">
              <w:t>a)</w:t>
            </w:r>
            <w:r>
              <w:t>»</w:t>
            </w:r>
            <w:r w:rsidRPr="00145F95">
              <w:t xml:space="preserve"> после </w:t>
            </w:r>
            <w:r>
              <w:t>«</w:t>
            </w:r>
            <w:r w:rsidRPr="00145F95">
              <w:t>1.1.3.1</w:t>
            </w:r>
            <w:r>
              <w:t>»</w:t>
            </w:r>
            <w:r w:rsidRPr="00145F95">
              <w:t>.</w:t>
            </w:r>
          </w:p>
        </w:tc>
      </w:tr>
      <w:tr w:rsidR="00145F95" w:rsidRPr="00145F95" w:rsidTr="00145F9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145F95" w:rsidRPr="00145F95" w:rsidRDefault="00145F95" w:rsidP="00145F9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clear" w:pos="6538"/>
                <w:tab w:val="clear" w:pos="7013"/>
                <w:tab w:val="clear" w:pos="7488"/>
                <w:tab w:val="clear" w:pos="7978"/>
                <w:tab w:val="clear" w:pos="8453"/>
              </w:tabs>
              <w:ind w:left="3063" w:hanging="2790"/>
            </w:pPr>
            <w:r w:rsidRPr="00145F95">
              <w:rPr>
                <w:b/>
              </w:rPr>
              <w:t>Справочные документы</w:t>
            </w:r>
            <w:r w:rsidRPr="00145F95">
              <w:t>:</w:t>
            </w:r>
            <w:r w:rsidRPr="00145F95">
              <w:tab/>
              <w:t>ECE/TRANS/WP.15/226 и ECE/TRANS/WP.15/2014/10</w:t>
            </w:r>
          </w:p>
        </w:tc>
      </w:tr>
      <w:tr w:rsidR="00145F95" w:rsidRPr="00145F95" w:rsidTr="00145F9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45F95" w:rsidRPr="00145F95" w:rsidRDefault="00145F95" w:rsidP="00145F95">
            <w:pPr>
              <w:pStyle w:val="SingleTxt"/>
            </w:pPr>
          </w:p>
        </w:tc>
      </w:tr>
    </w:tbl>
    <w:p w:rsidR="00145F95" w:rsidRPr="00145F95" w:rsidRDefault="00145F95" w:rsidP="00145F95">
      <w:pPr>
        <w:pStyle w:val="SingleTxt"/>
        <w:spacing w:after="0" w:line="120" w:lineRule="exact"/>
        <w:rPr>
          <w:sz w:val="10"/>
        </w:rPr>
      </w:pPr>
    </w:p>
    <w:p w:rsidR="00FA0E61" w:rsidRPr="00145F95" w:rsidRDefault="00145F95" w:rsidP="00D916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D916A8">
        <w:lastRenderedPageBreak/>
        <w:tab/>
      </w:r>
      <w:r w:rsidR="00D916A8">
        <w:tab/>
      </w:r>
      <w:r w:rsidR="00FA0E61" w:rsidRPr="00145F95">
        <w:t>Вводные замечания</w:t>
      </w:r>
    </w:p>
    <w:p w:rsidR="00D916A8" w:rsidRPr="00D916A8" w:rsidRDefault="00D916A8" w:rsidP="00D916A8">
      <w:pPr>
        <w:pStyle w:val="SingleTxt"/>
        <w:spacing w:after="0" w:line="120" w:lineRule="exact"/>
        <w:rPr>
          <w:sz w:val="10"/>
        </w:rPr>
      </w:pPr>
    </w:p>
    <w:p w:rsidR="00D916A8" w:rsidRPr="00D916A8" w:rsidRDefault="00D916A8" w:rsidP="00D916A8">
      <w:pPr>
        <w:pStyle w:val="SingleTxt"/>
        <w:spacing w:after="0" w:line="120" w:lineRule="exact"/>
        <w:rPr>
          <w:sz w:val="10"/>
        </w:rPr>
      </w:pPr>
    </w:p>
    <w:p w:rsidR="00FA0E61" w:rsidRPr="00145F95" w:rsidRDefault="00FA0E61" w:rsidP="00D916A8">
      <w:pPr>
        <w:pStyle w:val="SingleTxt"/>
      </w:pPr>
      <w:r w:rsidRPr="00145F95">
        <w:t>1.</w:t>
      </w:r>
      <w:r w:rsidRPr="00145F95">
        <w:tab/>
        <w:t>В ходе ноябрьской сессии Рабочей группы (WP.15) был поднят вопрос о толковании сферы охвата подпункта a) пункта 1.1.3.1. Это нашло отражение в пунктах 17</w:t>
      </w:r>
      <w:r w:rsidR="00D916A8">
        <w:t>–</w:t>
      </w:r>
      <w:r w:rsidRPr="00145F95">
        <w:t xml:space="preserve">19 доклада ECE/TRANS/WP.15/226. WP.15 предложила представителю Швейцарии продолжить обсуждение этого вопроса в рамках Совместного совещания, с тем чтобы при необходимости выработать согласованный подход. </w:t>
      </w:r>
      <w:r w:rsidR="00D916A8">
        <w:br/>
      </w:r>
      <w:r w:rsidRPr="00145F95">
        <w:t>Вопрос о целесообразности включения более точного определения того, что понимается под перевозкой опасных грузов частными лицами в подпункте a) пункта 1.1.3.1, обсуждался с компетентными органами Швейцарии, в ведении которых находится железнодорожная перевозка (МПОГ) и перевозка по внутренним водным путям (ВОПОГ). По мнению этих органов, применительно к этим двум видам транспорта нет необходимости дальнейшего уточнения сферы применения изъятия ввиду отсутствия вероятности того, что случаи, которые упомянуты в документе ECE/TRANS/WP.15/2014/10, могут иметь место на этих двух видах транспорта. Как представляется, затронутый вопрос имеет отношение исключительно к дорожным перевозкам опасных грузов частными лицами. В силу этого, по согласованию с компетентными органами Швейцарии</w:t>
      </w:r>
      <w:r w:rsidR="000D6A91">
        <w:t>,</w:t>
      </w:r>
      <w:r w:rsidRPr="00145F95">
        <w:t xml:space="preserve"> мы представляем настоящий документ только WP.15.</w:t>
      </w:r>
    </w:p>
    <w:p w:rsidR="00FA0E61" w:rsidRPr="00145F95" w:rsidRDefault="00FA0E61" w:rsidP="00FA0E61">
      <w:pPr>
        <w:pStyle w:val="SingleTxt"/>
      </w:pPr>
      <w:r w:rsidRPr="00145F95">
        <w:t>2.</w:t>
      </w:r>
      <w:r w:rsidRPr="00145F95">
        <w:tab/>
        <w:t xml:space="preserve">Нормы, касающиеся дорожного движения, имеют отношение к водителю транспортного средства. Таким образом, именно водитель обязан соблюдать правила дорожного движения и несет ответственность в случае их нарушения. </w:t>
      </w:r>
      <w:r w:rsidR="00D916A8">
        <w:br/>
      </w:r>
      <w:r w:rsidRPr="00145F95">
        <w:t>Таким образом, изъятие, предусмотренное в подпункте a) пункта 1.1.3.1, применяется исключительно к водителю.</w:t>
      </w:r>
    </w:p>
    <w:p w:rsidR="00FA0E61" w:rsidRPr="00145F95" w:rsidRDefault="00FA0E61" w:rsidP="000D6A91">
      <w:pPr>
        <w:pStyle w:val="SingleTxt"/>
      </w:pPr>
      <w:r w:rsidRPr="00145F95">
        <w:t>3.</w:t>
      </w:r>
      <w:r w:rsidRPr="00145F95">
        <w:tab/>
        <w:t>В тексте подпункта</w:t>
      </w:r>
      <w:r w:rsidR="00D916A8">
        <w:t xml:space="preserve"> a) пункта 1.1.3.1 речь идет о «</w:t>
      </w:r>
      <w:r w:rsidRPr="00145F95">
        <w:t xml:space="preserve">перевозке опасных грузов </w:t>
      </w:r>
      <w:r w:rsidRPr="00145F95">
        <w:rPr>
          <w:b/>
          <w:bCs/>
        </w:rPr>
        <w:t>частными лицами</w:t>
      </w:r>
      <w:r w:rsidRPr="00145F95">
        <w:t xml:space="preserve">…когда эти грузы…предназначены для </w:t>
      </w:r>
      <w:r w:rsidRPr="00145F95">
        <w:rPr>
          <w:b/>
          <w:bCs/>
        </w:rPr>
        <w:t>их</w:t>
      </w:r>
      <w:r w:rsidRPr="00145F95">
        <w:t xml:space="preserve"> </w:t>
      </w:r>
      <w:r w:rsidRPr="00145F95">
        <w:rPr>
          <w:b/>
          <w:bCs/>
        </w:rPr>
        <w:t>личного</w:t>
      </w:r>
      <w:r w:rsidRPr="00145F95">
        <w:t xml:space="preserve"> потребления, использования в быту</w:t>
      </w:r>
      <w:r w:rsidR="00D916A8">
        <w:t>»</w:t>
      </w:r>
      <w:r w:rsidRPr="00145F95">
        <w:t xml:space="preserve">. Это положение может применяться исключительно к тому лицу, которое </w:t>
      </w:r>
      <w:r w:rsidR="000D6A91">
        <w:t>«осуществляет»</w:t>
      </w:r>
      <w:r w:rsidRPr="00145F95">
        <w:t xml:space="preserve"> перевозку для своего </w:t>
      </w:r>
      <w:r w:rsidR="000D6A91">
        <w:t>«</w:t>
      </w:r>
      <w:r w:rsidRPr="00145F95">
        <w:t>личного потребления</w:t>
      </w:r>
      <w:r w:rsidR="000D6A91">
        <w:t>»</w:t>
      </w:r>
      <w:r w:rsidRPr="00145F95">
        <w:t>, то есть к водителю, который перевозит эти грузы для самого себя. С тем чтобы такое изъятие могло распространяться на иное лицо, необходимо, чтобы это положение содержало более</w:t>
      </w:r>
      <w:r w:rsidR="000D6A91">
        <w:t xml:space="preserve"> общую формулировку, например: «</w:t>
      </w:r>
      <w:r w:rsidRPr="00145F95">
        <w:t xml:space="preserve">перевозка опасных грузов частными лицами…когда эти грузы…предназначены для </w:t>
      </w:r>
      <w:r w:rsidRPr="00145F95">
        <w:rPr>
          <w:b/>
          <w:bCs/>
        </w:rPr>
        <w:t>личного</w:t>
      </w:r>
      <w:r w:rsidRPr="00145F95">
        <w:t xml:space="preserve"> потребления, использования в быту</w:t>
      </w:r>
      <w:r w:rsidR="000D6A91">
        <w:t>»</w:t>
      </w:r>
      <w:r w:rsidRPr="00145F95">
        <w:t>. Тем не менее в ходе совещания, которое состоялось в ноябре 2014 года, выяснилось, что многие делегации сочли такое толкование слишком ограничительным, что отражено в пунктах 17 и 18 доклада ECE/TRANS/WP.15/226. При этом, по мнению одних делегаций, можно допустить, что изъятие, предусмотренное в подпункте a) пункта 1.1.3.1, распространяется на перевозку опасных грузов для всех членов одной и той же семьи или группы частных лиц, следующих в одном и то</w:t>
      </w:r>
      <w:r w:rsidR="003D074A">
        <w:t>м же транспортном средстве (см. </w:t>
      </w:r>
      <w:r w:rsidRPr="00145F95">
        <w:t>пункт 17 доклада ECE/TRANS/WP.15/226). Вместе с тем, по мнению других делегаций, эти положения в нынешней редакции могут привести к тому, что большие группы лиц будут перевозить чрезмерные количества грузов, и поэтому было бы целесообразным установить разумные и практически выполнимые ограничения для всех опасных грузов, которые могут относиться к сфере применения подпункта a) пункта 1.1.3.1 (см. пункт 18 доклада ECE/TRANS/WP.15/226).</w:t>
      </w:r>
    </w:p>
    <w:p w:rsidR="00FA0E61" w:rsidRPr="00145F95" w:rsidRDefault="00FA0E61" w:rsidP="00FA0E61">
      <w:pPr>
        <w:pStyle w:val="SingleTxt"/>
      </w:pPr>
      <w:r w:rsidRPr="00145F95">
        <w:t>4.</w:t>
      </w:r>
      <w:r w:rsidRPr="00145F95">
        <w:tab/>
        <w:t>Мы считаем, что в целях учета стремления расширить сферу охвата изъятия на других частных лиц, так чтобы оно применялось не только к водителю транспортного средства, необходимо изменить текст подпункта a) пункта 1.1.3.1. Текст, содержащийся в предложении 1 ниже, по-прежнему применяется к водителю, однако он расширяет сферу применения изъятия на перевозки, которые этот водитель осуществляет для других частных лиц.</w:t>
      </w:r>
    </w:p>
    <w:p w:rsidR="000D6A91" w:rsidRPr="000D6A91" w:rsidRDefault="000D6A91" w:rsidP="000D6A91">
      <w:pPr>
        <w:pStyle w:val="SingleTxt"/>
        <w:spacing w:after="0" w:line="120" w:lineRule="exact"/>
        <w:rPr>
          <w:b/>
          <w:sz w:val="10"/>
        </w:rPr>
      </w:pPr>
    </w:p>
    <w:p w:rsidR="000D6A91" w:rsidRPr="000D6A91" w:rsidRDefault="000D6A91" w:rsidP="000D6A91">
      <w:pPr>
        <w:pStyle w:val="SingleTxt"/>
        <w:spacing w:after="0" w:line="120" w:lineRule="exact"/>
        <w:rPr>
          <w:b/>
          <w:sz w:val="10"/>
        </w:rPr>
      </w:pPr>
    </w:p>
    <w:p w:rsidR="00FA0E61" w:rsidRPr="00145F95" w:rsidRDefault="00FA0E61" w:rsidP="000D6A9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ab/>
      </w:r>
      <w:r w:rsidRPr="00145F95">
        <w:tab/>
        <w:t>Предложение 1</w:t>
      </w:r>
    </w:p>
    <w:p w:rsidR="000D6A91" w:rsidRPr="000D6A91" w:rsidRDefault="000D6A91" w:rsidP="000D6A91">
      <w:pPr>
        <w:pStyle w:val="SingleTxt"/>
        <w:spacing w:after="0" w:line="120" w:lineRule="exact"/>
        <w:rPr>
          <w:sz w:val="10"/>
        </w:rPr>
      </w:pPr>
    </w:p>
    <w:p w:rsidR="000D6A91" w:rsidRPr="000D6A91" w:rsidRDefault="000D6A91" w:rsidP="000D6A91">
      <w:pPr>
        <w:pStyle w:val="SingleTxt"/>
        <w:spacing w:after="0" w:line="120" w:lineRule="exact"/>
        <w:rPr>
          <w:sz w:val="10"/>
        </w:rPr>
      </w:pPr>
    </w:p>
    <w:p w:rsidR="00FA0E61" w:rsidRPr="00145F95" w:rsidRDefault="00FA0E61" w:rsidP="000D6A91">
      <w:pPr>
        <w:pStyle w:val="SingleTxt"/>
      </w:pPr>
      <w:r w:rsidRPr="00145F95">
        <w:t>Изменить первое предложение подпункта a) пункта 1.1.3.1 следующим образом:</w:t>
      </w:r>
    </w:p>
    <w:p w:rsidR="00FA0E61" w:rsidRPr="00145F95" w:rsidRDefault="000D6A91" w:rsidP="00FA0E61">
      <w:pPr>
        <w:pStyle w:val="SingleTxt"/>
      </w:pPr>
      <w:r>
        <w:t>«</w:t>
      </w:r>
      <w:r w:rsidR="00FA0E61" w:rsidRPr="00145F95">
        <w:t xml:space="preserve">a) к перевозке опасных грузов частными лицами </w:t>
      </w:r>
      <w:r w:rsidR="00FA0E61" w:rsidRPr="00145F95">
        <w:rPr>
          <w:b/>
          <w:bCs/>
          <w:u w:val="single"/>
        </w:rPr>
        <w:t>для себя лично либо для других частных лиц, присутствующих при перевозке</w:t>
      </w:r>
      <w:r>
        <w:t>, когда эти грузы…»</w:t>
      </w:r>
      <w:r w:rsidR="00FA0E61" w:rsidRPr="00145F95">
        <w:t>.</w:t>
      </w:r>
    </w:p>
    <w:p w:rsidR="00FA0E61" w:rsidRPr="00145F95" w:rsidRDefault="00FA0E61" w:rsidP="003D074A">
      <w:pPr>
        <w:pStyle w:val="SingleTxt"/>
      </w:pPr>
      <w:r w:rsidRPr="00145F95">
        <w:t>5.</w:t>
      </w:r>
      <w:r w:rsidRPr="00145F95">
        <w:tab/>
        <w:t>В том что касается вопроса об установлении ограничений на количество грузов, подпадающих под изъятие, следует отметить, что ограничения, которые в настоящий момент предусмотрены во втором предложении подпункта a) пункта</w:t>
      </w:r>
      <w:r w:rsidR="003D074A">
        <w:t> </w:t>
      </w:r>
      <w:r w:rsidRPr="00145F95">
        <w:t>1.1.3.1, не распространяются ни на все прочие опасные грузы, кроме тех, что обозначены в этом пункте, ни на грузы, перевозимые в одноразовой таре, и грузы, которые приобретаются упакованными для розничной продажи.</w:t>
      </w:r>
    </w:p>
    <w:p w:rsidR="00FA0E61" w:rsidRPr="00145F95" w:rsidRDefault="00FA0E61" w:rsidP="000D6A91">
      <w:pPr>
        <w:pStyle w:val="SingleTxt"/>
      </w:pPr>
      <w:r w:rsidRPr="00145F95">
        <w:t>6.</w:t>
      </w:r>
      <w:r w:rsidRPr="00145F95">
        <w:tab/>
        <w:t xml:space="preserve">Введение ограничений на количество грузов, подпадающих под положения об изъятии, позволит облегчить практическую реализацию этих положений. </w:t>
      </w:r>
      <w:r w:rsidR="003D074A">
        <w:br/>
      </w:r>
      <w:r w:rsidRPr="00145F95">
        <w:t>По сути, в настоящее время полиция не имеет в своем распоряжении простых правовых инструментов для запрещения продолжения дорожной перевозки чрезмерного количества опасных грузов на основе количественных ограничений. Это стало одной из причин, по которым в Швейцарии были введены ограничения, которые позволяют уточнить сферу применения изъятия, предусмотренного в подпункте a) пункта 1.1.3.1. Таким образом, можно также снять высказанные некоторыми сторонами опасения, связанные с возможными злоупотреблениями.</w:t>
      </w:r>
    </w:p>
    <w:p w:rsidR="00FA0E61" w:rsidRPr="00145F95" w:rsidRDefault="00FA0E61" w:rsidP="003D074A">
      <w:pPr>
        <w:pStyle w:val="SingleTxt"/>
      </w:pPr>
      <w:r w:rsidRPr="00145F95">
        <w:t>7.</w:t>
      </w:r>
      <w:r w:rsidRPr="00145F95">
        <w:tab/>
        <w:t>Остается только определить, какие ограничения необходимы для обеспечения гарантий безопасности и для идентификации характера перевозки. В том что касается применения подпункта a) пункта 1.1.3.1 ДОПОГ, в Швейцарии вот уже больше пятнадцати лет действуют ограничения, которые представлены в предложении 2</w:t>
      </w:r>
      <w:r w:rsidR="003D074A">
        <w:t xml:space="preserve"> </w:t>
      </w:r>
      <w:r w:rsidRPr="00145F95">
        <w:t>a</w:t>
      </w:r>
      <w:r w:rsidR="003D074A">
        <w:t>)</w:t>
      </w:r>
      <w:r w:rsidRPr="00145F95">
        <w:t xml:space="preserve">. Эти ограничения являются менее строгими по сравнению с теми, которые предусмотрены в пункте 1.1.3.6 ДОПОГ, что сделано с целью не поощрять незаконные перевозки и не допускать нечестную конкуренцию в отношении тех, кто соблюдает закон. Предусмотренные количества представляются вполне достаточными для нужд частных лиц. Если WP.15 готова рассмотреть этот вопрос, то мы предлагаем включить приведенные ниже положения в ДОПОГ. </w:t>
      </w:r>
    </w:p>
    <w:p w:rsidR="000D6A91" w:rsidRPr="000D6A91" w:rsidRDefault="000D6A91" w:rsidP="000D6A91">
      <w:pPr>
        <w:pStyle w:val="SingleTxt"/>
        <w:spacing w:after="0" w:line="120" w:lineRule="exact"/>
        <w:rPr>
          <w:b/>
          <w:sz w:val="10"/>
        </w:rPr>
      </w:pPr>
    </w:p>
    <w:p w:rsidR="000D6A91" w:rsidRPr="000D6A91" w:rsidRDefault="000D6A91" w:rsidP="000D6A91">
      <w:pPr>
        <w:pStyle w:val="SingleTxt"/>
        <w:spacing w:after="0" w:line="120" w:lineRule="exact"/>
        <w:rPr>
          <w:b/>
          <w:sz w:val="10"/>
        </w:rPr>
      </w:pPr>
    </w:p>
    <w:p w:rsidR="00FA0E61" w:rsidRPr="00145F95" w:rsidRDefault="00FA0E61" w:rsidP="000D6A9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ab/>
      </w:r>
      <w:r w:rsidRPr="00145F95">
        <w:tab/>
        <w:t>Предложение 2</w:t>
      </w:r>
      <w:r w:rsidR="003D074A">
        <w:t xml:space="preserve"> </w:t>
      </w:r>
      <w:r w:rsidRPr="00145F95">
        <w:t>a</w:t>
      </w:r>
      <w:r w:rsidR="003D074A">
        <w:t>)</w:t>
      </w:r>
    </w:p>
    <w:p w:rsidR="000D6A91" w:rsidRPr="000D6A91" w:rsidRDefault="000D6A91" w:rsidP="000D6A91">
      <w:pPr>
        <w:pStyle w:val="SingleTxt"/>
        <w:spacing w:after="0" w:line="120" w:lineRule="exact"/>
        <w:rPr>
          <w:sz w:val="10"/>
        </w:rPr>
      </w:pPr>
    </w:p>
    <w:p w:rsidR="000D6A91" w:rsidRPr="000D6A91" w:rsidRDefault="000D6A91" w:rsidP="000D6A91">
      <w:pPr>
        <w:pStyle w:val="SingleTxt"/>
        <w:spacing w:after="0" w:line="120" w:lineRule="exact"/>
        <w:rPr>
          <w:sz w:val="10"/>
        </w:rPr>
      </w:pPr>
    </w:p>
    <w:p w:rsidR="00FA0E61" w:rsidRPr="00145F95" w:rsidRDefault="00FA0E61" w:rsidP="00FA0E61">
      <w:pPr>
        <w:pStyle w:val="SingleTxt"/>
      </w:pPr>
      <w:r w:rsidRPr="00145F95">
        <w:t>8.</w:t>
      </w:r>
      <w:r w:rsidRPr="00145F95">
        <w:tab/>
        <w:t>Включить в конец подпункта a) пункта 1.1.3.1 следующий текст:</w:t>
      </w:r>
    </w:p>
    <w:p w:rsidR="00FA0E61" w:rsidRPr="00145F95" w:rsidRDefault="000D6A91" w:rsidP="00FA0E61">
      <w:pPr>
        <w:pStyle w:val="SingleTxt"/>
      </w:pPr>
      <w:r>
        <w:t>«</w:t>
      </w:r>
      <w:r w:rsidR="00FA0E61" w:rsidRPr="00145F95">
        <w:t>При применении этих положений должны соблюдаться следующие правила:</w:t>
      </w:r>
    </w:p>
    <w:p w:rsidR="00FA0E61" w:rsidRPr="00145F95" w:rsidRDefault="00FA0E61" w:rsidP="00FA0E61">
      <w:pPr>
        <w:pStyle w:val="SingleTxt"/>
      </w:pPr>
      <w:r w:rsidRPr="00145F95">
        <w:t>Общее количество на одну транспортную единицу не должно превышать значений, установленных в таблице ниже.</w:t>
      </w:r>
    </w:p>
    <w:p w:rsidR="00FA0E61" w:rsidRPr="00145F95" w:rsidRDefault="00FA0E61" w:rsidP="00FA0E61">
      <w:pPr>
        <w:pStyle w:val="SingleTxt"/>
      </w:pPr>
      <w:r w:rsidRPr="00145F95">
        <w:t>В приведенной ниже таблице слова "максимальное общее количество на транспортную единицу" означают:</w:t>
      </w:r>
    </w:p>
    <w:p w:rsidR="00FA0E61" w:rsidRPr="00145F95" w:rsidRDefault="003D074A" w:rsidP="003D074A">
      <w:pPr>
        <w:pStyle w:val="SingleTxt"/>
      </w:pPr>
      <w:r>
        <w:t>–</w:t>
      </w:r>
      <w:r>
        <w:tab/>
        <w:t xml:space="preserve">для изделий – </w:t>
      </w:r>
      <w:r w:rsidR="00FA0E61" w:rsidRPr="00145F95">
        <w:t xml:space="preserve">массу брутто в килограммах (для изделий класса 1 </w:t>
      </w:r>
      <w:r>
        <w:t>–</w:t>
      </w:r>
      <w:r w:rsidR="00FA0E61" w:rsidRPr="00145F95">
        <w:t xml:space="preserve"> массу нетто взрывчатого вещества в кг);</w:t>
      </w:r>
    </w:p>
    <w:p w:rsidR="00FA0E61" w:rsidRPr="00145F95" w:rsidRDefault="00FA0E61" w:rsidP="003D074A">
      <w:pPr>
        <w:pStyle w:val="SingleTxt"/>
      </w:pPr>
      <w:r w:rsidRPr="00145F95">
        <w:t>–</w:t>
      </w:r>
      <w:r w:rsidRPr="00145F95">
        <w:tab/>
        <w:t xml:space="preserve">для твердых веществ, сжиженных газов, охлажденных сжиженных газов и растворенных газов </w:t>
      </w:r>
      <w:r w:rsidR="003D074A">
        <w:t>–</w:t>
      </w:r>
      <w:r w:rsidRPr="00145F95">
        <w:t xml:space="preserve"> массу нетто в килограммах;</w:t>
      </w:r>
    </w:p>
    <w:p w:rsidR="00FA0E61" w:rsidRPr="00145F95" w:rsidRDefault="00FA0E61" w:rsidP="00FA0E61">
      <w:pPr>
        <w:pStyle w:val="SingleTxt"/>
      </w:pPr>
      <w:r w:rsidRPr="00145F95">
        <w:t>–</w:t>
      </w:r>
      <w:r w:rsidRPr="00145F95">
        <w:tab/>
        <w:t>для жидкостей − общее количество содержащихся опасных грузов в литрах;</w:t>
      </w:r>
    </w:p>
    <w:p w:rsidR="00FA0E61" w:rsidRPr="00145F95" w:rsidRDefault="00FA0E61" w:rsidP="00FA0E61">
      <w:pPr>
        <w:pStyle w:val="SingleTxt"/>
      </w:pPr>
      <w:r w:rsidRPr="00145F95">
        <w:t>–</w:t>
      </w:r>
      <w:r w:rsidRPr="00145F95">
        <w:tab/>
        <w:t>для сжатых газов и химических продуктов под давлением − вместимость сосуда по воде в литрах.</w:t>
      </w:r>
    </w:p>
    <w:p w:rsidR="00FA0E61" w:rsidRPr="00145F95" w:rsidRDefault="00FA0E61" w:rsidP="000D6A9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lastRenderedPageBreak/>
        <w:tab/>
      </w:r>
      <w:r w:rsidRPr="00145F95">
        <w:tab/>
        <w:t>Таблица 1.1.3.1</w:t>
      </w:r>
    </w:p>
    <w:p w:rsidR="00FA0E61" w:rsidRPr="000D6A91" w:rsidRDefault="00FA0E61" w:rsidP="000D6A91">
      <w:pPr>
        <w:pStyle w:val="SingleTxt"/>
        <w:keepNext/>
        <w:spacing w:after="0" w:line="120" w:lineRule="exact"/>
        <w:rPr>
          <w:sz w:val="10"/>
        </w:rPr>
      </w:pPr>
    </w:p>
    <w:p w:rsidR="000D6A91" w:rsidRPr="000D6A91" w:rsidRDefault="000D6A91" w:rsidP="000D6A91">
      <w:pPr>
        <w:pStyle w:val="SingleTxt"/>
        <w:keepNext/>
        <w:spacing w:after="0" w:line="120" w:lineRule="exact"/>
        <w:rPr>
          <w:sz w:val="10"/>
        </w:rPr>
      </w:pPr>
    </w:p>
    <w:tbl>
      <w:tblPr>
        <w:tblW w:w="0" w:type="auto"/>
        <w:jc w:val="center"/>
        <w:tblInd w:w="-21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354"/>
        <w:gridCol w:w="1045"/>
        <w:gridCol w:w="3635"/>
        <w:gridCol w:w="1490"/>
      </w:tblGrid>
      <w:tr w:rsidR="000D6A91" w:rsidRPr="00C05A2E" w:rsidTr="007B48D6">
        <w:trPr>
          <w:cantSplit/>
          <w:trHeight w:val="20"/>
          <w:tblHeader/>
          <w:jc w:val="center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D6A91" w:rsidRPr="00C05A2E" w:rsidRDefault="000D6A91" w:rsidP="00C05A2E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6"/>
                <w:lang w:val="en-GB"/>
              </w:rPr>
            </w:pPr>
            <w:r w:rsidRPr="00C05A2E">
              <w:rPr>
                <w:i/>
                <w:sz w:val="14"/>
                <w:szCs w:val="16"/>
              </w:rPr>
              <w:t>Вещества или изделия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A91" w:rsidRPr="00C05A2E" w:rsidRDefault="000D6A91" w:rsidP="00C05A2E">
            <w:pPr>
              <w:spacing w:before="80" w:after="80" w:line="160" w:lineRule="exact"/>
              <w:ind w:right="397"/>
              <w:rPr>
                <w:i/>
                <w:sz w:val="14"/>
                <w:szCs w:val="16"/>
                <w:lang w:val="en-GB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A91" w:rsidRPr="00C05A2E" w:rsidRDefault="000D6A91" w:rsidP="00C05A2E">
            <w:pPr>
              <w:spacing w:before="80" w:after="80" w:line="160" w:lineRule="exact"/>
              <w:ind w:right="397"/>
              <w:rPr>
                <w:i/>
                <w:sz w:val="14"/>
                <w:szCs w:val="16"/>
              </w:rPr>
            </w:pPr>
            <w:r w:rsidRPr="00C05A2E">
              <w:rPr>
                <w:i/>
                <w:sz w:val="14"/>
                <w:szCs w:val="16"/>
              </w:rPr>
              <w:t>Максимальное общее количество на транспортную единицу</w:t>
            </w:r>
          </w:p>
        </w:tc>
      </w:tr>
      <w:tr w:rsidR="00C05A2E" w:rsidRPr="00C05A2E" w:rsidTr="007B48D6">
        <w:trPr>
          <w:cantSplit/>
          <w:trHeight w:val="20"/>
          <w:tblHeader/>
          <w:jc w:val="center"/>
        </w:trPr>
        <w:tc>
          <w:tcPr>
            <w:tcW w:w="13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5A2E" w:rsidRPr="00C05A2E" w:rsidRDefault="00C05A2E" w:rsidP="00C05A2E">
            <w:pPr>
              <w:suppressAutoHyphens/>
              <w:spacing w:line="240" w:lineRule="auto"/>
              <w:ind w:right="43"/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A2E" w:rsidRPr="00C05A2E" w:rsidRDefault="00C05A2E" w:rsidP="00C05A2E">
            <w:pPr>
              <w:suppressAutoHyphens/>
              <w:spacing w:line="240" w:lineRule="auto"/>
              <w:ind w:right="43"/>
              <w:rPr>
                <w:sz w:val="6"/>
                <w:szCs w:val="6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A2E" w:rsidRPr="00C05A2E" w:rsidRDefault="00C05A2E" w:rsidP="00C05A2E">
            <w:pPr>
              <w:suppressAutoHyphens/>
              <w:spacing w:line="240" w:lineRule="auto"/>
              <w:ind w:right="43"/>
              <w:rPr>
                <w:sz w:val="6"/>
                <w:szCs w:val="6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Класс</w:t>
            </w:r>
            <w:r w:rsidRPr="00C05A2E">
              <w:rPr>
                <w:szCs w:val="18"/>
                <w:lang w:val="fr-CH"/>
              </w:rPr>
              <w:t xml:space="preserve"> 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es-ES"/>
              </w:rPr>
              <w:t>1.1A, 1.1L, 1.2L, 1.3L, 1.4L, № ООН 0190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en-GB"/>
              </w:rPr>
              <w:t>0</w:t>
            </w: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Класс</w:t>
            </w:r>
            <w:r w:rsidRPr="00C05A2E">
              <w:rPr>
                <w:szCs w:val="18"/>
                <w:lang w:val="fr-CH"/>
              </w:rPr>
              <w:t xml:space="preserve"> 3: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3343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Класс</w:t>
            </w:r>
            <w:r w:rsidRPr="00C05A2E">
              <w:rPr>
                <w:szCs w:val="18"/>
                <w:lang w:val="fr-CH"/>
              </w:rPr>
              <w:t xml:space="preserve"> 4.2: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Вещества, отнесенные к группе упаковки </w:t>
            </w:r>
            <w:r w:rsidRPr="00C05A2E">
              <w:rPr>
                <w:szCs w:val="18"/>
                <w:lang w:val="fr-CH"/>
              </w:rPr>
              <w:t>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Класс</w:t>
            </w:r>
            <w:r w:rsidRPr="00C05A2E">
              <w:rPr>
                <w:szCs w:val="18"/>
                <w:lang w:val="fr-CH"/>
              </w:rPr>
              <w:t xml:space="preserve"> 4.3: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Вещества, отнесенные к группе упаковки </w:t>
            </w:r>
            <w:r w:rsidRPr="00C05A2E">
              <w:rPr>
                <w:szCs w:val="18"/>
                <w:lang w:val="fr-CH"/>
              </w:rPr>
              <w:t>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5.1: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2426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6.1: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ООН 1051, 1600, 1613, 1614, 2312, 3250 </w:t>
            </w:r>
            <w:r w:rsidRPr="00C05A2E">
              <w:rPr>
                <w:szCs w:val="18"/>
              </w:rPr>
              <w:t>и</w:t>
            </w:r>
            <w:r w:rsidRPr="00C05A2E">
              <w:rPr>
                <w:szCs w:val="18"/>
                <w:lang w:val="fr-CH"/>
              </w:rPr>
              <w:t xml:space="preserve"> 3294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6.2: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ООН 2814 </w:t>
            </w:r>
            <w:r w:rsidRPr="00C05A2E">
              <w:rPr>
                <w:szCs w:val="18"/>
              </w:rPr>
              <w:t>и</w:t>
            </w:r>
            <w:r w:rsidRPr="00C05A2E">
              <w:rPr>
                <w:szCs w:val="18"/>
                <w:lang w:val="fr-CH"/>
              </w:rPr>
              <w:t xml:space="preserve"> 2900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7: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2912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2919, 2977, 2978, 3321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3333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8: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s-ES"/>
              </w:rPr>
            </w:pPr>
            <w:r w:rsidRPr="00C05A2E">
              <w:rPr>
                <w:szCs w:val="18"/>
                <w:lang w:val="fr-CH"/>
              </w:rPr>
              <w:t>№ ООН 2215 (</w:t>
            </w:r>
            <w:r w:rsidRPr="00C05A2E">
              <w:rPr>
                <w:szCs w:val="18"/>
              </w:rPr>
              <w:t>АНГИДРИД МАЛЕИНОВЫЙ РАСПЛАВЛЕННЫЙ</w:t>
            </w:r>
            <w:r w:rsidRPr="00C05A2E">
              <w:rPr>
                <w:szCs w:val="18"/>
                <w:lang w:val="fr-CH"/>
              </w:rPr>
              <w:t>)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s-ES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9: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>№ ООН 2315, 3151, 3152 и 3432 и приборы, содержащие такие вещества или их смеси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A95C13" w:rsidRPr="00C05A2E" w:rsidTr="007B48D6">
        <w:trPr>
          <w:cantSplit/>
          <w:trHeight w:val="20"/>
          <w:jc w:val="center"/>
        </w:trPr>
        <w:tc>
          <w:tcPr>
            <w:tcW w:w="6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>а также порожняя неочищенная тара, за исключением тары под № ООН 2908, содержавшая вещества, отнесенные к этой транспортной категории.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1: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>Вещества подклассов 1.1</w:t>
            </w:r>
            <w:r w:rsidRPr="00C05A2E">
              <w:rPr>
                <w:szCs w:val="18"/>
                <w:lang w:val="fr-CH"/>
              </w:rPr>
              <w:t>C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>1.5</w:t>
            </w:r>
            <w:r w:rsidRPr="00C05A2E">
              <w:rPr>
                <w:szCs w:val="18"/>
                <w:lang w:val="fr-CH"/>
              </w:rPr>
              <w:t>D</w:t>
            </w:r>
            <w:r w:rsidRPr="00C05A2E">
              <w:rPr>
                <w:szCs w:val="18"/>
              </w:rPr>
              <w:t xml:space="preserve"> и изделия подклассов 1.1</w:t>
            </w:r>
            <w:r w:rsidRPr="00C05A2E">
              <w:rPr>
                <w:szCs w:val="18"/>
                <w:lang w:val="fr-CH"/>
              </w:rPr>
              <w:t>B</w:t>
            </w:r>
            <w:r w:rsidRPr="00C05A2E">
              <w:rPr>
                <w:szCs w:val="18"/>
              </w:rPr>
              <w:t xml:space="preserve"> и 1.2</w:t>
            </w:r>
            <w:r w:rsidRPr="00C05A2E">
              <w:rPr>
                <w:szCs w:val="18"/>
                <w:lang w:val="fr-CH"/>
              </w:rPr>
              <w:t>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en-GB"/>
              </w:rPr>
              <w:t>1</w:t>
            </w: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4.1: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3D07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>№ ООН 3221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>3224 и 3231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 xml:space="preserve">3240 и вещества группы упаковки </w:t>
            </w:r>
            <w:r w:rsidRPr="00C05A2E">
              <w:rPr>
                <w:szCs w:val="18"/>
                <w:lang w:val="fr-CH"/>
              </w:rPr>
              <w:t>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4.2: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 xml:space="preserve">Вещества группы упаковки </w:t>
            </w:r>
            <w:r w:rsidRPr="00C05A2E">
              <w:rPr>
                <w:szCs w:val="18"/>
                <w:lang w:val="fr-CH"/>
              </w:rPr>
              <w:t>II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4.3: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Вещества группы упаковки </w:t>
            </w:r>
            <w:r w:rsidRPr="00C05A2E">
              <w:rPr>
                <w:szCs w:val="18"/>
                <w:lang w:val="fr-CH"/>
              </w:rPr>
              <w:t>II</w:t>
            </w:r>
            <w:r w:rsidRPr="00C05A2E">
              <w:rPr>
                <w:szCs w:val="18"/>
              </w:rPr>
              <w:t xml:space="preserve"> или </w:t>
            </w:r>
            <w:r w:rsidRPr="00C05A2E">
              <w:rPr>
                <w:szCs w:val="18"/>
                <w:lang w:val="fr-CH"/>
              </w:rPr>
              <w:t>III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5.1: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Вещества группы упаковки</w:t>
            </w:r>
            <w:r w:rsidRPr="00C05A2E">
              <w:rPr>
                <w:szCs w:val="18"/>
                <w:lang w:val="fr-CH"/>
              </w:rPr>
              <w:t xml:space="preserve"> 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5.2: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3101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3104, 3111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3120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A95C13" w:rsidRPr="00C05A2E" w:rsidTr="007B48D6">
        <w:trPr>
          <w:cantSplit/>
          <w:trHeight w:val="20"/>
          <w:jc w:val="center"/>
        </w:trPr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Вещества и изделия группы упаковки </w:t>
            </w:r>
            <w:r w:rsidRPr="00C05A2E">
              <w:rPr>
                <w:szCs w:val="18"/>
                <w:lang w:val="fr-CH"/>
              </w:rPr>
              <w:t>I</w:t>
            </w:r>
            <w:r w:rsidRPr="00C05A2E">
              <w:rPr>
                <w:szCs w:val="18"/>
              </w:rPr>
              <w:t>, которые не входят в перечни с максимальным разрешенным количеством 0 или 1, а также вещества и изделия следующих классов и групп: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en-GB"/>
              </w:rPr>
              <w:t>5</w:t>
            </w: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bookmarkStart w:id="0" w:name="_GoBack"/>
            <w:bookmarkEnd w:id="0"/>
            <w:r w:rsidRPr="00C05A2E">
              <w:rPr>
                <w:szCs w:val="18"/>
                <w:lang w:val="fr-CH"/>
              </w:rPr>
              <w:t>Класс 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3D07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>изделия подгрупп 1.1</w:t>
            </w:r>
            <w:r w:rsidRPr="00C05A2E">
              <w:rPr>
                <w:szCs w:val="18"/>
                <w:lang w:val="fr-CH"/>
              </w:rPr>
              <w:t>C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>1.1</w:t>
            </w:r>
            <w:r w:rsidRPr="00C05A2E">
              <w:rPr>
                <w:szCs w:val="18"/>
                <w:lang w:val="fr-CH"/>
              </w:rPr>
              <w:t>J</w:t>
            </w:r>
            <w:r w:rsidRPr="00C05A2E">
              <w:rPr>
                <w:szCs w:val="18"/>
              </w:rPr>
              <w:t>, 1.2</w:t>
            </w:r>
            <w:r w:rsidRPr="00C05A2E">
              <w:rPr>
                <w:szCs w:val="18"/>
                <w:lang w:val="fr-CH"/>
              </w:rPr>
              <w:t>C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>1.2</w:t>
            </w:r>
            <w:r w:rsidRPr="00C05A2E">
              <w:rPr>
                <w:szCs w:val="18"/>
                <w:lang w:val="fr-CH"/>
              </w:rPr>
              <w:t>J</w:t>
            </w:r>
            <w:r w:rsidRPr="00C05A2E">
              <w:rPr>
                <w:szCs w:val="18"/>
              </w:rPr>
              <w:t>, 1.3</w:t>
            </w:r>
            <w:r w:rsidRPr="00C05A2E">
              <w:rPr>
                <w:szCs w:val="18"/>
                <w:lang w:val="fr-CH"/>
              </w:rPr>
              <w:t>C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>1.3</w:t>
            </w:r>
            <w:r w:rsidRPr="00C05A2E">
              <w:rPr>
                <w:szCs w:val="18"/>
                <w:lang w:val="fr-CH"/>
              </w:rPr>
              <w:t>J</w:t>
            </w:r>
            <w:r w:rsidRPr="00C05A2E">
              <w:rPr>
                <w:szCs w:val="18"/>
              </w:rPr>
              <w:t>, 1.4</w:t>
            </w:r>
            <w:r w:rsidRPr="00C05A2E">
              <w:rPr>
                <w:szCs w:val="18"/>
                <w:lang w:val="fr-CH"/>
              </w:rPr>
              <w:t>B</w:t>
            </w:r>
            <w:r w:rsidR="003D074A">
              <w:rPr>
                <w:szCs w:val="18"/>
              </w:rPr>
              <w:t>–</w:t>
            </w:r>
            <w:r w:rsidRPr="00C05A2E">
              <w:rPr>
                <w:szCs w:val="18"/>
              </w:rPr>
              <w:t>1.4</w:t>
            </w:r>
            <w:r w:rsidRPr="00C05A2E">
              <w:rPr>
                <w:szCs w:val="18"/>
                <w:lang w:val="fr-CH"/>
              </w:rPr>
              <w:t>S</w:t>
            </w:r>
            <w:r w:rsidRPr="00C05A2E">
              <w:rPr>
                <w:szCs w:val="18"/>
              </w:rPr>
              <w:t>, 1.6</w:t>
            </w:r>
            <w:r w:rsidRPr="00C05A2E">
              <w:rPr>
                <w:szCs w:val="18"/>
                <w:lang w:val="fr-CH"/>
              </w:rPr>
              <w:t>N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7B48D6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группы</w:t>
            </w:r>
            <w:r w:rsidRPr="00C05A2E">
              <w:rPr>
                <w:szCs w:val="18"/>
                <w:lang w:val="en-GB"/>
              </w:rPr>
              <w:t xml:space="preserve"> T, TC, TO, TF, TOC </w:t>
            </w:r>
            <w:r w:rsidRPr="00C05A2E">
              <w:rPr>
                <w:szCs w:val="18"/>
              </w:rPr>
              <w:t>и</w:t>
            </w:r>
            <w:r w:rsidRPr="00C05A2E">
              <w:rPr>
                <w:szCs w:val="18"/>
                <w:lang w:val="en-GB"/>
              </w:rPr>
              <w:t xml:space="preserve"> TFC</w:t>
            </w:r>
            <w:r w:rsidRPr="00C05A2E">
              <w:rPr>
                <w:szCs w:val="18"/>
                <w:lang w:val="en-GB"/>
              </w:rPr>
              <w:br/>
            </w:r>
            <w:r w:rsidRPr="00C05A2E">
              <w:rPr>
                <w:szCs w:val="18"/>
              </w:rPr>
              <w:t>аэрозоли</w:t>
            </w:r>
            <w:r w:rsidRPr="00C05A2E">
              <w:rPr>
                <w:szCs w:val="18"/>
                <w:lang w:val="en-GB"/>
              </w:rPr>
              <w:t xml:space="preserve">: </w:t>
            </w:r>
            <w:r w:rsidRPr="00C05A2E">
              <w:rPr>
                <w:szCs w:val="18"/>
              </w:rPr>
              <w:t>группы</w:t>
            </w:r>
            <w:r w:rsidRPr="00C05A2E">
              <w:rPr>
                <w:szCs w:val="18"/>
                <w:lang w:val="en-GB"/>
              </w:rPr>
              <w:t xml:space="preserve"> C, CO, FC, T, TF, TC, TO, TFC </w:t>
            </w:r>
            <w:r w:rsidRPr="00C05A2E">
              <w:rPr>
                <w:szCs w:val="18"/>
              </w:rPr>
              <w:t>и</w:t>
            </w:r>
            <w:r w:rsidRPr="00C05A2E">
              <w:rPr>
                <w:szCs w:val="18"/>
                <w:lang w:val="en-GB"/>
              </w:rPr>
              <w:t xml:space="preserve"> TOC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4.1: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3225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3230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5.1: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вещества группы упаковки</w:t>
            </w:r>
            <w:r w:rsidRPr="00C05A2E">
              <w:rPr>
                <w:szCs w:val="18"/>
                <w:lang w:val="fr-CH"/>
              </w:rPr>
              <w:t xml:space="preserve"> II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5.2: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3105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3110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9: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№ ООН 3245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A95C13" w:rsidRPr="00C05A2E" w:rsidTr="007B48D6">
        <w:trPr>
          <w:cantSplit/>
          <w:trHeight w:val="20"/>
          <w:jc w:val="center"/>
        </w:trPr>
        <w:tc>
          <w:tcPr>
            <w:tcW w:w="60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lastRenderedPageBreak/>
              <w:t xml:space="preserve">Вещества и изделия группы упаковки </w:t>
            </w:r>
            <w:r w:rsidRPr="00C05A2E">
              <w:rPr>
                <w:szCs w:val="18"/>
                <w:lang w:val="fr-FR"/>
              </w:rPr>
              <w:t>I</w:t>
            </w:r>
            <w:r w:rsidRPr="00C05A2E">
              <w:rPr>
                <w:szCs w:val="18"/>
                <w:lang w:val="fr-CH"/>
              </w:rPr>
              <w:t>I</w:t>
            </w:r>
            <w:r w:rsidRPr="00C05A2E">
              <w:rPr>
                <w:szCs w:val="18"/>
              </w:rPr>
              <w:t>, которые не входят в перечни с максимальным разрешенным количеством 0, 1 или 5, а также вещества и изделия следующих классов и групп: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en-GB"/>
              </w:rPr>
              <w:t>100</w:t>
            </w: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группы </w:t>
            </w:r>
            <w:r w:rsidRPr="00C05A2E">
              <w:rPr>
                <w:szCs w:val="18"/>
                <w:lang w:val="fr-CH"/>
              </w:rPr>
              <w:t>F</w:t>
            </w:r>
            <w:r w:rsidRPr="00C05A2E">
              <w:rPr>
                <w:szCs w:val="18"/>
              </w:rPr>
              <w:t xml:space="preserve">, аэрозоли: группы </w:t>
            </w:r>
            <w:r w:rsidRPr="00C05A2E">
              <w:rPr>
                <w:szCs w:val="18"/>
                <w:lang w:val="fr-CH"/>
              </w:rPr>
              <w:t>F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5.1: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 xml:space="preserve">вещества группы упаковки </w:t>
            </w:r>
            <w:r w:rsidRPr="00C05A2E">
              <w:rPr>
                <w:szCs w:val="18"/>
                <w:lang w:val="fr-CH"/>
              </w:rPr>
              <w:t>III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6.1: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</w:rPr>
              <w:t>вещества группы упаковки</w:t>
            </w:r>
            <w:r w:rsidRPr="00C05A2E">
              <w:rPr>
                <w:szCs w:val="18"/>
                <w:lang w:val="fr-CH"/>
              </w:rPr>
              <w:t xml:space="preserve"> III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A95C13" w:rsidRPr="00C05A2E" w:rsidTr="007B48D6">
        <w:trPr>
          <w:cantSplit/>
          <w:trHeight w:val="20"/>
          <w:jc w:val="center"/>
        </w:trPr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Вещества и изделия группы упаковки </w:t>
            </w:r>
            <w:r w:rsidRPr="00C05A2E">
              <w:rPr>
                <w:szCs w:val="18"/>
                <w:lang w:val="fr-FR"/>
              </w:rPr>
              <w:t>I</w:t>
            </w:r>
            <w:r w:rsidRPr="00C05A2E">
              <w:rPr>
                <w:szCs w:val="18"/>
                <w:lang w:val="fr-CH"/>
              </w:rPr>
              <w:t>I</w:t>
            </w:r>
            <w:r w:rsidRPr="00C05A2E">
              <w:rPr>
                <w:szCs w:val="18"/>
                <w:lang w:val="fr-FR"/>
              </w:rPr>
              <w:t>I</w:t>
            </w:r>
            <w:r w:rsidRPr="00C05A2E">
              <w:rPr>
                <w:szCs w:val="18"/>
              </w:rPr>
              <w:t>, которые не входят в перечни с максимальным разрешенным количеством 0, 1, 5 или 100, а также вещества и изделия следующих классов и групп: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C13" w:rsidRPr="00C05A2E" w:rsidRDefault="00A95C13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en-GB"/>
              </w:rPr>
              <w:t>300</w:t>
            </w: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2: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  <w:r w:rsidRPr="00C05A2E">
              <w:rPr>
                <w:szCs w:val="18"/>
              </w:rPr>
              <w:t xml:space="preserve">группы </w:t>
            </w:r>
            <w:r w:rsidRPr="00C05A2E">
              <w:rPr>
                <w:szCs w:val="18"/>
                <w:lang w:val="fr-CH"/>
              </w:rPr>
              <w:t>A</w:t>
            </w:r>
            <w:r w:rsidRPr="00C05A2E">
              <w:rPr>
                <w:szCs w:val="18"/>
              </w:rPr>
              <w:t xml:space="preserve"> и </w:t>
            </w:r>
            <w:r w:rsidRPr="00C05A2E">
              <w:rPr>
                <w:szCs w:val="18"/>
                <w:lang w:val="fr-CH"/>
              </w:rPr>
              <w:t>O</w:t>
            </w:r>
            <w:r w:rsidRPr="00C05A2E">
              <w:rPr>
                <w:szCs w:val="18"/>
              </w:rPr>
              <w:t xml:space="preserve">, аэрозоли: группы </w:t>
            </w:r>
            <w:r w:rsidRPr="00C05A2E">
              <w:rPr>
                <w:szCs w:val="18"/>
                <w:lang w:val="fr-CH"/>
              </w:rPr>
              <w:t>A</w:t>
            </w:r>
            <w:r w:rsidRPr="00C05A2E">
              <w:rPr>
                <w:szCs w:val="18"/>
              </w:rPr>
              <w:t xml:space="preserve"> и </w:t>
            </w:r>
            <w:r w:rsidRPr="00C05A2E">
              <w:rPr>
                <w:szCs w:val="18"/>
                <w:lang w:val="fr-CH"/>
              </w:rPr>
              <w:t>O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3: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</w:t>
            </w:r>
            <w:r w:rsidR="003D074A">
              <w:rPr>
                <w:szCs w:val="18"/>
              </w:rPr>
              <w:t xml:space="preserve">ООН </w:t>
            </w:r>
            <w:r w:rsidRPr="00C05A2E">
              <w:rPr>
                <w:szCs w:val="18"/>
                <w:lang w:val="fr-CH"/>
              </w:rPr>
              <w:t>3473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4.3: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</w:t>
            </w:r>
            <w:r w:rsidR="003D074A">
              <w:rPr>
                <w:szCs w:val="18"/>
              </w:rPr>
              <w:t xml:space="preserve">ООН </w:t>
            </w:r>
            <w:r w:rsidRPr="00C05A2E">
              <w:rPr>
                <w:szCs w:val="18"/>
                <w:lang w:val="fr-CH"/>
              </w:rPr>
              <w:t>3476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7: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</w:t>
            </w:r>
            <w:r w:rsidR="003D074A">
              <w:rPr>
                <w:szCs w:val="18"/>
              </w:rPr>
              <w:t xml:space="preserve">ООН </w:t>
            </w:r>
            <w:r w:rsidRPr="00C05A2E">
              <w:rPr>
                <w:szCs w:val="18"/>
                <w:lang w:val="fr-CH"/>
              </w:rPr>
              <w:t>2908</w:t>
            </w:r>
            <w:r w:rsidRPr="00C05A2E">
              <w:rPr>
                <w:szCs w:val="18"/>
              </w:rPr>
              <w:t>–</w:t>
            </w:r>
            <w:r w:rsidRPr="00C05A2E">
              <w:rPr>
                <w:szCs w:val="18"/>
                <w:lang w:val="fr-CH"/>
              </w:rPr>
              <w:t>2911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lang w:val="fr-CH"/>
              </w:rPr>
              <w:t xml:space="preserve">Класс </w:t>
            </w:r>
            <w:r w:rsidRPr="00C05A2E">
              <w:rPr>
                <w:szCs w:val="18"/>
                <w:lang w:val="fr-CH"/>
              </w:rPr>
              <w:t>8: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</w:t>
            </w:r>
            <w:r w:rsidR="003D074A">
              <w:rPr>
                <w:szCs w:val="18"/>
              </w:rPr>
              <w:t xml:space="preserve">ООН </w:t>
            </w:r>
            <w:r w:rsidRPr="00C05A2E">
              <w:rPr>
                <w:szCs w:val="18"/>
                <w:lang w:val="fr-CH"/>
              </w:rPr>
              <w:t xml:space="preserve">2794, 2795, 2800, 3028 </w:t>
            </w:r>
            <w:r w:rsidRPr="00C05A2E">
              <w:rPr>
                <w:szCs w:val="18"/>
              </w:rPr>
              <w:t>и</w:t>
            </w:r>
            <w:r w:rsidRPr="00C05A2E">
              <w:rPr>
                <w:szCs w:val="18"/>
                <w:lang w:val="fr-CH"/>
              </w:rPr>
              <w:t xml:space="preserve"> 3477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  <w:tr w:rsidR="000D6A91" w:rsidRPr="00C05A2E" w:rsidTr="007B48D6">
        <w:trPr>
          <w:cantSplit/>
          <w:trHeight w:val="20"/>
          <w:jc w:val="center"/>
        </w:trPr>
        <w:tc>
          <w:tcPr>
            <w:tcW w:w="13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6A91" w:rsidRPr="00C05A2E" w:rsidRDefault="00BC3017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>Класс 9:</w:t>
            </w:r>
          </w:p>
        </w:tc>
        <w:tc>
          <w:tcPr>
            <w:tcW w:w="46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BC3017" w:rsidP="003D07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  <w:r w:rsidRPr="00C05A2E">
              <w:rPr>
                <w:szCs w:val="18"/>
                <w:lang w:val="fr-CH"/>
              </w:rPr>
              <w:t xml:space="preserve">№ </w:t>
            </w:r>
            <w:r w:rsidR="003D074A">
              <w:rPr>
                <w:szCs w:val="18"/>
              </w:rPr>
              <w:t xml:space="preserve">ООН </w:t>
            </w:r>
            <w:r w:rsidRPr="00C05A2E">
              <w:rPr>
                <w:szCs w:val="18"/>
                <w:lang w:val="fr-CH"/>
              </w:rPr>
              <w:t xml:space="preserve">2990 </w:t>
            </w:r>
            <w:r w:rsidRPr="00C05A2E">
              <w:rPr>
                <w:szCs w:val="18"/>
              </w:rPr>
              <w:t>и</w:t>
            </w:r>
            <w:r w:rsidRPr="00C05A2E">
              <w:rPr>
                <w:szCs w:val="18"/>
                <w:lang w:val="fr-CH"/>
              </w:rPr>
              <w:t xml:space="preserve"> 3072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6A91" w:rsidRPr="00C05A2E" w:rsidRDefault="000D6A91" w:rsidP="00C05A2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18"/>
                <w:lang w:val="en-GB"/>
              </w:rPr>
            </w:pPr>
          </w:p>
        </w:tc>
      </w:tr>
    </w:tbl>
    <w:p w:rsidR="000D6A91" w:rsidRPr="00A95C13" w:rsidRDefault="000D6A91" w:rsidP="00A95C13">
      <w:pPr>
        <w:pStyle w:val="SingleTxt"/>
        <w:spacing w:after="0" w:line="120" w:lineRule="exact"/>
        <w:rPr>
          <w:sz w:val="10"/>
        </w:rPr>
      </w:pPr>
    </w:p>
    <w:p w:rsidR="00A95C13" w:rsidRPr="00A95C13" w:rsidRDefault="00A95C13" w:rsidP="00A95C13">
      <w:pPr>
        <w:pStyle w:val="SingleTxt"/>
        <w:spacing w:after="0" w:line="120" w:lineRule="exact"/>
        <w:rPr>
          <w:sz w:val="10"/>
        </w:rPr>
      </w:pPr>
    </w:p>
    <w:p w:rsidR="00FA0E61" w:rsidRPr="00145F95" w:rsidRDefault="00FA0E61" w:rsidP="00A95C13">
      <w:pPr>
        <w:pStyle w:val="SingleTxt"/>
      </w:pPr>
      <w:r w:rsidRPr="00145F95">
        <w:t>Если в одной и той же транспортной единице перевозятся опасные грузы, относящиеся к разным транспортным категориям, установленным в таблице A, сумма:</w:t>
      </w:r>
    </w:p>
    <w:p w:rsidR="00FA0E61" w:rsidRPr="00145F95" w:rsidRDefault="00FA0E61" w:rsidP="00A95C13">
      <w:pPr>
        <w:pStyle w:val="SingleTxt"/>
      </w:pPr>
      <w:r w:rsidRPr="00145F95">
        <w:t>–</w:t>
      </w:r>
      <w:r w:rsidRPr="00145F95">
        <w:tab/>
        <w:t>количества веществ и изделий, которые относятся к перечню с максимальным общим количеством 1, помноженного на 300,</w:t>
      </w:r>
    </w:p>
    <w:p w:rsidR="00FA0E61" w:rsidRPr="00145F95" w:rsidRDefault="00FA0E61" w:rsidP="00A95C13">
      <w:pPr>
        <w:pStyle w:val="SingleTxt"/>
      </w:pPr>
      <w:r w:rsidRPr="00145F95">
        <w:t>–</w:t>
      </w:r>
      <w:r w:rsidRPr="00145F95">
        <w:tab/>
        <w:t>количества веществ и изделий, которые относятся к перечню с максимальным общим количеством 5, помноженного на 60,</w:t>
      </w:r>
    </w:p>
    <w:p w:rsidR="00FA0E61" w:rsidRPr="00145F95" w:rsidRDefault="00FA0E61" w:rsidP="00A95C13">
      <w:pPr>
        <w:pStyle w:val="SingleTxt"/>
      </w:pPr>
      <w:r w:rsidRPr="00145F95">
        <w:t>–</w:t>
      </w:r>
      <w:r w:rsidRPr="00145F95">
        <w:tab/>
        <w:t>количества веществ и изделий, которые относятся к перечню с максимальным общим количеством 100, помноженного на 3,</w:t>
      </w:r>
      <w:r w:rsidR="00A95C13">
        <w:t xml:space="preserve"> </w:t>
      </w:r>
      <w:r w:rsidRPr="00145F95">
        <w:t>и</w:t>
      </w:r>
    </w:p>
    <w:p w:rsidR="00FA0E61" w:rsidRPr="00145F95" w:rsidRDefault="00FA0E61" w:rsidP="00FA0E61">
      <w:pPr>
        <w:pStyle w:val="SingleTxt"/>
      </w:pPr>
      <w:r w:rsidRPr="00145F95">
        <w:t>–</w:t>
      </w:r>
      <w:r w:rsidRPr="00145F95">
        <w:tab/>
        <w:t>количества веществ и изделий, которые относятся к перечню с максимальным общим количеством 300,</w:t>
      </w:r>
    </w:p>
    <w:p w:rsidR="00FA0E61" w:rsidRPr="00145F95" w:rsidRDefault="00FA0E61" w:rsidP="00A95C13">
      <w:pPr>
        <w:pStyle w:val="SingleTxt"/>
      </w:pPr>
      <w:r w:rsidRPr="00145F95">
        <w:t>не должна превышать 300</w:t>
      </w:r>
      <w:r w:rsidR="00A95C13">
        <w:t>»</w:t>
      </w:r>
      <w:r w:rsidRPr="00145F95">
        <w:t>.</w:t>
      </w:r>
    </w:p>
    <w:p w:rsidR="00FA0E61" w:rsidRPr="00145F95" w:rsidRDefault="00FA0E61" w:rsidP="003D074A">
      <w:pPr>
        <w:pStyle w:val="SingleTxt"/>
      </w:pPr>
      <w:r w:rsidRPr="00145F95">
        <w:t>9.</w:t>
      </w:r>
      <w:r w:rsidRPr="00145F95">
        <w:tab/>
        <w:t>Другим вариантом могло бы быть использование отсылки к количествам, установленным в пункте 1.1.3.6.3, как это отражено в предложении 2</w:t>
      </w:r>
      <w:r w:rsidR="003D074A">
        <w:t xml:space="preserve"> </w:t>
      </w:r>
      <w:r w:rsidRPr="00145F95">
        <w:t>b</w:t>
      </w:r>
      <w:r w:rsidR="003D074A">
        <w:t>)</w:t>
      </w:r>
      <w:r w:rsidRPr="00145F95">
        <w:t xml:space="preserve"> ниже. Этот вариант был бы более предпочтительным с точки зрения простоты, но его недостатком, по нашему мнению, является то, что он поощрял бы перевозки без соблюдения положений ДОПОГ, вместо того чтобы обеспечивать обратное.</w:t>
      </w:r>
    </w:p>
    <w:p w:rsidR="00A95C13" w:rsidRPr="00A95C13" w:rsidRDefault="00A95C13" w:rsidP="00A95C13">
      <w:pPr>
        <w:pStyle w:val="SingleTxt"/>
        <w:spacing w:after="0" w:line="120" w:lineRule="exact"/>
        <w:rPr>
          <w:b/>
          <w:sz w:val="10"/>
        </w:rPr>
      </w:pPr>
    </w:p>
    <w:p w:rsidR="00A95C13" w:rsidRPr="00A95C13" w:rsidRDefault="00A95C13" w:rsidP="00A95C13">
      <w:pPr>
        <w:pStyle w:val="SingleTxt"/>
        <w:spacing w:after="0" w:line="120" w:lineRule="exact"/>
        <w:rPr>
          <w:b/>
          <w:sz w:val="10"/>
        </w:rPr>
      </w:pPr>
    </w:p>
    <w:p w:rsidR="00FA0E61" w:rsidRPr="00145F95" w:rsidRDefault="00FA0E61" w:rsidP="00A95C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ab/>
      </w:r>
      <w:r w:rsidRPr="00145F95">
        <w:tab/>
        <w:t>Предложение 2</w:t>
      </w:r>
      <w:r w:rsidR="003D074A">
        <w:t xml:space="preserve"> </w:t>
      </w:r>
      <w:r w:rsidRPr="00145F95">
        <w:t>b</w:t>
      </w:r>
      <w:r w:rsidR="003D074A">
        <w:t>)</w:t>
      </w:r>
    </w:p>
    <w:p w:rsidR="00A95C13" w:rsidRPr="00A95C13" w:rsidRDefault="00A95C13" w:rsidP="00A95C13">
      <w:pPr>
        <w:pStyle w:val="SingleTxt"/>
        <w:spacing w:after="0" w:line="120" w:lineRule="exact"/>
        <w:rPr>
          <w:sz w:val="10"/>
        </w:rPr>
      </w:pPr>
    </w:p>
    <w:p w:rsidR="00A95C13" w:rsidRPr="00A95C13" w:rsidRDefault="00A95C13" w:rsidP="00A95C13">
      <w:pPr>
        <w:pStyle w:val="SingleTxt"/>
        <w:spacing w:after="0" w:line="120" w:lineRule="exact"/>
        <w:rPr>
          <w:sz w:val="10"/>
        </w:rPr>
      </w:pPr>
    </w:p>
    <w:p w:rsidR="00FA0E61" w:rsidRPr="00145F95" w:rsidRDefault="00FA0E61" w:rsidP="00FA0E61">
      <w:pPr>
        <w:pStyle w:val="SingleTxt"/>
      </w:pPr>
      <w:r w:rsidRPr="00145F95">
        <w:t>10.</w:t>
      </w:r>
      <w:r w:rsidRPr="00145F95">
        <w:tab/>
        <w:t>Включить в подпункт a) пункта 1.1.3.1 второе предложение следующего содержания:</w:t>
      </w:r>
    </w:p>
    <w:p w:rsidR="00FA0E61" w:rsidRPr="00145F95" w:rsidRDefault="00A95C13" w:rsidP="00FA0E61">
      <w:pPr>
        <w:pStyle w:val="SingleTxt"/>
      </w:pPr>
      <w:r>
        <w:t>«</w:t>
      </w:r>
      <w:r w:rsidR="00FA0E61" w:rsidRPr="00145F95">
        <w:t>В этом случае общие перевозимые количества не должны превышать количеств,</w:t>
      </w:r>
      <w:r>
        <w:t xml:space="preserve"> установленных в пункте 1.1.3.6»</w:t>
      </w:r>
      <w:r w:rsidR="00FA0E61" w:rsidRPr="00145F95">
        <w:t xml:space="preserve">. </w:t>
      </w:r>
    </w:p>
    <w:p w:rsidR="00A95C13" w:rsidRPr="00A95C13" w:rsidRDefault="00A95C13" w:rsidP="00A95C13">
      <w:pPr>
        <w:pStyle w:val="SingleTxt"/>
        <w:spacing w:after="0" w:line="120" w:lineRule="exact"/>
        <w:rPr>
          <w:b/>
          <w:sz w:val="10"/>
        </w:rPr>
      </w:pPr>
    </w:p>
    <w:p w:rsidR="00A95C13" w:rsidRPr="00A95C13" w:rsidRDefault="00A95C13" w:rsidP="00A95C13">
      <w:pPr>
        <w:pStyle w:val="SingleTxt"/>
        <w:spacing w:after="0" w:line="120" w:lineRule="exact"/>
        <w:rPr>
          <w:b/>
          <w:sz w:val="10"/>
        </w:rPr>
      </w:pPr>
    </w:p>
    <w:p w:rsidR="00FA0E61" w:rsidRPr="00145F95" w:rsidRDefault="00FA0E61" w:rsidP="00A95C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45F95">
        <w:tab/>
      </w:r>
      <w:r w:rsidRPr="00145F95">
        <w:tab/>
        <w:t>Сопутствующая поправка</w:t>
      </w:r>
    </w:p>
    <w:p w:rsidR="00A95C13" w:rsidRPr="00A95C13" w:rsidRDefault="00A95C13" w:rsidP="00A95C13">
      <w:pPr>
        <w:pStyle w:val="SingleTxt"/>
        <w:spacing w:after="0" w:line="120" w:lineRule="exact"/>
        <w:rPr>
          <w:sz w:val="10"/>
        </w:rPr>
      </w:pPr>
    </w:p>
    <w:p w:rsidR="00A95C13" w:rsidRPr="00A95C13" w:rsidRDefault="00A95C13" w:rsidP="00A95C13">
      <w:pPr>
        <w:pStyle w:val="SingleTxt"/>
        <w:spacing w:after="0" w:line="120" w:lineRule="exact"/>
        <w:rPr>
          <w:sz w:val="10"/>
        </w:rPr>
      </w:pPr>
    </w:p>
    <w:p w:rsidR="00FA0E61" w:rsidRPr="00145F95" w:rsidRDefault="00FA0E61" w:rsidP="00A95C13">
      <w:pPr>
        <w:pStyle w:val="SingleTxt"/>
      </w:pPr>
      <w:r w:rsidRPr="00145F95">
        <w:t>11.</w:t>
      </w:r>
      <w:r w:rsidRPr="00145F95">
        <w:tab/>
        <w:t xml:space="preserve">Предложения 2a и </w:t>
      </w:r>
      <w:r w:rsidR="00A95C13">
        <w:t>2b, в пункте 1.1.3.6.5 удалить «</w:t>
      </w:r>
      <w:r w:rsidRPr="00145F95">
        <w:t>a)</w:t>
      </w:r>
      <w:r w:rsidR="00A95C13">
        <w:t>»</w:t>
      </w:r>
      <w:r w:rsidRPr="00145F95">
        <w:t xml:space="preserve"> после </w:t>
      </w:r>
      <w:r w:rsidR="00A95C13">
        <w:t>«1.1.3.1»</w:t>
      </w:r>
      <w:r w:rsidRPr="00145F95">
        <w:t>.</w:t>
      </w:r>
    </w:p>
    <w:p w:rsidR="0082306C" w:rsidRPr="00A95C13" w:rsidRDefault="007F00A6" w:rsidP="00A95C13">
      <w:pPr>
        <w:pStyle w:val="SingleTxt"/>
        <w:spacing w:after="0" w:line="240" w:lineRule="auto"/>
      </w:pPr>
      <w:r w:rsidRPr="007F00A6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82306C" w:rsidRPr="00A95C13" w:rsidSect="0082306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99" w:rsidRDefault="00691A99" w:rsidP="008A1A7A">
      <w:pPr>
        <w:spacing w:line="240" w:lineRule="auto"/>
      </w:pPr>
      <w:r>
        <w:separator/>
      </w:r>
    </w:p>
  </w:endnote>
  <w:endnote w:type="continuationSeparator" w:id="0">
    <w:p w:rsidR="00691A99" w:rsidRDefault="00691A9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82306C" w:rsidTr="0082306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306C" w:rsidRPr="0082306C" w:rsidRDefault="007F00A6" w:rsidP="0082306C">
          <w:pPr>
            <w:pStyle w:val="Pieddepage"/>
            <w:rPr>
              <w:color w:val="000000"/>
            </w:rPr>
          </w:pPr>
          <w:r>
            <w:fldChar w:fldCharType="begin"/>
          </w:r>
          <w:r w:rsidR="0082306C">
            <w:instrText xml:space="preserve"> PAGE  \* Arabic  \* MERGEFORMAT </w:instrText>
          </w:r>
          <w:r>
            <w:fldChar w:fldCharType="separate"/>
          </w:r>
          <w:r w:rsidR="00A00AAD">
            <w:rPr>
              <w:noProof/>
            </w:rPr>
            <w:t>6</w:t>
          </w:r>
          <w:r>
            <w:fldChar w:fldCharType="end"/>
          </w:r>
          <w:r w:rsidR="0082306C">
            <w:t>/</w:t>
          </w:r>
          <w:fldSimple w:instr=" NUMPAGES  \* Arabic  \* MERGEFORMAT ">
            <w:r w:rsidR="00A00AAD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306C" w:rsidRPr="0082306C" w:rsidRDefault="007F00A6" w:rsidP="0082306C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E81FBA">
              <w:rPr>
                <w:b w:val="0"/>
                <w:color w:val="000000"/>
                <w:sz w:val="14"/>
              </w:rPr>
              <w:t>GE.15-13373</w:t>
            </w:r>
          </w:fldSimple>
        </w:p>
      </w:tc>
    </w:tr>
  </w:tbl>
  <w:p w:rsidR="0082306C" w:rsidRPr="0082306C" w:rsidRDefault="0082306C" w:rsidP="008230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82306C" w:rsidTr="0082306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2306C" w:rsidRPr="0082306C" w:rsidRDefault="007F00A6" w:rsidP="0082306C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E81FBA">
              <w:rPr>
                <w:b w:val="0"/>
                <w:color w:val="000000"/>
                <w:sz w:val="14"/>
              </w:rPr>
              <w:t>GE.15-13373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306C" w:rsidRPr="0082306C" w:rsidRDefault="007F00A6" w:rsidP="0082306C">
          <w:pPr>
            <w:pStyle w:val="Pieddepage"/>
            <w:jc w:val="right"/>
          </w:pPr>
          <w:r>
            <w:fldChar w:fldCharType="begin"/>
          </w:r>
          <w:r w:rsidR="0082306C">
            <w:instrText xml:space="preserve"> PAGE  \* Arabic  \* MERGEFORMAT </w:instrText>
          </w:r>
          <w:r>
            <w:fldChar w:fldCharType="separate"/>
          </w:r>
          <w:r w:rsidR="00A00AAD">
            <w:rPr>
              <w:noProof/>
            </w:rPr>
            <w:t>5</w:t>
          </w:r>
          <w:r>
            <w:fldChar w:fldCharType="end"/>
          </w:r>
          <w:r w:rsidR="0082306C">
            <w:t>/</w:t>
          </w:r>
          <w:fldSimple w:instr=" NUMPAGES  \* Arabic  \* MERGEFORMAT ">
            <w:r w:rsidR="00A00AAD">
              <w:rPr>
                <w:noProof/>
              </w:rPr>
              <w:t>5</w:t>
            </w:r>
          </w:fldSimple>
        </w:p>
      </w:tc>
    </w:tr>
  </w:tbl>
  <w:p w:rsidR="0082306C" w:rsidRPr="0082306C" w:rsidRDefault="0082306C" w:rsidP="0082306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82306C" w:rsidTr="0082306C">
      <w:tc>
        <w:tcPr>
          <w:tcW w:w="3873" w:type="dxa"/>
        </w:tcPr>
        <w:p w:rsidR="0082306C" w:rsidRDefault="0082306C" w:rsidP="0082306C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GE.15-13373 (R)</w:t>
          </w:r>
          <w:r w:rsidR="00D916A8">
            <w:rPr>
              <w:color w:val="010000"/>
            </w:rPr>
            <w:t xml:space="preserve">    16</w:t>
          </w:r>
          <w:r>
            <w:rPr>
              <w:color w:val="010000"/>
            </w:rPr>
            <w:t xml:space="preserve">0915    </w:t>
          </w:r>
          <w:r w:rsidR="00CC5C7E">
            <w:rPr>
              <w:color w:val="010000"/>
            </w:rPr>
            <w:t>1</w:t>
          </w:r>
          <w:r w:rsidR="00CC5C7E">
            <w:rPr>
              <w:color w:val="010000"/>
              <w:lang w:val="en-US"/>
            </w:rPr>
            <w:t>8</w:t>
          </w:r>
          <w:r>
            <w:rPr>
              <w:color w:val="010000"/>
            </w:rPr>
            <w:t>0915</w:t>
          </w:r>
        </w:p>
        <w:p w:rsidR="0082306C" w:rsidRPr="0082306C" w:rsidRDefault="0082306C" w:rsidP="0082306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*1513373*</w:t>
          </w:r>
        </w:p>
      </w:tc>
      <w:tc>
        <w:tcPr>
          <w:tcW w:w="5127" w:type="dxa"/>
        </w:tcPr>
        <w:p w:rsidR="0082306C" w:rsidRDefault="0082306C" w:rsidP="0082306C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306C" w:rsidRPr="0082306C" w:rsidRDefault="0082306C" w:rsidP="0082306C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99" w:rsidRPr="00145F95" w:rsidRDefault="00691A99" w:rsidP="00145F95">
      <w:pPr>
        <w:pStyle w:val="Pieddepage"/>
        <w:spacing w:after="80"/>
        <w:ind w:left="792"/>
        <w:rPr>
          <w:sz w:val="16"/>
        </w:rPr>
      </w:pPr>
      <w:r w:rsidRPr="00145F95">
        <w:rPr>
          <w:sz w:val="16"/>
        </w:rPr>
        <w:t>__________________</w:t>
      </w:r>
    </w:p>
  </w:footnote>
  <w:footnote w:type="continuationSeparator" w:id="0">
    <w:p w:rsidR="00691A99" w:rsidRPr="00145F95" w:rsidRDefault="00691A99" w:rsidP="00145F95">
      <w:pPr>
        <w:pStyle w:val="Pieddepage"/>
        <w:spacing w:after="80"/>
        <w:ind w:left="792"/>
        <w:rPr>
          <w:sz w:val="16"/>
        </w:rPr>
      </w:pPr>
      <w:r w:rsidRPr="00145F95">
        <w:rPr>
          <w:sz w:val="16"/>
        </w:rPr>
        <w:t>__________________</w:t>
      </w:r>
    </w:p>
  </w:footnote>
  <w:footnote w:id="1">
    <w:p w:rsidR="00FA0E61" w:rsidRPr="008B2FF2" w:rsidRDefault="00FA0E61" w:rsidP="00145F95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811446">
        <w:tab/>
        <w:t xml:space="preserve">В соответствии с программой работы Комитета по внутреннему транспорту </w:t>
      </w:r>
      <w:r w:rsidR="00145F95" w:rsidRPr="00145F95">
        <w:br/>
      </w:r>
      <w:r w:rsidRPr="00811446">
        <w:t>на 2014−2015 годы (ECE/TRANS/240, пункт 100; ECE/TRANS/2014/23, направление деятельности 9, пункт 9.</w:t>
      </w:r>
      <w:r w:rsidRPr="00EF0E02">
        <w:t>1</w:t>
      </w:r>
      <w:r w:rsidRPr="00811446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82306C" w:rsidTr="0082306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306C" w:rsidRPr="0082306C" w:rsidRDefault="007F00A6" w:rsidP="0082306C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E81FBA">
              <w:rPr>
                <w:b/>
              </w:rPr>
              <w:t>ECE/TRANS/WP.15/2015/7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2306C" w:rsidRDefault="0082306C" w:rsidP="0082306C">
          <w:pPr>
            <w:pStyle w:val="En-tte"/>
          </w:pPr>
        </w:p>
      </w:tc>
    </w:tr>
  </w:tbl>
  <w:p w:rsidR="0082306C" w:rsidRPr="0082306C" w:rsidRDefault="0082306C" w:rsidP="0082306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82306C" w:rsidTr="0082306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2306C" w:rsidRDefault="0082306C" w:rsidP="0082306C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82306C" w:rsidRPr="0082306C" w:rsidRDefault="007F00A6" w:rsidP="0082306C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E81FBA">
              <w:rPr>
                <w:b/>
              </w:rPr>
              <w:t>ECE/TRANS/WP.15/2015/7</w:t>
            </w:r>
          </w:fldSimple>
        </w:p>
      </w:tc>
    </w:tr>
  </w:tbl>
  <w:p w:rsidR="0082306C" w:rsidRPr="0082306C" w:rsidRDefault="0082306C" w:rsidP="0082306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82306C" w:rsidTr="0082306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2306C" w:rsidRPr="0082306C" w:rsidRDefault="0082306C" w:rsidP="0082306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2306C" w:rsidRDefault="0082306C" w:rsidP="0082306C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2306C" w:rsidRPr="0082306C" w:rsidRDefault="0082306C" w:rsidP="0082306C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/TRANS/WP.15/2015/7</w:t>
          </w:r>
        </w:p>
      </w:tc>
    </w:tr>
    <w:tr w:rsidR="0082306C" w:rsidRPr="007B48D6" w:rsidTr="0082306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306C" w:rsidRPr="0082306C" w:rsidRDefault="0082306C" w:rsidP="0082306C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306C" w:rsidRPr="0082306C" w:rsidRDefault="0082306C" w:rsidP="0082306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306C" w:rsidRPr="0082306C" w:rsidRDefault="0082306C" w:rsidP="0082306C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2306C" w:rsidRPr="00FA0E61" w:rsidRDefault="0082306C" w:rsidP="0082306C">
          <w:pPr>
            <w:pStyle w:val="Distribution"/>
            <w:rPr>
              <w:color w:val="000000"/>
              <w:lang w:val="en-US"/>
            </w:rPr>
          </w:pPr>
          <w:r w:rsidRPr="00FA0E61">
            <w:rPr>
              <w:color w:val="000000"/>
              <w:lang w:val="en-US"/>
            </w:rPr>
            <w:t>Distr.: General</w:t>
          </w:r>
        </w:p>
        <w:p w:rsidR="0082306C" w:rsidRPr="00FA0E61" w:rsidRDefault="0082306C" w:rsidP="0082306C">
          <w:pPr>
            <w:pStyle w:val="Publication"/>
            <w:rPr>
              <w:color w:val="000000"/>
              <w:lang w:val="en-US"/>
            </w:rPr>
          </w:pPr>
          <w:r w:rsidRPr="00FA0E61">
            <w:rPr>
              <w:color w:val="000000"/>
              <w:lang w:val="en-US"/>
            </w:rPr>
            <w:t>7 August 2015</w:t>
          </w:r>
        </w:p>
        <w:p w:rsidR="0082306C" w:rsidRPr="00FA0E61" w:rsidRDefault="0082306C" w:rsidP="0082306C">
          <w:pPr>
            <w:rPr>
              <w:color w:val="000000"/>
              <w:lang w:val="en-US"/>
            </w:rPr>
          </w:pPr>
          <w:r w:rsidRPr="00FA0E61">
            <w:rPr>
              <w:color w:val="000000"/>
              <w:lang w:val="en-US"/>
            </w:rPr>
            <w:t>Russian</w:t>
          </w:r>
        </w:p>
        <w:p w:rsidR="0082306C" w:rsidRPr="00FA0E61" w:rsidRDefault="0082306C" w:rsidP="0082306C">
          <w:pPr>
            <w:pStyle w:val="Original"/>
            <w:rPr>
              <w:color w:val="000000"/>
              <w:lang w:val="en-US"/>
            </w:rPr>
          </w:pPr>
          <w:r w:rsidRPr="00FA0E61">
            <w:rPr>
              <w:color w:val="000000"/>
              <w:lang w:val="en-US"/>
            </w:rPr>
            <w:t>Original: French</w:t>
          </w:r>
        </w:p>
        <w:p w:rsidR="0082306C" w:rsidRPr="00FA0E61" w:rsidRDefault="0082306C" w:rsidP="0082306C">
          <w:pPr>
            <w:rPr>
              <w:lang w:val="en-US"/>
            </w:rPr>
          </w:pPr>
        </w:p>
      </w:tc>
    </w:tr>
  </w:tbl>
  <w:p w:rsidR="0082306C" w:rsidRPr="00FA0E61" w:rsidRDefault="0082306C" w:rsidP="0082306C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54887"/>
    <w:multiLevelType w:val="hybridMultilevel"/>
    <w:tmpl w:val="911A04F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6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13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3373*"/>
    <w:docVar w:name="CreationDt" w:val="9/17/2015 3:14: PM"/>
    <w:docVar w:name="DocCategory" w:val="Doc"/>
    <w:docVar w:name="DocType" w:val="Final"/>
    <w:docVar w:name="DutyStation" w:val="Geneva"/>
    <w:docVar w:name="FooterJN" w:val="GE.15-13373"/>
    <w:docVar w:name="jobn" w:val="GE.15-13373 (R)"/>
    <w:docVar w:name="jobnDT" w:val="GE.15-13373 (R)   170915"/>
    <w:docVar w:name="jobnDTDT" w:val="GE.15-13373 (R)   170915   170915"/>
    <w:docVar w:name="JobNo" w:val="GE.1513373R"/>
    <w:docVar w:name="JobNo2" w:val="1517515R"/>
    <w:docVar w:name="LocalDrive" w:val="0"/>
    <w:docVar w:name="OandT" w:val="KP"/>
    <w:docVar w:name="PaperSize" w:val="A4"/>
    <w:docVar w:name="sss1" w:val="ECE/TRANS/WP.15/2015/7"/>
    <w:docVar w:name="sss2" w:val="-"/>
    <w:docVar w:name="Symbol1" w:val="ECE/TRANS/WP.15/2015/7"/>
    <w:docVar w:name="Symbol2" w:val="-"/>
  </w:docVars>
  <w:rsids>
    <w:rsidRoot w:val="00042D28"/>
    <w:rsid w:val="00004615"/>
    <w:rsid w:val="00004756"/>
    <w:rsid w:val="00010325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2D28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D6A91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F95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1254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810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74A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1A99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48D6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0A6"/>
    <w:rsid w:val="007F0E54"/>
    <w:rsid w:val="007F5107"/>
    <w:rsid w:val="007F5301"/>
    <w:rsid w:val="007F7613"/>
    <w:rsid w:val="00803EC5"/>
    <w:rsid w:val="008040BA"/>
    <w:rsid w:val="008042D6"/>
    <w:rsid w:val="00806380"/>
    <w:rsid w:val="00821CE2"/>
    <w:rsid w:val="0082306C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3CAB"/>
    <w:rsid w:val="009D6E3D"/>
    <w:rsid w:val="009E5E58"/>
    <w:rsid w:val="009F0808"/>
    <w:rsid w:val="00A00AAD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5C13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3FD7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3017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A2E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C5C7E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16A8"/>
    <w:rsid w:val="00D961D6"/>
    <w:rsid w:val="00D97B17"/>
    <w:rsid w:val="00DA1A4A"/>
    <w:rsid w:val="00DA2893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1992"/>
    <w:rsid w:val="00E81FBA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1A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0E61"/>
    <w:rsid w:val="00FA1306"/>
    <w:rsid w:val="00FA1B93"/>
    <w:rsid w:val="00FA5551"/>
    <w:rsid w:val="00FA7C7A"/>
    <w:rsid w:val="00FB2210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page number" w:uiPriority="0" w:qFormat="1"/>
    <w:lsdException w:name="endnote reference" w:semiHidden="0" w:uiPriority="0" w:unhideWhenUsed="0" w:qFormat="1"/>
    <w:lsdException w:name="endnote text" w:uiPriority="0" w:qFormat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aliases w:val="Table_G"/>
    <w:basedOn w:val="Normal"/>
    <w:next w:val="Normal"/>
    <w:link w:val="Titre1C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Titre4">
    <w:name w:val="heading 4"/>
    <w:basedOn w:val="Normal"/>
    <w:next w:val="Normal"/>
    <w:link w:val="Titre4C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Titre5">
    <w:name w:val="heading 5"/>
    <w:basedOn w:val="Normal"/>
    <w:next w:val="Normal"/>
    <w:link w:val="Titre5C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Titre6">
    <w:name w:val="heading 6"/>
    <w:basedOn w:val="Normal"/>
    <w:next w:val="Normal"/>
    <w:link w:val="Titre6C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Titre7">
    <w:name w:val="heading 7"/>
    <w:basedOn w:val="Normal"/>
    <w:next w:val="Normal"/>
    <w:link w:val="Titre7C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Titre8">
    <w:name w:val="heading 8"/>
    <w:basedOn w:val="Normal"/>
    <w:next w:val="Normal"/>
    <w:link w:val="Titre8C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Titre9">
    <w:name w:val="heading 9"/>
    <w:basedOn w:val="Normal"/>
    <w:next w:val="Normal"/>
    <w:link w:val="Titre9C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rFonts w:eastAsia="Times New Roman"/>
      <w:spacing w:val="0"/>
      <w:w w:val="100"/>
      <w:kern w:val="0"/>
      <w:szCs w:val="20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aliases w:val="3_G"/>
    <w:basedOn w:val="Normal"/>
    <w:link w:val="PieddepageCar"/>
    <w:unhideWhenUsed/>
    <w:qFormat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aliases w:val="3_G Car"/>
    <w:basedOn w:val="Policepardfaut"/>
    <w:link w:val="Pieddepage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aliases w:val="6_G"/>
    <w:basedOn w:val="Normal"/>
    <w:link w:val="En-tteCar"/>
    <w:qFormat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aliases w:val="6_G Car"/>
    <w:basedOn w:val="Policepardfaut"/>
    <w:link w:val="En-tte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aliases w:val="Table_G Car"/>
    <w:basedOn w:val="Policepardfaut"/>
    <w:link w:val="Titre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aliases w:val="5_G,5_GR"/>
    <w:basedOn w:val="Normal"/>
    <w:link w:val="NotedebasdepageC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aliases w:val="5_G Car,5_GR Car"/>
    <w:basedOn w:val="Policepardfaut"/>
    <w:link w:val="Notedebasdepage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aliases w:val="4_G,4_GR,Footnote Reference/"/>
    <w:basedOn w:val="Policepardfau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aliases w:val="2_G"/>
    <w:basedOn w:val="Normal"/>
    <w:link w:val="NotedefinCar"/>
    <w:unhideWhenUsed/>
    <w:qFormat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aliases w:val="2_G Car"/>
    <w:basedOn w:val="Policepardfaut"/>
    <w:link w:val="Notedefin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aliases w:val="1_G"/>
    <w:basedOn w:val="Policepardfau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8230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06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06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0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06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Titre4Car">
    <w:name w:val="Titre 4 Car"/>
    <w:basedOn w:val="Policepardfaut"/>
    <w:link w:val="Titre4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Titre5Car">
    <w:name w:val="Titre 5 Car"/>
    <w:basedOn w:val="Policepardfaut"/>
    <w:link w:val="Titre5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Titre6Car">
    <w:name w:val="Titre 6 Car"/>
    <w:basedOn w:val="Policepardfaut"/>
    <w:link w:val="Titre6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Titre7Car">
    <w:name w:val="Titre 7 Car"/>
    <w:basedOn w:val="Policepardfaut"/>
    <w:link w:val="Titre7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Titre8Car">
    <w:name w:val="Titre 8 Car"/>
    <w:basedOn w:val="Policepardfaut"/>
    <w:link w:val="Titre8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Titre9Car">
    <w:name w:val="Titre 9 Car"/>
    <w:basedOn w:val="Policepardfaut"/>
    <w:link w:val="Titre9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H1G">
    <w:name w:val="_ H_1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fr-CH" w:eastAsia="en-US"/>
    </w:rPr>
  </w:style>
  <w:style w:type="paragraph" w:customStyle="1" w:styleId="H23G">
    <w:name w:val="_ H_2/3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fr-CH" w:eastAsia="en-US"/>
    </w:rPr>
  </w:style>
  <w:style w:type="paragraph" w:customStyle="1" w:styleId="H4G">
    <w:name w:val="_ H_4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fr-CH" w:eastAsia="en-US"/>
    </w:rPr>
  </w:style>
  <w:style w:type="paragraph" w:customStyle="1" w:styleId="H56G">
    <w:name w:val="_ H_5/6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SLG">
    <w:name w:val="__S_L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SSG">
    <w:name w:val="__S_S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XLargeG">
    <w:name w:val="__XLarge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Bullet1G">
    <w:name w:val="_Bullet 1_G"/>
    <w:basedOn w:val="Normal"/>
    <w:qFormat/>
    <w:rsid w:val="00FA0E61"/>
    <w:pPr>
      <w:numPr>
        <w:numId w:val="1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Bullet2G">
    <w:name w:val="_Bullet 2_G"/>
    <w:basedOn w:val="Normal"/>
    <w:qFormat/>
    <w:rsid w:val="00FA0E61"/>
    <w:pPr>
      <w:numPr>
        <w:numId w:val="1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ParNoG">
    <w:name w:val="_ParNo_G"/>
    <w:basedOn w:val="Normal"/>
    <w:qFormat/>
    <w:rsid w:val="00FA0E61"/>
    <w:pPr>
      <w:numPr>
        <w:numId w:val="13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table" w:styleId="Grilledutableau">
    <w:name w:val="Table Grid"/>
    <w:basedOn w:val="TableauNormal"/>
    <w:rsid w:val="00FA0E6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nhideWhenUsed/>
    <w:rsid w:val="00FA0E61"/>
    <w:rPr>
      <w:color w:val="0000FF"/>
      <w:u w:val="none"/>
    </w:rPr>
  </w:style>
  <w:style w:type="character" w:styleId="Lienhypertextesuivivisit">
    <w:name w:val="FollowedHyperlink"/>
    <w:unhideWhenUsed/>
    <w:rsid w:val="00FA0E61"/>
    <w:rPr>
      <w:color w:val="0000FF"/>
      <w:u w:val="none"/>
    </w:rPr>
  </w:style>
  <w:style w:type="character" w:styleId="Numrodepage">
    <w:name w:val="page number"/>
    <w:aliases w:val="7_G"/>
    <w:qFormat/>
    <w:rsid w:val="00FA0E61"/>
    <w:rPr>
      <w:rFonts w:ascii="Times New Roman" w:hAnsi="Times New Roman"/>
      <w:b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61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SingleTxtGChar">
    <w:name w:val="_ Single Txt_G Char"/>
    <w:link w:val="SingleTxtG"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SingleTxtGCar">
    <w:name w:val="_ Single Txt_G Car"/>
    <w:rsid w:val="00FA0E61"/>
    <w:rPr>
      <w:lang w:val="fr-CH" w:eastAsia="en-US" w:bidi="ar-SA"/>
    </w:rPr>
  </w:style>
  <w:style w:type="character" w:customStyle="1" w:styleId="HChGChar">
    <w:name w:val="_ H _Ch_G Char"/>
    <w:link w:val="HChG"/>
    <w:rsid w:val="00FA0E61"/>
    <w:rPr>
      <w:rFonts w:ascii="Times New Roman" w:eastAsia="Times New Roman" w:hAnsi="Times New Roman" w:cs="Times New Roman"/>
      <w:b/>
      <w:sz w:val="28"/>
      <w:szCs w:val="20"/>
      <w:lang w:val="fr-CH" w:eastAsia="en-US"/>
    </w:rPr>
  </w:style>
  <w:style w:type="paragraph" w:customStyle="1" w:styleId="Absatz">
    <w:name w:val="Absatz"/>
    <w:link w:val="AbsatzChar"/>
    <w:rsid w:val="00FA0E61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Tabkrper08pt">
    <w:name w:val="Tabkörper 0/8pt"/>
    <w:link w:val="Tabkrper08ptChar"/>
    <w:rsid w:val="00FA0E61"/>
    <w:pPr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val="de-CH" w:eastAsia="de-DE"/>
    </w:rPr>
  </w:style>
  <w:style w:type="paragraph" w:customStyle="1" w:styleId="Tabkrper38pt">
    <w:name w:val="Tabkörper 3/8pt"/>
    <w:basedOn w:val="Tabkrper08pt"/>
    <w:rsid w:val="00FA0E61"/>
    <w:pPr>
      <w:spacing w:before="60"/>
    </w:pPr>
  </w:style>
  <w:style w:type="paragraph" w:customStyle="1" w:styleId="TabellenkopfN">
    <w:name w:val="Tabellenkopf N"/>
    <w:basedOn w:val="Normal"/>
    <w:rsid w:val="00FA0E61"/>
    <w:pPr>
      <w:spacing w:before="60" w:after="60" w:line="130" w:lineRule="exact"/>
    </w:pPr>
    <w:rPr>
      <w:rFonts w:eastAsia="Times New Roman"/>
      <w:spacing w:val="0"/>
      <w:w w:val="100"/>
      <w:kern w:val="0"/>
      <w:sz w:val="13"/>
      <w:szCs w:val="20"/>
      <w:lang w:val="de-CH" w:eastAsia="de-DE"/>
    </w:rPr>
  </w:style>
  <w:style w:type="paragraph" w:customStyle="1" w:styleId="Abstand4pt">
    <w:name w:val="Abstand /4pt"/>
    <w:basedOn w:val="Normal"/>
    <w:rsid w:val="00FA0E61"/>
    <w:pPr>
      <w:spacing w:before="60" w:line="20" w:lineRule="exact"/>
    </w:pPr>
    <w:rPr>
      <w:rFonts w:eastAsia="Times New Roman"/>
      <w:b/>
      <w:bCs/>
      <w:color w:val="00FF00"/>
      <w:spacing w:val="0"/>
      <w:w w:val="100"/>
      <w:kern w:val="0"/>
      <w:sz w:val="290"/>
      <w:szCs w:val="290"/>
      <w:lang w:val="de-CH" w:eastAsia="de-DE"/>
    </w:rPr>
  </w:style>
  <w:style w:type="paragraph" w:customStyle="1" w:styleId="Tab-Struktur229pt">
    <w:name w:val="Tab-Struktur 2 2/9pt"/>
    <w:basedOn w:val="Normal"/>
    <w:rsid w:val="00FA0E61"/>
    <w:pPr>
      <w:tabs>
        <w:tab w:val="left" w:pos="227"/>
        <w:tab w:val="left" w:pos="454"/>
      </w:tabs>
      <w:spacing w:before="40" w:line="200" w:lineRule="exact"/>
      <w:ind w:left="454" w:hanging="227"/>
    </w:pPr>
    <w:rPr>
      <w:rFonts w:eastAsia="Times New Roman"/>
      <w:spacing w:val="0"/>
      <w:w w:val="100"/>
      <w:kern w:val="0"/>
      <w:sz w:val="18"/>
      <w:szCs w:val="20"/>
      <w:lang w:val="de-CH" w:eastAsia="de-DE"/>
    </w:rPr>
  </w:style>
  <w:style w:type="paragraph" w:customStyle="1" w:styleId="Absatz09pt">
    <w:name w:val="Absatz 0/9pt"/>
    <w:basedOn w:val="Absatz"/>
    <w:rsid w:val="00FA0E61"/>
    <w:pPr>
      <w:spacing w:before="0"/>
    </w:pPr>
  </w:style>
  <w:style w:type="paragraph" w:customStyle="1" w:styleId="Tab-Struktur149pt">
    <w:name w:val="Tab-Struktur 1 4/9pt"/>
    <w:basedOn w:val="Normal"/>
    <w:rsid w:val="00FA0E61"/>
    <w:pPr>
      <w:tabs>
        <w:tab w:val="left" w:pos="227"/>
      </w:tabs>
      <w:spacing w:before="80" w:line="200" w:lineRule="exact"/>
      <w:ind w:left="227" w:hanging="227"/>
    </w:pPr>
    <w:rPr>
      <w:rFonts w:eastAsia="Times New Roman"/>
      <w:spacing w:val="0"/>
      <w:w w:val="100"/>
      <w:kern w:val="0"/>
      <w:sz w:val="18"/>
      <w:szCs w:val="20"/>
      <w:lang w:val="de-CH" w:eastAsia="de-DE"/>
    </w:rPr>
  </w:style>
  <w:style w:type="paragraph" w:customStyle="1" w:styleId="Tabkrper49pt-fett">
    <w:name w:val="Tabkörper 4/9pt-fett"/>
    <w:basedOn w:val="Normal"/>
    <w:rsid w:val="00FA0E61"/>
    <w:pPr>
      <w:spacing w:before="80" w:line="200" w:lineRule="exact"/>
    </w:pPr>
    <w:rPr>
      <w:rFonts w:eastAsia="Times New Roman"/>
      <w:b/>
      <w:spacing w:val="0"/>
      <w:w w:val="100"/>
      <w:kern w:val="0"/>
      <w:sz w:val="18"/>
      <w:szCs w:val="20"/>
      <w:lang w:val="de-CH" w:eastAsia="de-DE"/>
    </w:rPr>
  </w:style>
  <w:style w:type="paragraph" w:customStyle="1" w:styleId="Tabkrper383pt">
    <w:name w:val="Tabkörper 3/8/3pt"/>
    <w:basedOn w:val="Tabkrper38pt"/>
    <w:qFormat/>
    <w:rsid w:val="00FA0E61"/>
    <w:pPr>
      <w:tabs>
        <w:tab w:val="left" w:pos="2892"/>
      </w:tabs>
      <w:spacing w:after="60"/>
    </w:pPr>
  </w:style>
  <w:style w:type="character" w:customStyle="1" w:styleId="AbsatzChar">
    <w:name w:val="Absatz Char"/>
    <w:link w:val="Absatz"/>
    <w:rsid w:val="00FA0E61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customStyle="1" w:styleId="Tabkrper08ptChar">
    <w:name w:val="Tabkörper 0/8pt Char"/>
    <w:link w:val="Tabkrper08pt"/>
    <w:rsid w:val="00FA0E61"/>
    <w:rPr>
      <w:rFonts w:ascii="Times New Roman" w:eastAsia="Times New Roman" w:hAnsi="Times New Roman" w:cs="Times New Roman"/>
      <w:sz w:val="16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page number" w:uiPriority="0" w:qFormat="1"/>
    <w:lsdException w:name="endnote reference" w:semiHidden="0" w:uiPriority="0" w:unhideWhenUsed="0" w:qFormat="1"/>
    <w:lsdException w:name="endnote text" w:uiPriority="0" w:qFormat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3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4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5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6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7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  <w:outlineLvl w:val="8"/>
    </w:pPr>
    <w:rPr>
      <w:rFonts w:eastAsia="Times New Roman"/>
      <w:spacing w:val="0"/>
      <w:w w:val="100"/>
      <w:kern w:val="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"/>
    <w:basedOn w:val="Normal"/>
    <w:link w:val="FooterChar"/>
    <w:unhideWhenUsed/>
    <w:qFormat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"/>
    <w:basedOn w:val="DefaultParagraphFont"/>
    <w:link w:val="Footer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"/>
    <w:basedOn w:val="Normal"/>
    <w:link w:val="HeaderChar"/>
    <w:qFormat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5_GR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4_GR,Footnote Reference/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unhideWhenUsed/>
    <w:qFormat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23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0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06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06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5Char">
    <w:name w:val="Heading 5 Char"/>
    <w:basedOn w:val="DefaultParagraphFont"/>
    <w:link w:val="Heading5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6Char">
    <w:name w:val="Heading 6 Char"/>
    <w:basedOn w:val="DefaultParagraphFont"/>
    <w:link w:val="Heading6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7Char">
    <w:name w:val="Heading 7 Char"/>
    <w:basedOn w:val="DefaultParagraphFont"/>
    <w:link w:val="Heading7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8Char">
    <w:name w:val="Heading 8 Char"/>
    <w:basedOn w:val="DefaultParagraphFont"/>
    <w:link w:val="Heading8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9Char">
    <w:name w:val="Heading 9 Char"/>
    <w:basedOn w:val="DefaultParagraphFont"/>
    <w:link w:val="Heading9"/>
    <w:semiHidden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paragraph" w:customStyle="1" w:styleId="HMG">
    <w:name w:val="_ H __M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="Times New Roman"/>
      <w:b/>
      <w:spacing w:val="0"/>
      <w:w w:val="100"/>
      <w:kern w:val="0"/>
      <w:sz w:val="34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H1G">
    <w:name w:val="_ H_1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fr-CH" w:eastAsia="en-US"/>
    </w:rPr>
  </w:style>
  <w:style w:type="paragraph" w:customStyle="1" w:styleId="H23G">
    <w:name w:val="_ H_2/3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fr-CH" w:eastAsia="en-US"/>
    </w:rPr>
  </w:style>
  <w:style w:type="paragraph" w:customStyle="1" w:styleId="H4G">
    <w:name w:val="_ H_4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fr-CH" w:eastAsia="en-US"/>
    </w:rPr>
  </w:style>
  <w:style w:type="paragraph" w:customStyle="1" w:styleId="H56G">
    <w:name w:val="_ H_5/6_G"/>
    <w:basedOn w:val="Normal"/>
    <w:next w:val="Normal"/>
    <w:qFormat/>
    <w:rsid w:val="00FA0E61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SLG">
    <w:name w:val="__S_L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="Times New Roman"/>
      <w:b/>
      <w:spacing w:val="0"/>
      <w:w w:val="100"/>
      <w:kern w:val="0"/>
      <w:sz w:val="56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SSG">
    <w:name w:val="__S_S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XLargeG">
    <w:name w:val="__XLarge_G"/>
    <w:basedOn w:val="Normal"/>
    <w:next w:val="Normal"/>
    <w:rsid w:val="00FA0E6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Bullet1G">
    <w:name w:val="_Bullet 1_G"/>
    <w:basedOn w:val="Normal"/>
    <w:qFormat/>
    <w:rsid w:val="00FA0E61"/>
    <w:pPr>
      <w:numPr>
        <w:numId w:val="1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Bullet2G">
    <w:name w:val="_Bullet 2_G"/>
    <w:basedOn w:val="Normal"/>
    <w:qFormat/>
    <w:rsid w:val="00FA0E61"/>
    <w:pPr>
      <w:numPr>
        <w:numId w:val="12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paragraph" w:customStyle="1" w:styleId="ParNoG">
    <w:name w:val="_ParNo_G"/>
    <w:basedOn w:val="Normal"/>
    <w:qFormat/>
    <w:rsid w:val="00FA0E61"/>
    <w:pPr>
      <w:numPr>
        <w:numId w:val="13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fr-CH" w:eastAsia="en-US"/>
    </w:rPr>
  </w:style>
  <w:style w:type="table" w:styleId="TableGrid">
    <w:name w:val="Table Grid"/>
    <w:basedOn w:val="TableNormal"/>
    <w:rsid w:val="00FA0E6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FA0E61"/>
    <w:rPr>
      <w:color w:val="0000FF"/>
      <w:u w:val="none"/>
    </w:rPr>
  </w:style>
  <w:style w:type="character" w:styleId="FollowedHyperlink">
    <w:name w:val="FollowedHyperlink"/>
    <w:unhideWhenUsed/>
    <w:rsid w:val="00FA0E61"/>
    <w:rPr>
      <w:color w:val="0000FF"/>
      <w:u w:val="none"/>
    </w:rPr>
  </w:style>
  <w:style w:type="character" w:styleId="PageNumber">
    <w:name w:val="page number"/>
    <w:aliases w:val="7_G"/>
    <w:qFormat/>
    <w:rsid w:val="00FA0E61"/>
    <w:rPr>
      <w:rFonts w:ascii="Times New Roman" w:hAnsi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61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ascii="Tahoma" w:eastAsia="Times New Roman" w:hAnsi="Tahoma" w:cs="Tahoma"/>
      <w:spacing w:val="0"/>
      <w:w w:val="100"/>
      <w:kern w:val="0"/>
      <w:sz w:val="16"/>
      <w:szCs w:val="16"/>
      <w:lang w:val="fr-CH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61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SingleTxtGChar">
    <w:name w:val="_ Single Txt_G Char"/>
    <w:link w:val="SingleTxtG"/>
    <w:rsid w:val="00FA0E61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SingleTxtGCar">
    <w:name w:val="_ Single Txt_G Car"/>
    <w:rsid w:val="00FA0E61"/>
    <w:rPr>
      <w:lang w:val="fr-CH" w:eastAsia="en-US" w:bidi="ar-SA"/>
    </w:rPr>
  </w:style>
  <w:style w:type="character" w:customStyle="1" w:styleId="HChGChar">
    <w:name w:val="_ H _Ch_G Char"/>
    <w:link w:val="HChG"/>
    <w:rsid w:val="00FA0E61"/>
    <w:rPr>
      <w:rFonts w:ascii="Times New Roman" w:eastAsia="Times New Roman" w:hAnsi="Times New Roman" w:cs="Times New Roman"/>
      <w:b/>
      <w:sz w:val="28"/>
      <w:szCs w:val="20"/>
      <w:lang w:val="fr-CH" w:eastAsia="en-US"/>
    </w:rPr>
  </w:style>
  <w:style w:type="paragraph" w:customStyle="1" w:styleId="Absatz">
    <w:name w:val="Absatz"/>
    <w:link w:val="AbsatzChar"/>
    <w:rsid w:val="00FA0E61"/>
    <w:pPr>
      <w:spacing w:before="80" w:after="0" w:line="200" w:lineRule="exact"/>
      <w:jc w:val="both"/>
    </w:pPr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paragraph" w:customStyle="1" w:styleId="Tabkrper08pt">
    <w:name w:val="Tabkörper 0/8pt"/>
    <w:link w:val="Tabkrper08ptChar"/>
    <w:rsid w:val="00FA0E61"/>
    <w:pPr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val="de-CH" w:eastAsia="de-DE"/>
    </w:rPr>
  </w:style>
  <w:style w:type="paragraph" w:customStyle="1" w:styleId="Tabkrper38pt">
    <w:name w:val="Tabkörper 3/8pt"/>
    <w:basedOn w:val="Tabkrper08pt"/>
    <w:rsid w:val="00FA0E61"/>
    <w:pPr>
      <w:spacing w:before="60"/>
    </w:pPr>
  </w:style>
  <w:style w:type="paragraph" w:customStyle="1" w:styleId="TabellenkopfN">
    <w:name w:val="Tabellenkopf N"/>
    <w:basedOn w:val="Normal"/>
    <w:rsid w:val="00FA0E61"/>
    <w:pPr>
      <w:spacing w:before="60" w:after="60" w:line="130" w:lineRule="exact"/>
    </w:pPr>
    <w:rPr>
      <w:rFonts w:eastAsia="Times New Roman"/>
      <w:spacing w:val="0"/>
      <w:w w:val="100"/>
      <w:kern w:val="0"/>
      <w:sz w:val="13"/>
      <w:szCs w:val="20"/>
      <w:lang w:val="de-CH" w:eastAsia="de-DE"/>
    </w:rPr>
  </w:style>
  <w:style w:type="paragraph" w:customStyle="1" w:styleId="Abstand4pt">
    <w:name w:val="Abstand /4pt"/>
    <w:basedOn w:val="Normal"/>
    <w:rsid w:val="00FA0E61"/>
    <w:pPr>
      <w:spacing w:before="60" w:line="20" w:lineRule="exact"/>
    </w:pPr>
    <w:rPr>
      <w:rFonts w:eastAsia="Times New Roman"/>
      <w:b/>
      <w:bCs/>
      <w:color w:val="00FF00"/>
      <w:spacing w:val="0"/>
      <w:w w:val="100"/>
      <w:kern w:val="0"/>
      <w:sz w:val="290"/>
      <w:szCs w:val="290"/>
      <w:lang w:val="de-CH" w:eastAsia="de-DE"/>
    </w:rPr>
  </w:style>
  <w:style w:type="paragraph" w:customStyle="1" w:styleId="Tab-Struktur229pt">
    <w:name w:val="Tab-Struktur 2 2/9pt"/>
    <w:basedOn w:val="Normal"/>
    <w:rsid w:val="00FA0E61"/>
    <w:pPr>
      <w:tabs>
        <w:tab w:val="left" w:pos="227"/>
        <w:tab w:val="left" w:pos="454"/>
      </w:tabs>
      <w:spacing w:before="40" w:line="200" w:lineRule="exact"/>
      <w:ind w:left="454" w:hanging="227"/>
    </w:pPr>
    <w:rPr>
      <w:rFonts w:eastAsia="Times New Roman"/>
      <w:spacing w:val="0"/>
      <w:w w:val="100"/>
      <w:kern w:val="0"/>
      <w:sz w:val="18"/>
      <w:szCs w:val="20"/>
      <w:lang w:val="de-CH" w:eastAsia="de-DE"/>
    </w:rPr>
  </w:style>
  <w:style w:type="paragraph" w:customStyle="1" w:styleId="Absatz09pt">
    <w:name w:val="Absatz 0/9pt"/>
    <w:basedOn w:val="Absatz"/>
    <w:rsid w:val="00FA0E61"/>
    <w:pPr>
      <w:spacing w:before="0"/>
    </w:pPr>
  </w:style>
  <w:style w:type="paragraph" w:customStyle="1" w:styleId="Tab-Struktur149pt">
    <w:name w:val="Tab-Struktur 1 4/9pt"/>
    <w:basedOn w:val="Normal"/>
    <w:rsid w:val="00FA0E61"/>
    <w:pPr>
      <w:tabs>
        <w:tab w:val="left" w:pos="227"/>
      </w:tabs>
      <w:spacing w:before="80" w:line="200" w:lineRule="exact"/>
      <w:ind w:left="227" w:hanging="227"/>
    </w:pPr>
    <w:rPr>
      <w:rFonts w:eastAsia="Times New Roman"/>
      <w:spacing w:val="0"/>
      <w:w w:val="100"/>
      <w:kern w:val="0"/>
      <w:sz w:val="18"/>
      <w:szCs w:val="20"/>
      <w:lang w:val="de-CH" w:eastAsia="de-DE"/>
    </w:rPr>
  </w:style>
  <w:style w:type="paragraph" w:customStyle="1" w:styleId="Tabkrper49pt-fett">
    <w:name w:val="Tabkörper 4/9pt-fett"/>
    <w:basedOn w:val="Normal"/>
    <w:rsid w:val="00FA0E61"/>
    <w:pPr>
      <w:spacing w:before="80" w:line="200" w:lineRule="exact"/>
    </w:pPr>
    <w:rPr>
      <w:rFonts w:eastAsia="Times New Roman"/>
      <w:b/>
      <w:spacing w:val="0"/>
      <w:w w:val="100"/>
      <w:kern w:val="0"/>
      <w:sz w:val="18"/>
      <w:szCs w:val="20"/>
      <w:lang w:val="de-CH" w:eastAsia="de-DE"/>
    </w:rPr>
  </w:style>
  <w:style w:type="paragraph" w:customStyle="1" w:styleId="Tabkrper383pt">
    <w:name w:val="Tabkörper 3/8/3pt"/>
    <w:basedOn w:val="Tabkrper38pt"/>
    <w:qFormat/>
    <w:rsid w:val="00FA0E61"/>
    <w:pPr>
      <w:tabs>
        <w:tab w:val="left" w:pos="2892"/>
      </w:tabs>
      <w:spacing w:after="60"/>
    </w:pPr>
  </w:style>
  <w:style w:type="character" w:customStyle="1" w:styleId="AbsatzChar">
    <w:name w:val="Absatz Char"/>
    <w:link w:val="Absatz"/>
    <w:rsid w:val="00FA0E61"/>
    <w:rPr>
      <w:rFonts w:ascii="Times New Roman" w:eastAsia="Times New Roman" w:hAnsi="Times New Roman" w:cs="Times New Roman"/>
      <w:sz w:val="18"/>
      <w:szCs w:val="20"/>
      <w:lang w:val="de-CH" w:eastAsia="de-DE"/>
    </w:rPr>
  </w:style>
  <w:style w:type="character" w:customStyle="1" w:styleId="Tabkrper08ptChar">
    <w:name w:val="Tabkörper 0/8pt Char"/>
    <w:link w:val="Tabkrper08pt"/>
    <w:rsid w:val="00FA0E61"/>
    <w:rPr>
      <w:rFonts w:ascii="Times New Roman" w:eastAsia="Times New Roman" w:hAnsi="Times New Roman" w:cs="Times New Roman"/>
      <w:sz w:val="16"/>
      <w:szCs w:val="20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5415-C7C0-4D2F-AF36-CAF23BD1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Maison</cp:lastModifiedBy>
  <cp:revision>2</cp:revision>
  <cp:lastPrinted>2015-09-18T06:52:00Z</cp:lastPrinted>
  <dcterms:created xsi:type="dcterms:W3CDTF">2015-09-30T12:45:00Z</dcterms:created>
  <dcterms:modified xsi:type="dcterms:W3CDTF">2015-09-30T12:45:00Z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1513373R</vt:lpwstr>
  </property>
  <property fmtid="{D5CDD505-2E9C-101B-9397-08002B2CF9AE}" pid="3" name="ODSRefJobNo">
    <vt:lpwstr>1517515R</vt:lpwstr>
  </property>
  <property fmtid="{D5CDD505-2E9C-101B-9397-08002B2CF9AE}" pid="4" name="Symbol1">
    <vt:lpwstr>ECE/TRANS/WP.15/2015/7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7 August 2015</vt:lpwstr>
  </property>
  <property fmtid="{D5CDD505-2E9C-101B-9397-08002B2CF9AE}" pid="12" name="Original">
    <vt:lpwstr>French</vt:lpwstr>
  </property>
  <property fmtid="{D5CDD505-2E9C-101B-9397-08002B2CF9AE}" pid="13" name="Release Date">
    <vt:lpwstr>170915</vt:lpwstr>
  </property>
</Properties>
</file>