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8" w:rsidRDefault="00247E18" w:rsidP="00247E18">
      <w:pPr>
        <w:spacing w:line="240" w:lineRule="auto"/>
        <w:rPr>
          <w:sz w:val="2"/>
        </w:rPr>
        <w:sectPr w:rsidR="00247E18" w:rsidSect="00247E1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47E18" w:rsidRDefault="00247E18" w:rsidP="00247E18">
      <w:pPr>
        <w:pStyle w:val="H1"/>
        <w:spacing w:after="120"/>
        <w:rPr>
          <w:sz w:val="28"/>
        </w:rPr>
      </w:pPr>
      <w:r>
        <w:rPr>
          <w:sz w:val="28"/>
        </w:rPr>
        <w:lastRenderedPageBreak/>
        <w:t>Commission économique pour l’Europe</w:t>
      </w:r>
    </w:p>
    <w:p w:rsidR="00247E18" w:rsidRDefault="00247E18" w:rsidP="00247E18">
      <w:pPr>
        <w:pStyle w:val="H1"/>
        <w:spacing w:after="120" w:line="300" w:lineRule="exact"/>
        <w:rPr>
          <w:b w:val="0"/>
          <w:sz w:val="28"/>
        </w:rPr>
      </w:pPr>
      <w:r>
        <w:rPr>
          <w:b w:val="0"/>
          <w:sz w:val="28"/>
        </w:rPr>
        <w:t>Comité des transports intérieurs</w:t>
      </w:r>
    </w:p>
    <w:p w:rsidR="00FE2653" w:rsidRDefault="00FE2653" w:rsidP="00FC26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E01B8">
        <w:t xml:space="preserve">Groupe de travail des transports </w:t>
      </w:r>
      <w:r w:rsidR="00E408B6">
        <w:br/>
      </w:r>
      <w:r w:rsidRPr="009E01B8">
        <w:t>de marchandises dangereuses</w:t>
      </w:r>
    </w:p>
    <w:p w:rsidR="00FC26FD" w:rsidRPr="00FC26FD" w:rsidRDefault="00FC26FD" w:rsidP="00FC26FD">
      <w:pPr>
        <w:spacing w:line="120" w:lineRule="exact"/>
        <w:rPr>
          <w:sz w:val="10"/>
        </w:rPr>
      </w:pPr>
    </w:p>
    <w:p w:rsidR="00FE2653" w:rsidRPr="002A554B" w:rsidRDefault="00FE2653" w:rsidP="00FC26F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A554B">
        <w:rPr>
          <w:lang w:val="fr-FR"/>
        </w:rPr>
        <w:t>Qu</w:t>
      </w:r>
      <w:r w:rsidR="00FC26FD">
        <w:rPr>
          <w:lang w:val="fr-FR"/>
        </w:rPr>
        <w:t>atre-vingt-dix-neuvième session</w:t>
      </w:r>
    </w:p>
    <w:p w:rsidR="00FE2653" w:rsidRPr="002A554B" w:rsidRDefault="00FE2653" w:rsidP="00FC26F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A554B">
        <w:rPr>
          <w:lang w:val="fr-FR"/>
        </w:rPr>
        <w:t xml:space="preserve">Genève, 9-13 novembre 2015 </w:t>
      </w:r>
    </w:p>
    <w:p w:rsidR="00FE2653" w:rsidRPr="002A554B" w:rsidRDefault="00FE2653" w:rsidP="00FC26F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A554B">
        <w:rPr>
          <w:rFonts w:eastAsia="SimSun"/>
          <w:lang w:val="fr-FR"/>
        </w:rPr>
        <w:t>Point </w:t>
      </w:r>
      <w:r w:rsidRPr="002A554B">
        <w:rPr>
          <w:lang w:val="fr-FR"/>
        </w:rPr>
        <w:t>6 b) de l</w:t>
      </w:r>
      <w:r>
        <w:rPr>
          <w:lang w:val="fr-FR"/>
        </w:rPr>
        <w:t>’</w:t>
      </w:r>
      <w:r w:rsidRPr="002A554B">
        <w:rPr>
          <w:lang w:val="fr-FR"/>
        </w:rPr>
        <w:t>ordre du jour provisoire</w:t>
      </w:r>
    </w:p>
    <w:p w:rsidR="00FE2653" w:rsidRPr="002A554B" w:rsidRDefault="00FE2653" w:rsidP="00FC26F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A554B">
        <w:rPr>
          <w:lang w:val="fr-FR"/>
        </w:rPr>
        <w:t>Propositions d</w:t>
      </w:r>
      <w:r>
        <w:rPr>
          <w:lang w:val="fr-FR"/>
        </w:rPr>
        <w:t>’</w:t>
      </w:r>
      <w:r w:rsidRPr="002A554B">
        <w:rPr>
          <w:lang w:val="fr-FR"/>
        </w:rPr>
        <w:t>amendement aux annexes A et B de l</w:t>
      </w:r>
      <w:r>
        <w:rPr>
          <w:lang w:val="fr-FR"/>
        </w:rPr>
        <w:t>’</w:t>
      </w:r>
      <w:r w:rsidRPr="002A554B">
        <w:rPr>
          <w:lang w:val="fr-FR"/>
        </w:rPr>
        <w:t>ADR</w:t>
      </w:r>
      <w:r w:rsidR="00FC26FD">
        <w:rPr>
          <w:lang w:val="fr-FR"/>
        </w:rPr>
        <w:t> </w:t>
      </w:r>
      <w:r w:rsidRPr="002A554B">
        <w:rPr>
          <w:lang w:val="fr-FR"/>
        </w:rPr>
        <w:t>:</w:t>
      </w:r>
    </w:p>
    <w:p w:rsidR="00FE2653" w:rsidRDefault="00FE2653" w:rsidP="00FE2653">
      <w:pPr>
        <w:rPr>
          <w:b/>
          <w:lang w:val="fr-FR"/>
        </w:rPr>
      </w:pPr>
      <w:proofErr w:type="gramStart"/>
      <w:r w:rsidRPr="002A554B">
        <w:rPr>
          <w:b/>
          <w:lang w:val="fr-FR"/>
        </w:rPr>
        <w:t>propositions</w:t>
      </w:r>
      <w:proofErr w:type="gramEnd"/>
      <w:r w:rsidRPr="002A554B">
        <w:rPr>
          <w:b/>
          <w:lang w:val="fr-FR"/>
        </w:rPr>
        <w:t xml:space="preserve"> diverses</w:t>
      </w:r>
    </w:p>
    <w:p w:rsidR="00FC26FD" w:rsidRPr="00FC26FD" w:rsidRDefault="00FC26FD" w:rsidP="00FC26FD">
      <w:pPr>
        <w:spacing w:line="120" w:lineRule="exact"/>
        <w:rPr>
          <w:b/>
          <w:sz w:val="10"/>
          <w:lang w:val="fr-FR"/>
        </w:rPr>
      </w:pPr>
    </w:p>
    <w:p w:rsidR="00FC26FD" w:rsidRPr="00FC26FD" w:rsidRDefault="00FC26FD" w:rsidP="00FC26FD">
      <w:pPr>
        <w:spacing w:line="120" w:lineRule="exact"/>
        <w:rPr>
          <w:b/>
          <w:sz w:val="10"/>
          <w:lang w:val="fr-FR"/>
        </w:rPr>
      </w:pPr>
    </w:p>
    <w:p w:rsidR="00FC26FD" w:rsidRPr="00FC26FD" w:rsidRDefault="00FC26FD" w:rsidP="00FC26FD">
      <w:pPr>
        <w:spacing w:line="120" w:lineRule="exact"/>
        <w:rPr>
          <w:b/>
          <w:sz w:val="10"/>
          <w:lang w:val="fr-FR"/>
        </w:rPr>
      </w:pPr>
    </w:p>
    <w:p w:rsidR="00FE2653" w:rsidRDefault="00FE2653" w:rsidP="00FC26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E68D7">
        <w:rPr>
          <w:lang w:val="fr-FR"/>
        </w:rPr>
        <w:tab/>
      </w:r>
      <w:r w:rsidRPr="00CE68D7">
        <w:rPr>
          <w:lang w:val="fr-FR"/>
        </w:rPr>
        <w:tab/>
      </w:r>
      <w:r w:rsidRPr="00692165">
        <w:rPr>
          <w:lang w:val="fr-FR"/>
        </w:rPr>
        <w:t xml:space="preserve">Utilisation du gaz naturel liquéfié (GNL), du gaz naturel comprimé (GNC) et du gaz de pétrole liquéfié (GPL) </w:t>
      </w:r>
      <w:r w:rsidR="00FC26FD">
        <w:rPr>
          <w:lang w:val="fr-FR"/>
        </w:rPr>
        <w:br/>
      </w:r>
      <w:r w:rsidRPr="00692165">
        <w:rPr>
          <w:lang w:val="fr-FR"/>
        </w:rPr>
        <w:t xml:space="preserve">en tant que carburant pour les véhicules transportant </w:t>
      </w:r>
      <w:r w:rsidR="00FC26FD">
        <w:rPr>
          <w:lang w:val="fr-FR"/>
        </w:rPr>
        <w:br/>
      </w:r>
      <w:r w:rsidRPr="00692165">
        <w:rPr>
          <w:lang w:val="fr-FR"/>
        </w:rPr>
        <w:t>des marchandises dangereuses</w:t>
      </w:r>
    </w:p>
    <w:p w:rsidR="00FC26FD" w:rsidRPr="00FC26FD" w:rsidRDefault="00FC26FD" w:rsidP="00FC26FD">
      <w:pPr>
        <w:pStyle w:val="SingleTxt"/>
        <w:spacing w:after="0" w:line="120" w:lineRule="exact"/>
        <w:rPr>
          <w:sz w:val="10"/>
          <w:lang w:val="fr-FR"/>
        </w:rPr>
      </w:pPr>
    </w:p>
    <w:p w:rsidR="00FC26FD" w:rsidRPr="00FC26FD" w:rsidRDefault="00FC26FD" w:rsidP="00FC26FD">
      <w:pPr>
        <w:pStyle w:val="SingleTxt"/>
        <w:spacing w:after="0" w:line="120" w:lineRule="exact"/>
        <w:rPr>
          <w:sz w:val="10"/>
          <w:lang w:val="fr-FR"/>
        </w:rPr>
      </w:pPr>
    </w:p>
    <w:p w:rsidR="00247E18" w:rsidRDefault="00FE2653" w:rsidP="00FC26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E68D7">
        <w:rPr>
          <w:lang w:val="fr-FR"/>
        </w:rPr>
        <w:tab/>
      </w:r>
      <w:r w:rsidRPr="00CE68D7">
        <w:rPr>
          <w:lang w:val="fr-FR"/>
        </w:rPr>
        <w:tab/>
        <w:t xml:space="preserve">Communication du </w:t>
      </w:r>
      <w:r>
        <w:rPr>
          <w:lang w:val="fr-FR"/>
        </w:rPr>
        <w:t>Gouvernement allemand</w:t>
      </w:r>
      <w:r w:rsidR="00FC26FD" w:rsidRPr="00D261EC">
        <w:rPr>
          <w:rStyle w:val="FootnoteReference"/>
          <w:b w:val="0"/>
          <w:sz w:val="20"/>
          <w:szCs w:val="20"/>
          <w:lang w:val="fr-FR"/>
        </w:rPr>
        <w:footnoteReference w:id="1"/>
      </w:r>
    </w:p>
    <w:p w:rsidR="00FC26FD" w:rsidRPr="00FC26FD" w:rsidRDefault="00FC26FD" w:rsidP="00FC26FD">
      <w:pPr>
        <w:rPr>
          <w:lang w:val="fr-FR"/>
        </w:rPr>
      </w:pPr>
    </w:p>
    <w:p w:rsidR="00FC26FD" w:rsidRDefault="00FC26FD">
      <w:pPr>
        <w:spacing w:line="240" w:lineRule="auto"/>
      </w:pPr>
      <w:r>
        <w:br w:type="page"/>
      </w: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C26FD" w:rsidTr="00FC26FD">
        <w:tc>
          <w:tcPr>
            <w:tcW w:w="10051" w:type="dxa"/>
            <w:tcBorders>
              <w:top w:val="single" w:sz="2" w:space="0" w:color="auto"/>
            </w:tcBorders>
            <w:shd w:val="clear" w:color="auto" w:fill="auto"/>
          </w:tcPr>
          <w:p w:rsidR="00FC26FD" w:rsidRPr="00FC26FD" w:rsidRDefault="00FC26FD" w:rsidP="00FC26FD">
            <w:pPr>
              <w:tabs>
                <w:tab w:val="left" w:pos="240"/>
              </w:tabs>
              <w:spacing w:before="240" w:after="120"/>
              <w:rPr>
                <w:i/>
                <w:sz w:val="24"/>
              </w:rPr>
            </w:pPr>
            <w:r>
              <w:rPr>
                <w:i/>
                <w:sz w:val="24"/>
              </w:rPr>
              <w:lastRenderedPageBreak/>
              <w:tab/>
              <w:t>Résumé</w:t>
            </w:r>
          </w:p>
        </w:tc>
      </w:tr>
      <w:tr w:rsidR="00FC26FD" w:rsidTr="00FC26FD">
        <w:tc>
          <w:tcPr>
            <w:tcW w:w="10051" w:type="dxa"/>
            <w:shd w:val="clear" w:color="auto" w:fill="auto"/>
          </w:tcPr>
          <w:p w:rsidR="00FC26FD" w:rsidRPr="00FC26FD" w:rsidRDefault="00FC26FD" w:rsidP="00874F3A">
            <w:pPr>
              <w:pStyle w:val="SingleTxtG"/>
              <w:ind w:left="3603" w:hanging="2469"/>
              <w:rPr>
                <w:sz w:val="20"/>
              </w:rPr>
            </w:pPr>
            <w:r w:rsidRPr="00FC26FD">
              <w:rPr>
                <w:b/>
                <w:bCs/>
                <w:sz w:val="20"/>
              </w:rPr>
              <w:t>Résumé analytique :</w:t>
            </w:r>
            <w:r w:rsidRPr="00FC26FD">
              <w:rPr>
                <w:b/>
                <w:bCs/>
                <w:sz w:val="20"/>
              </w:rPr>
              <w:tab/>
            </w:r>
            <w:r w:rsidRPr="00FC26FD">
              <w:rPr>
                <w:sz w:val="20"/>
              </w:rPr>
              <w:t>L’Allemagne accueille avec satisfaction les nouvelles technologies et, naturellement, l’utilisation du GNL, du GNC et du GPL en tant que carburant pour les véhicules transportant des marchandises dangereuses.</w:t>
            </w:r>
          </w:p>
          <w:p w:rsidR="00FC26FD" w:rsidRPr="00FC26FD" w:rsidRDefault="00FC26FD" w:rsidP="00874F3A">
            <w:pPr>
              <w:pStyle w:val="SingleTxtG"/>
              <w:ind w:left="3603" w:hanging="2469"/>
            </w:pPr>
            <w:r>
              <w:tab/>
            </w:r>
            <w:r w:rsidRPr="00FC26FD">
              <w:rPr>
                <w:sz w:val="20"/>
              </w:rPr>
              <w:t>L’Allemagne propose donc de réviser et harmoniser les dispositions concernant les exemptions pour l’utilisation du GNL, du GNC et du GPL en tant que carburant pour les véhicules transportant des marchandises dangereuses – dans l’esprit de l’arrangement applicable aux exemptions relatives aux carburants liquides au paragraphe 1.1.3.3 a) de l’ADR. Si l’on adapte l’arrangement applicable aux exemptions liées au transport de gaz, on peut considérer que le renvoi aux Règlements de la CEE dans la section 9.2.4 devient superflu.</w:t>
            </w:r>
          </w:p>
        </w:tc>
      </w:tr>
      <w:tr w:rsidR="00FC26FD" w:rsidTr="00FC26FD">
        <w:tc>
          <w:tcPr>
            <w:tcW w:w="10051" w:type="dxa"/>
            <w:shd w:val="clear" w:color="auto" w:fill="auto"/>
          </w:tcPr>
          <w:p w:rsidR="00FC26FD" w:rsidRPr="00FC26FD" w:rsidRDefault="00874F3A" w:rsidP="00874F3A">
            <w:pPr>
              <w:pStyle w:val="SingleTxtG"/>
              <w:ind w:left="3603" w:hanging="2469"/>
            </w:pPr>
            <w:r w:rsidRPr="00874F3A">
              <w:rPr>
                <w:b/>
                <w:bCs/>
                <w:sz w:val="20"/>
              </w:rPr>
              <w:t>Mesure à prendre</w:t>
            </w:r>
            <w:r>
              <w:rPr>
                <w:b/>
                <w:bCs/>
                <w:sz w:val="20"/>
              </w:rPr>
              <w:t> </w:t>
            </w:r>
            <w:r w:rsidRPr="00874F3A">
              <w:rPr>
                <w:b/>
                <w:bCs/>
                <w:sz w:val="20"/>
              </w:rPr>
              <w:t>:</w:t>
            </w:r>
            <w:r>
              <w:rPr>
                <w:b/>
                <w:bCs/>
              </w:rPr>
              <w:tab/>
            </w:r>
            <w:r w:rsidRPr="00874F3A">
              <w:rPr>
                <w:sz w:val="20"/>
              </w:rPr>
              <w:t xml:space="preserve">Débat, révision/amendement pour ce qui est des dispositions concernant l’utilisation du GNL, du GNC et du GPL en tant que carburant pour les véhicules transportant des marchandises dangereuses dans la section 9.2.X et les </w:t>
            </w:r>
            <w:r>
              <w:rPr>
                <w:sz w:val="20"/>
              </w:rPr>
              <w:t>sous-</w:t>
            </w:r>
            <w:r w:rsidRPr="00874F3A">
              <w:rPr>
                <w:sz w:val="20"/>
              </w:rPr>
              <w:t>sections 1.1.3.2, 9.2.4.3 et 9.2.4.4 de l’ADR dans la version de 2017.</w:t>
            </w:r>
          </w:p>
        </w:tc>
      </w:tr>
      <w:tr w:rsidR="00FC26FD" w:rsidTr="00FC26FD">
        <w:tc>
          <w:tcPr>
            <w:tcW w:w="10051" w:type="dxa"/>
            <w:tcBorders>
              <w:bottom w:val="nil"/>
            </w:tcBorders>
            <w:shd w:val="clear" w:color="auto" w:fill="auto"/>
          </w:tcPr>
          <w:p w:rsidR="00FC26FD" w:rsidRPr="00FC26FD" w:rsidRDefault="00874F3A" w:rsidP="00874F3A">
            <w:pPr>
              <w:pStyle w:val="SingleTxtG"/>
              <w:ind w:left="3603" w:hanging="2469"/>
            </w:pPr>
            <w:r w:rsidRPr="00874F3A">
              <w:rPr>
                <w:b/>
                <w:sz w:val="20"/>
              </w:rPr>
              <w:t>Documents de référence</w:t>
            </w:r>
            <w:r>
              <w:rPr>
                <w:b/>
                <w:sz w:val="20"/>
              </w:rPr>
              <w:t> </w:t>
            </w:r>
            <w:r w:rsidRPr="00874F3A">
              <w:rPr>
                <w:b/>
                <w:sz w:val="20"/>
              </w:rPr>
              <w:t>:</w:t>
            </w:r>
            <w:hyperlink r:id="rId15" w:tgtFrame="_blank" w:history="1">
              <w:r w:rsidRPr="00874F3A">
                <w:rPr>
                  <w:rStyle w:val="Hyperlink"/>
                  <w:sz w:val="20"/>
                </w:rPr>
                <w:tab/>
                <w:t>ECE/TRANS/WP.15/224</w:t>
              </w:r>
            </w:hyperlink>
            <w:r w:rsidRPr="00874F3A">
              <w:rPr>
                <w:sz w:val="20"/>
              </w:rPr>
              <w:t xml:space="preserve">, paragraphes 31 à 35 et annexe II; </w:t>
            </w:r>
            <w:hyperlink r:id="rId16" w:tgtFrame="_blank" w:history="1">
              <w:r w:rsidRPr="00874F3A">
                <w:rPr>
                  <w:rStyle w:val="Hyperlink"/>
                  <w:sz w:val="20"/>
                </w:rPr>
                <w:t>ECE/TRANS/WP.</w:t>
              </w:r>
              <w:r w:rsidRPr="00E408B6">
                <w:rPr>
                  <w:sz w:val="20"/>
                </w:rPr>
                <w:t>15</w:t>
              </w:r>
              <w:r w:rsidRPr="00874F3A">
                <w:rPr>
                  <w:rStyle w:val="Hyperlink"/>
                  <w:sz w:val="20"/>
                </w:rPr>
                <w:t>/2014/2</w:t>
              </w:r>
            </w:hyperlink>
            <w:r w:rsidRPr="00874F3A">
              <w:rPr>
                <w:sz w:val="20"/>
              </w:rPr>
              <w:t xml:space="preserve"> et documents informels y relatifs; </w:t>
            </w:r>
            <w:hyperlink r:id="rId17" w:tgtFrame="_blank" w:history="1">
              <w:r w:rsidRPr="00874F3A">
                <w:rPr>
                  <w:rStyle w:val="Hyperlink"/>
                  <w:sz w:val="20"/>
                </w:rPr>
                <w:t>ECE/TRANS/WP.15/2015/6</w:t>
              </w:r>
            </w:hyperlink>
            <w:r w:rsidRPr="00874F3A">
              <w:rPr>
                <w:rStyle w:val="Hyperlink"/>
                <w:sz w:val="20"/>
              </w:rPr>
              <w:t>;</w:t>
            </w:r>
            <w:r w:rsidRPr="00874F3A">
              <w:rPr>
                <w:sz w:val="20"/>
              </w:rPr>
              <w:t xml:space="preserve"> documents informels INF.3 (Suède), INF.4 (NGV Global), INF.12 (NGV Global), INF.15 (AEGPL) et INF.1</w:t>
            </w:r>
            <w:bookmarkStart w:id="1" w:name="insstart"/>
            <w:bookmarkEnd w:id="1"/>
            <w:r w:rsidRPr="00874F3A">
              <w:rPr>
                <w:sz w:val="20"/>
              </w:rPr>
              <w:t>6 (AEGPL) de la quatre</w:t>
            </w:r>
            <w:r w:rsidR="00E408B6">
              <w:rPr>
                <w:sz w:val="20"/>
              </w:rPr>
              <w:t>-vingt-dix-</w:t>
            </w:r>
            <w:r w:rsidRPr="00874F3A">
              <w:rPr>
                <w:sz w:val="20"/>
              </w:rPr>
              <w:t>huitième session.</w:t>
            </w:r>
          </w:p>
        </w:tc>
      </w:tr>
      <w:tr w:rsidR="00FC26FD" w:rsidTr="00FC26FD">
        <w:tc>
          <w:tcPr>
            <w:tcW w:w="10051" w:type="dxa"/>
            <w:tcBorders>
              <w:bottom w:val="single" w:sz="2" w:space="0" w:color="auto"/>
            </w:tcBorders>
            <w:shd w:val="clear" w:color="auto" w:fill="auto"/>
          </w:tcPr>
          <w:p w:rsidR="00FC26FD" w:rsidRPr="00FC26FD" w:rsidRDefault="00FC26FD" w:rsidP="00FC26FD">
            <w:pPr>
              <w:pStyle w:val="SingleTxt"/>
            </w:pPr>
          </w:p>
        </w:tc>
      </w:tr>
    </w:tbl>
    <w:p w:rsidR="00247E18" w:rsidRPr="00874F3A" w:rsidRDefault="00247E18" w:rsidP="00874F3A">
      <w:pPr>
        <w:pStyle w:val="SingleTxt"/>
        <w:spacing w:after="0" w:line="120" w:lineRule="exact"/>
        <w:rPr>
          <w:sz w:val="10"/>
        </w:rPr>
      </w:pPr>
    </w:p>
    <w:p w:rsidR="00874F3A" w:rsidRPr="00E408B6" w:rsidRDefault="00874F3A" w:rsidP="00E408B6">
      <w:pPr>
        <w:pStyle w:val="SingleTxt"/>
        <w:spacing w:after="0" w:line="120" w:lineRule="exact"/>
        <w:rPr>
          <w:sz w:val="10"/>
        </w:rPr>
      </w:pPr>
    </w:p>
    <w:p w:rsidR="00E408B6" w:rsidRPr="00874F3A" w:rsidRDefault="00E408B6" w:rsidP="00874F3A">
      <w:pPr>
        <w:pStyle w:val="SingleTxt"/>
        <w:spacing w:after="0" w:line="120" w:lineRule="exact"/>
        <w:rPr>
          <w:sz w:val="10"/>
        </w:rPr>
      </w:pPr>
    </w:p>
    <w:p w:rsidR="00874F3A" w:rsidRDefault="00874F3A" w:rsidP="00874F3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Introduction</w:t>
      </w:r>
    </w:p>
    <w:p w:rsidR="00874F3A" w:rsidRPr="00874F3A" w:rsidRDefault="00874F3A" w:rsidP="00874F3A">
      <w:pPr>
        <w:pStyle w:val="SingleTxt"/>
        <w:spacing w:after="0" w:line="120" w:lineRule="exact"/>
        <w:rPr>
          <w:sz w:val="10"/>
        </w:rPr>
      </w:pPr>
    </w:p>
    <w:p w:rsidR="00874F3A" w:rsidRPr="00874F3A" w:rsidRDefault="00874F3A" w:rsidP="00874F3A">
      <w:pPr>
        <w:pStyle w:val="SingleTxt"/>
        <w:spacing w:after="0" w:line="120" w:lineRule="exact"/>
        <w:rPr>
          <w:sz w:val="10"/>
        </w:rPr>
      </w:pPr>
    </w:p>
    <w:p w:rsidR="00874F3A" w:rsidRPr="000D3246" w:rsidRDefault="00874F3A" w:rsidP="00874F3A">
      <w:pPr>
        <w:pStyle w:val="SingleTxt"/>
        <w:numPr>
          <w:ilvl w:val="0"/>
          <w:numId w:val="10"/>
        </w:numPr>
        <w:tabs>
          <w:tab w:val="clear" w:pos="475"/>
          <w:tab w:val="num" w:pos="1742"/>
        </w:tabs>
        <w:ind w:left="1267"/>
      </w:pPr>
      <w:r w:rsidRPr="00692165">
        <w:t>À sa quatre-vingt-seizième session, en mai 2014, le Groupe de travail a adopté des amendements visant à faciliter l</w:t>
      </w:r>
      <w:r>
        <w:t>’</w:t>
      </w:r>
      <w:r w:rsidRPr="00692165">
        <w:t>utilisation du GNL comme carburant pour les véhicules FL et OX.</w:t>
      </w:r>
      <w:r w:rsidRPr="00184C9F">
        <w:t xml:space="preserve"> Ces dispositions entreront en vigueur le 1</w:t>
      </w:r>
      <w:r w:rsidRPr="00333AAF">
        <w:rPr>
          <w:vertAlign w:val="superscript"/>
        </w:rPr>
        <w:t>er</w:t>
      </w:r>
      <w:r>
        <w:t xml:space="preserve"> </w:t>
      </w:r>
      <w:r w:rsidRPr="00184C9F">
        <w:t>janvier 2017 et sont reproduites à l</w:t>
      </w:r>
      <w:r>
        <w:t>’</w:t>
      </w:r>
      <w:r w:rsidRPr="00184C9F">
        <w:t>annexe II du rapport (ECE/TRANS/WP.15/224).</w:t>
      </w:r>
      <w:r>
        <w:t xml:space="preserve"> </w:t>
      </w:r>
    </w:p>
    <w:p w:rsidR="00874F3A" w:rsidRPr="000D3246" w:rsidRDefault="00874F3A" w:rsidP="00874F3A">
      <w:pPr>
        <w:pStyle w:val="SingleTxt"/>
        <w:numPr>
          <w:ilvl w:val="0"/>
          <w:numId w:val="10"/>
        </w:numPr>
        <w:tabs>
          <w:tab w:val="clear" w:pos="475"/>
          <w:tab w:val="num" w:pos="1742"/>
        </w:tabs>
        <w:ind w:left="1267"/>
      </w:pPr>
      <w:r w:rsidRPr="00184C9F">
        <w:t xml:space="preserve">La modification </w:t>
      </w:r>
      <w:r>
        <w:t>apportée à</w:t>
      </w:r>
      <w:r w:rsidRPr="00184C9F">
        <w:t xml:space="preserve"> l</w:t>
      </w:r>
      <w:r>
        <w:t>’</w:t>
      </w:r>
      <w:r w:rsidRPr="00184C9F">
        <w:t>ADR pour y inclure des dispositions applicables aux véhicules alimentés par des carburants gazeux a suscité des débats au cours desquels</w:t>
      </w:r>
      <w:r>
        <w:t xml:space="preserve"> </w:t>
      </w:r>
      <w:r w:rsidRPr="00184C9F">
        <w:t>un groupe de travail informel par correspondance</w:t>
      </w:r>
      <w:r>
        <w:t xml:space="preserve"> a été invité </w:t>
      </w:r>
      <w:r w:rsidRPr="00184C9F">
        <w:t>à fournir</w:t>
      </w:r>
      <w:r>
        <w:t>, à la session suivante du Groupe de travail, en novembre 2015,</w:t>
      </w:r>
      <w:r w:rsidRPr="00184C9F">
        <w:t xml:space="preserve"> de plus amples justifications</w:t>
      </w:r>
      <w:r>
        <w:t xml:space="preserve"> en faveur de la proposition formelle concernant l’utilisation du GPL et du GNC</w:t>
      </w:r>
      <w:r w:rsidRPr="00184C9F">
        <w:t>.</w:t>
      </w:r>
      <w:r>
        <w:t xml:space="preserve"> </w:t>
      </w:r>
    </w:p>
    <w:p w:rsidR="00874F3A" w:rsidRPr="00CE0BAB" w:rsidRDefault="00874F3A" w:rsidP="00874F3A">
      <w:pPr>
        <w:pStyle w:val="SingleTxt"/>
        <w:numPr>
          <w:ilvl w:val="0"/>
          <w:numId w:val="10"/>
        </w:numPr>
        <w:tabs>
          <w:tab w:val="clear" w:pos="475"/>
          <w:tab w:val="num" w:pos="1742"/>
        </w:tabs>
        <w:ind w:left="1267"/>
      </w:pPr>
      <w:r w:rsidRPr="00CE0BAB">
        <w:t>L</w:t>
      </w:r>
      <w:r>
        <w:t>’Allemagne, comme d’autres</w:t>
      </w:r>
      <w:r w:rsidRPr="00CE0BAB">
        <w:t xml:space="preserve"> pays</w:t>
      </w:r>
      <w:r>
        <w:t>,</w:t>
      </w:r>
      <w:r w:rsidRPr="00CE0BAB">
        <w:t xml:space="preserve"> </w:t>
      </w:r>
      <w:r>
        <w:t>a</w:t>
      </w:r>
      <w:r w:rsidRPr="00CE0BAB">
        <w:t xml:space="preserve"> fait part de </w:t>
      </w:r>
      <w:r>
        <w:t>s</w:t>
      </w:r>
      <w:r w:rsidRPr="00CE0BAB">
        <w:t>es interrogations quant au caractère adéquat ou non du Règlement n</w:t>
      </w:r>
      <w:r w:rsidRPr="00CE0BAB">
        <w:rPr>
          <w:vertAlign w:val="superscript"/>
        </w:rPr>
        <w:t>o</w:t>
      </w:r>
      <w:r w:rsidRPr="00874F3A">
        <w:t> </w:t>
      </w:r>
      <w:r w:rsidRPr="00CE0BAB">
        <w:t xml:space="preserve">110 de la CEE et à </w:t>
      </w:r>
      <w:r>
        <w:t xml:space="preserve">la </w:t>
      </w:r>
      <w:r w:rsidRPr="00CE0BAB">
        <w:t>prévention des risques d</w:t>
      </w:r>
      <w:r>
        <w:t>’</w:t>
      </w:r>
      <w:r w:rsidRPr="00CE0BAB">
        <w:t>incendie.</w:t>
      </w:r>
    </w:p>
    <w:p w:rsidR="00874F3A" w:rsidRDefault="00874F3A" w:rsidP="00874F3A">
      <w:pPr>
        <w:pStyle w:val="SingleTxt"/>
        <w:numPr>
          <w:ilvl w:val="0"/>
          <w:numId w:val="10"/>
        </w:numPr>
        <w:tabs>
          <w:tab w:val="clear" w:pos="475"/>
          <w:tab w:val="num" w:pos="1742"/>
        </w:tabs>
        <w:ind w:left="1267"/>
        <w:rPr>
          <w:snapToGrid w:val="0"/>
        </w:rPr>
      </w:pPr>
      <w:r w:rsidRPr="00CE0BAB">
        <w:t>Compte tenu du débat qui a eu lieu à la session tenue récemment, en mai 2015, par le Groupe de travail et parallèlement à l</w:t>
      </w:r>
      <w:r>
        <w:t>’</w:t>
      </w:r>
      <w:r w:rsidRPr="00CE0BAB">
        <w:t xml:space="preserve">objectif visant à mettre en place une approche réglementaire harmonisée et cohérente </w:t>
      </w:r>
      <w:r>
        <w:t>en ce qui concerne</w:t>
      </w:r>
      <w:r w:rsidRPr="00CE0BAB">
        <w:t xml:space="preserve"> l</w:t>
      </w:r>
      <w:r>
        <w:t>’</w:t>
      </w:r>
      <w:r w:rsidRPr="00CE0BAB">
        <w:t>utilisation de combustibles gazeux et liquides pour les poids lourds transportant des marchandises dangereuses, la prescription mention</w:t>
      </w:r>
      <w:r>
        <w:t>née ci-</w:t>
      </w:r>
      <w:r w:rsidRPr="00CE0BAB">
        <w:t xml:space="preserve">dessous garantira des conditions de </w:t>
      </w:r>
      <w:r w:rsidRPr="00CE0BAB">
        <w:lastRenderedPageBreak/>
        <w:t>sécurité suffisantes pour justifier l</w:t>
      </w:r>
      <w:r>
        <w:t>’</w:t>
      </w:r>
      <w:r w:rsidRPr="00CE0BAB">
        <w:t>utilisation du GNL, du GNC et du GPL. L</w:t>
      </w:r>
      <w:r>
        <w:t>’</w:t>
      </w:r>
      <w:r w:rsidRPr="00CE0BAB">
        <w:t>Allemagne propose de modifier en conséquence le libellé de l</w:t>
      </w:r>
      <w:r>
        <w:t>’</w:t>
      </w:r>
      <w:r w:rsidRPr="00CE0BAB">
        <w:t>ADR 2017.</w:t>
      </w:r>
    </w:p>
    <w:p w:rsidR="00874F3A" w:rsidRDefault="00874F3A" w:rsidP="00874F3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I.</w:t>
      </w:r>
      <w:r>
        <w:tab/>
        <w:t>Position générale</w:t>
      </w:r>
    </w:p>
    <w:p w:rsidR="00874F3A" w:rsidRPr="00874F3A" w:rsidRDefault="00874F3A" w:rsidP="00874F3A">
      <w:pPr>
        <w:spacing w:line="120" w:lineRule="exact"/>
        <w:rPr>
          <w:sz w:val="10"/>
        </w:rPr>
      </w:pPr>
    </w:p>
    <w:p w:rsidR="00874F3A" w:rsidRPr="00874F3A" w:rsidRDefault="00874F3A" w:rsidP="00874F3A">
      <w:pPr>
        <w:spacing w:line="120" w:lineRule="exact"/>
        <w:rPr>
          <w:sz w:val="10"/>
        </w:rPr>
      </w:pPr>
    </w:p>
    <w:p w:rsidR="00874F3A" w:rsidRDefault="00874F3A" w:rsidP="00874F3A">
      <w:pPr>
        <w:pStyle w:val="SingleTxt"/>
        <w:numPr>
          <w:ilvl w:val="0"/>
          <w:numId w:val="10"/>
        </w:numPr>
        <w:tabs>
          <w:tab w:val="clear" w:pos="475"/>
          <w:tab w:val="num" w:pos="1742"/>
        </w:tabs>
        <w:ind w:left="1267"/>
        <w:rPr>
          <w:snapToGrid w:val="0"/>
        </w:rPr>
      </w:pPr>
      <w:r>
        <w:t>Les études actuelles donnent à penser que le secteur du transport de marchandises et de voyageurs va continuer à croître. À l’échelle mondiale, le transport de marchandises et de voyageurs devrait presque doubler entre 2000 et 2020 [FIT 2011]</w:t>
      </w:r>
      <w:r w:rsidRPr="00D261EC">
        <w:rPr>
          <w:rStyle w:val="FootnoteReference"/>
        </w:rPr>
        <w:footnoteReference w:id="2"/>
      </w:r>
      <w:r>
        <w:t>. La majeure partie du transport en véhicules à moteur repose presqu’entièrement sur les carburants pétroliers.</w:t>
      </w:r>
    </w:p>
    <w:p w:rsidR="00874F3A" w:rsidRPr="002C4AC7" w:rsidRDefault="00874F3A" w:rsidP="00874F3A">
      <w:pPr>
        <w:pStyle w:val="SingleTxt"/>
        <w:numPr>
          <w:ilvl w:val="0"/>
          <w:numId w:val="10"/>
        </w:numPr>
        <w:tabs>
          <w:tab w:val="clear" w:pos="475"/>
          <w:tab w:val="num" w:pos="1742"/>
        </w:tabs>
        <w:ind w:left="1267"/>
        <w:rPr>
          <w:snapToGrid w:val="0"/>
        </w:rPr>
      </w:pPr>
      <w:r>
        <w:t xml:space="preserve">La diversification </w:t>
      </w:r>
      <w:r w:rsidRPr="00B43D9C">
        <w:t>des sources d</w:t>
      </w:r>
      <w:r>
        <w:t>’</w:t>
      </w:r>
      <w:r w:rsidRPr="00B43D9C">
        <w:t xml:space="preserve">énergie dans le secteur du transport </w:t>
      </w:r>
      <w:r>
        <w:t>est donc un élément important pour assurer la future sécurité énergétique. Dans ce contexte, le GNC, le GNL et le GPL en tant que sources d’énergie fossiles de remplacement sont disponibles à court et moyen termes pour aider à diversifier ce qui constitue la base pour les carburants</w:t>
      </w:r>
      <w:r w:rsidR="00FB1C38">
        <w:t> </w:t>
      </w:r>
      <w:r>
        <w:t>: l’essence et le gazole.</w:t>
      </w:r>
    </w:p>
    <w:p w:rsidR="00874F3A" w:rsidRPr="00595B79" w:rsidRDefault="00874F3A" w:rsidP="00874F3A">
      <w:pPr>
        <w:pStyle w:val="SingleTxt"/>
        <w:numPr>
          <w:ilvl w:val="0"/>
          <w:numId w:val="10"/>
        </w:numPr>
        <w:tabs>
          <w:tab w:val="clear" w:pos="475"/>
          <w:tab w:val="num" w:pos="1742"/>
        </w:tabs>
        <w:ind w:left="1267"/>
        <w:rPr>
          <w:snapToGrid w:val="0"/>
        </w:rPr>
      </w:pPr>
      <w:r>
        <w:t xml:space="preserve">Cependant, </w:t>
      </w:r>
      <w:r w:rsidRPr="00E43C05">
        <w:t xml:space="preserve">la délégation </w:t>
      </w:r>
      <w:r>
        <w:t xml:space="preserve">allemande estime </w:t>
      </w:r>
      <w:r w:rsidRPr="00564B83">
        <w:t>qu</w:t>
      </w:r>
      <w:r>
        <w:t>e l’on doit prendre en compte</w:t>
      </w:r>
      <w:r w:rsidRPr="00564B83">
        <w:t xml:space="preserve"> des aspects supplémentaires si l</w:t>
      </w:r>
      <w:r>
        <w:t>’</w:t>
      </w:r>
      <w:r w:rsidRPr="00564B83">
        <w:t xml:space="preserve">on souhaite </w:t>
      </w:r>
      <w:r>
        <w:t xml:space="preserve">autoriser l’utilisation du </w:t>
      </w:r>
      <w:r w:rsidRPr="00CE0BAB">
        <w:t>GNL, du GNC et du GPL</w:t>
      </w:r>
      <w:r>
        <w:t xml:space="preserve"> comme carburant pour les véhicules transportant des marchandises dangereuses. </w:t>
      </w:r>
      <w:r w:rsidRPr="00663AA8">
        <w:t>Ces questions relèvent du mandat du WP.15, et non du WP.29.</w:t>
      </w:r>
    </w:p>
    <w:p w:rsidR="00874F3A" w:rsidRPr="00A26E38" w:rsidRDefault="00874F3A" w:rsidP="00874F3A">
      <w:pPr>
        <w:pStyle w:val="SingleTxt"/>
        <w:numPr>
          <w:ilvl w:val="0"/>
          <w:numId w:val="10"/>
        </w:numPr>
        <w:tabs>
          <w:tab w:val="clear" w:pos="475"/>
          <w:tab w:val="num" w:pos="1742"/>
        </w:tabs>
        <w:ind w:left="1267"/>
        <w:rPr>
          <w:snapToGrid w:val="0"/>
        </w:rPr>
      </w:pPr>
      <w:r>
        <w:t>Il ne fait aucun doute que, dans le contexte du Règlement n</w:t>
      </w:r>
      <w:r w:rsidRPr="00663AA8">
        <w:rPr>
          <w:vertAlign w:val="superscript"/>
        </w:rPr>
        <w:t>o</w:t>
      </w:r>
      <w:r w:rsidRPr="00874F3A">
        <w:t> </w:t>
      </w:r>
      <w:r>
        <w:t>110 de la CEE, le WP.29 a pris une décision judicieuse en matière d’utilisation du GNL comme carburant pour les voitures particulières et les véhicules de transport routier standard.</w:t>
      </w:r>
    </w:p>
    <w:p w:rsidR="00A26E38" w:rsidRPr="00A26E38" w:rsidRDefault="00A26E38" w:rsidP="00A26E38">
      <w:pPr>
        <w:pStyle w:val="SingleTxt"/>
        <w:spacing w:after="0" w:line="120" w:lineRule="exact"/>
        <w:rPr>
          <w:snapToGrid w:val="0"/>
          <w:sz w:val="10"/>
        </w:rPr>
      </w:pPr>
    </w:p>
    <w:p w:rsidR="00A26E38" w:rsidRPr="00A26E38" w:rsidRDefault="00A26E38" w:rsidP="00A26E38">
      <w:pPr>
        <w:pStyle w:val="SingleTxt"/>
        <w:spacing w:after="0" w:line="120" w:lineRule="exact"/>
        <w:rPr>
          <w:snapToGrid w:val="0"/>
          <w:sz w:val="10"/>
        </w:rPr>
      </w:pPr>
    </w:p>
    <w:p w:rsidR="00874F3A" w:rsidRDefault="00874F3A" w:rsidP="00A26E3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t>II.</w:t>
      </w:r>
      <w:r>
        <w:rPr>
          <w:snapToGrid w:val="0"/>
        </w:rPr>
        <w:tab/>
        <w:t>Propositions</w:t>
      </w:r>
    </w:p>
    <w:p w:rsidR="00A26E38" w:rsidRPr="00A26E38" w:rsidRDefault="00A26E38" w:rsidP="00A26E38">
      <w:pPr>
        <w:pStyle w:val="SingleTxt"/>
        <w:spacing w:after="0" w:line="120" w:lineRule="exact"/>
        <w:rPr>
          <w:sz w:val="10"/>
        </w:rPr>
      </w:pPr>
    </w:p>
    <w:p w:rsidR="00A26E38" w:rsidRPr="00A26E38" w:rsidRDefault="00A26E38" w:rsidP="00A26E38">
      <w:pPr>
        <w:pStyle w:val="SingleTxt"/>
        <w:spacing w:after="0" w:line="120" w:lineRule="exact"/>
        <w:rPr>
          <w:sz w:val="10"/>
        </w:rPr>
      </w:pPr>
    </w:p>
    <w:p w:rsidR="00874F3A" w:rsidRDefault="00874F3A" w:rsidP="00A26E38">
      <w:pPr>
        <w:pStyle w:val="SingleTxt"/>
        <w:numPr>
          <w:ilvl w:val="0"/>
          <w:numId w:val="10"/>
        </w:numPr>
        <w:tabs>
          <w:tab w:val="clear" w:pos="475"/>
          <w:tab w:val="num" w:pos="1742"/>
        </w:tabs>
        <w:ind w:left="1267"/>
        <w:rPr>
          <w:snapToGrid w:val="0"/>
        </w:rPr>
      </w:pPr>
      <w:r>
        <w:t xml:space="preserve">Les amendements </w:t>
      </w:r>
      <w:r w:rsidRPr="00F3492D">
        <w:t>propos</w:t>
      </w:r>
      <w:r w:rsidR="00A26E38">
        <w:t>és ci-</w:t>
      </w:r>
      <w:r w:rsidRPr="00F3492D">
        <w:t xml:space="preserve">après au sujet de </w:t>
      </w:r>
      <w:r>
        <w:t xml:space="preserve">l’utilisation du </w:t>
      </w:r>
      <w:r w:rsidRPr="00CE0BAB">
        <w:t>GNL, du GNC et du GPL</w:t>
      </w:r>
      <w:r>
        <w:t xml:space="preserve"> comme carburant pour les véhicules transportant des marchandises dangereuses sont fondés </w:t>
      </w:r>
      <w:r w:rsidRPr="007B2FF6">
        <w:t>sur le nouveau texte de l</w:t>
      </w:r>
      <w:r>
        <w:t>’</w:t>
      </w:r>
      <w:r w:rsidRPr="007B2FF6">
        <w:t xml:space="preserve">ADR 2017 </w:t>
      </w:r>
      <w:r>
        <w:t>arrêté</w:t>
      </w:r>
      <w:r w:rsidRPr="007B2FF6">
        <w:t xml:space="preserve"> à la</w:t>
      </w:r>
      <w:r>
        <w:t xml:space="preserve"> </w:t>
      </w:r>
      <w:r w:rsidRPr="007B2FF6">
        <w:t>quatre-vingt-seizième session</w:t>
      </w:r>
      <w:r>
        <w:t>,</w:t>
      </w:r>
      <w:r w:rsidRPr="007B2FF6">
        <w:t xml:space="preserve"> </w:t>
      </w:r>
      <w:r>
        <w:t>tenue en</w:t>
      </w:r>
      <w:r w:rsidRPr="007B2FF6">
        <w:t xml:space="preserve"> mai 2014 (voir le document ECE/TRANS/WP.15/224)</w:t>
      </w:r>
      <w:r>
        <w:t>,</w:t>
      </w:r>
      <w:r w:rsidRPr="007B2FF6">
        <w:t xml:space="preserve"> </w:t>
      </w:r>
      <w:r>
        <w:t>ainsi que sur l</w:t>
      </w:r>
      <w:r w:rsidRPr="007B2FF6">
        <w:t xml:space="preserve">es observations formulées par les délégations à </w:t>
      </w:r>
      <w:r>
        <w:t>la quatre</w:t>
      </w:r>
      <w:r>
        <w:noBreakHyphen/>
        <w:t xml:space="preserve">vingt-dix-huitième session (voir le document </w:t>
      </w:r>
      <w:hyperlink r:id="rId18" w:tgtFrame="_blank" w:history="1">
        <w:r w:rsidRPr="007B2FF6">
          <w:rPr>
            <w:rStyle w:val="Hyperlink"/>
          </w:rPr>
          <w:t>ECE/TRANS/WP.15/228</w:t>
        </w:r>
      </w:hyperlink>
      <w:r>
        <w:t>).</w:t>
      </w:r>
    </w:p>
    <w:p w:rsidR="00874F3A" w:rsidRDefault="00874F3A" w:rsidP="00A26E38">
      <w:pPr>
        <w:pStyle w:val="SingleTxt"/>
        <w:numPr>
          <w:ilvl w:val="0"/>
          <w:numId w:val="10"/>
        </w:numPr>
        <w:tabs>
          <w:tab w:val="clear" w:pos="475"/>
          <w:tab w:val="num" w:pos="1742"/>
        </w:tabs>
        <w:ind w:left="1267"/>
      </w:pPr>
      <w:r>
        <w:t>La</w:t>
      </w:r>
      <w:r w:rsidRPr="00F3492D">
        <w:t xml:space="preserve"> disposition concernant les exemptions pour l</w:t>
      </w:r>
      <w:r>
        <w:t>’</w:t>
      </w:r>
      <w:r w:rsidRPr="00F3492D">
        <w:t>utilisation</w:t>
      </w:r>
      <w:r>
        <w:t xml:space="preserve"> de gaz en tant que carburant pour la propulsion des véhicules au paragraphe </w:t>
      </w:r>
      <w:r w:rsidR="00A26E38">
        <w:t>1.1.3.2 </w:t>
      </w:r>
      <w:r>
        <w:t>a) de l’ADR n’énonce pas de limite supérieure pour la capacité comme c’est le cas au paragraphe</w:t>
      </w:r>
      <w:r w:rsidR="00A26E38">
        <w:t xml:space="preserve"> 1.1.3.3 </w:t>
      </w:r>
      <w:r w:rsidRPr="00102046">
        <w:t xml:space="preserve">a) </w:t>
      </w:r>
      <w:r>
        <w:t>de l’</w:t>
      </w:r>
      <w:r w:rsidRPr="00102046">
        <w:t xml:space="preserve">ADR </w:t>
      </w:r>
      <w:r>
        <w:t>pour les carburants liquides</w:t>
      </w:r>
      <w:r w:rsidRPr="00102046">
        <w:t xml:space="preserve">. </w:t>
      </w:r>
      <w:r>
        <w:t>Cette</w:t>
      </w:r>
      <w:r w:rsidRPr="00102046">
        <w:t xml:space="preserve"> objection </w:t>
      </w:r>
      <w:r>
        <w:t xml:space="preserve">a déjà été formulée par une délégation </w:t>
      </w:r>
      <w:r w:rsidRPr="007B2FF6">
        <w:t xml:space="preserve">à </w:t>
      </w:r>
      <w:r w:rsidR="00A26E38">
        <w:t>la quatre-</w:t>
      </w:r>
      <w:r>
        <w:t>vingt</w:t>
      </w:r>
      <w:r w:rsidR="00A26E38">
        <w:t>-</w:t>
      </w:r>
      <w:r>
        <w:t>dix</w:t>
      </w:r>
      <w:r w:rsidR="00A26E38">
        <w:t>-</w:t>
      </w:r>
      <w:r>
        <w:t>huitième session du Groupe de travail.</w:t>
      </w:r>
    </w:p>
    <w:p w:rsidR="00874F3A" w:rsidRPr="00DB5349" w:rsidRDefault="00874F3A" w:rsidP="00A26E38">
      <w:pPr>
        <w:pStyle w:val="SingleTxt"/>
        <w:numPr>
          <w:ilvl w:val="0"/>
          <w:numId w:val="10"/>
        </w:numPr>
        <w:tabs>
          <w:tab w:val="clear" w:pos="475"/>
          <w:tab w:val="num" w:pos="1742"/>
        </w:tabs>
        <w:ind w:left="1267"/>
        <w:rPr>
          <w:snapToGrid w:val="0"/>
        </w:rPr>
      </w:pPr>
      <w:r>
        <w:t>L’</w:t>
      </w:r>
      <w:r w:rsidRPr="005D48E4">
        <w:t xml:space="preserve">exemption </w:t>
      </w:r>
      <w:r>
        <w:t>énoncée au paragraphe</w:t>
      </w:r>
      <w:r w:rsidR="00A26E38">
        <w:t xml:space="preserve"> 1.1.3.2 </w:t>
      </w:r>
      <w:r w:rsidRPr="005D48E4">
        <w:t xml:space="preserve">a) </w:t>
      </w:r>
      <w:r>
        <w:t>de l’ADR</w:t>
      </w:r>
      <w:r w:rsidR="00A26E38">
        <w:t> </w:t>
      </w:r>
      <w:r>
        <w:t>:</w:t>
      </w:r>
    </w:p>
    <w:p w:rsidR="00874F3A" w:rsidRPr="004236AC" w:rsidRDefault="00A26E38" w:rsidP="00A26E38">
      <w:pPr>
        <w:pStyle w:val="SingleTxt"/>
        <w:rPr>
          <w:snapToGrid w:val="0"/>
        </w:rPr>
      </w:pPr>
      <w:r>
        <w:t>« </w:t>
      </w:r>
      <w:r w:rsidR="00874F3A" w:rsidRPr="00F3492D">
        <w:t>1.1.3.2</w:t>
      </w:r>
      <w:r w:rsidR="00874F3A" w:rsidRPr="00F3492D">
        <w:tab/>
        <w:t>Exemptions liées au transport de gaz</w:t>
      </w:r>
    </w:p>
    <w:p w:rsidR="00874F3A" w:rsidRPr="004236AC" w:rsidRDefault="00874F3A" w:rsidP="00A26E38">
      <w:pPr>
        <w:pStyle w:val="SingleTxt"/>
        <w:rPr>
          <w:snapToGrid w:val="0"/>
        </w:rPr>
      </w:pPr>
      <w:r w:rsidRPr="00F3492D">
        <w:t>Les prescriptions de l</w:t>
      </w:r>
      <w:r>
        <w:t>’</w:t>
      </w:r>
      <w:r w:rsidRPr="00F3492D">
        <w:t>ADR ne s</w:t>
      </w:r>
      <w:r>
        <w:t>’</w:t>
      </w:r>
      <w:r w:rsidRPr="00F3492D">
        <w:t>appliquent pas au transport</w:t>
      </w:r>
      <w:r w:rsidR="00A26E38">
        <w:t> </w:t>
      </w:r>
      <w:r w:rsidRPr="00F3492D">
        <w:t>:</w:t>
      </w:r>
    </w:p>
    <w:p w:rsidR="00874F3A" w:rsidRPr="004236AC" w:rsidRDefault="00874F3A" w:rsidP="00A26E38">
      <w:pPr>
        <w:pStyle w:val="SingleTxt"/>
        <w:rPr>
          <w:snapToGrid w:val="0"/>
        </w:rPr>
      </w:pPr>
      <w:r>
        <w:tab/>
      </w:r>
      <w:proofErr w:type="gramStart"/>
      <w:r>
        <w:t>a</w:t>
      </w:r>
      <w:proofErr w:type="gramEnd"/>
      <w:r>
        <w:t>)</w:t>
      </w:r>
      <w:r>
        <w:tab/>
        <w:t xml:space="preserve">des gaz </w:t>
      </w:r>
      <w:r w:rsidRPr="00EC77DC">
        <w:t>contenu</w:t>
      </w:r>
      <w:r>
        <w:t>s</w:t>
      </w:r>
      <w:r w:rsidRPr="00EC77DC">
        <w:t xml:space="preserve"> dans les réservoirs d</w:t>
      </w:r>
      <w:r>
        <w:t>’</w:t>
      </w:r>
      <w:r w:rsidRPr="00EC77DC">
        <w:t xml:space="preserve">un véhicule effectuant une opération de transport et qui </w:t>
      </w:r>
      <w:r>
        <w:t>son</w:t>
      </w:r>
      <w:r w:rsidRPr="00EC77DC">
        <w:t>t destiné</w:t>
      </w:r>
      <w:r>
        <w:t>s</w:t>
      </w:r>
      <w:r w:rsidRPr="00EC77DC">
        <w:t xml:space="preserve"> à sa propulsion ou au fonctionnement d</w:t>
      </w:r>
      <w:r>
        <w:t>’</w:t>
      </w:r>
      <w:r w:rsidRPr="00EC77DC">
        <w:t>un de ses équipements</w:t>
      </w:r>
      <w:r>
        <w:t xml:space="preserve"> (frigorifiques par exemple) [</w:t>
      </w:r>
      <w:r w:rsidRPr="00EC77DC">
        <w:t>utilisé</w:t>
      </w:r>
      <w:r>
        <w:t>s</w:t>
      </w:r>
      <w:r w:rsidRPr="00EC77DC">
        <w:t xml:space="preserve"> ou destiné</w:t>
      </w:r>
      <w:r>
        <w:t>s</w:t>
      </w:r>
      <w:r w:rsidRPr="00EC77DC">
        <w:t xml:space="preserve"> à une utilisation durant le transport</w:t>
      </w:r>
      <w:r>
        <w:t>];</w:t>
      </w:r>
      <w:r w:rsidR="00A26E38">
        <w:t> </w:t>
      </w:r>
      <w:r>
        <w:t>»</w:t>
      </w:r>
    </w:p>
    <w:p w:rsidR="00874F3A" w:rsidRPr="001D3F6F" w:rsidRDefault="00874F3A" w:rsidP="00A26E38">
      <w:pPr>
        <w:pStyle w:val="SingleTxt"/>
        <w:rPr>
          <w:snapToGrid w:val="0"/>
        </w:rPr>
      </w:pPr>
      <w:proofErr w:type="gramStart"/>
      <w:r>
        <w:t>est</w:t>
      </w:r>
      <w:proofErr w:type="gramEnd"/>
      <w:r>
        <w:t xml:space="preserve"> déjà applicable à tous les types de véhicules à moteurs, de voitures particulières, d’autobus, de véhicules utilitaires et de poids lourds. Cependant, les cas de figure que les discussions au sein du Groupe de travail ont fait ressortir et qui sont de plus en plus importants appellent des éclaircissements sur l’exemption.</w:t>
      </w:r>
    </w:p>
    <w:p w:rsidR="00874F3A" w:rsidRPr="00F06CD4" w:rsidRDefault="00874F3A" w:rsidP="00A26E38">
      <w:pPr>
        <w:pStyle w:val="SingleTxt"/>
        <w:numPr>
          <w:ilvl w:val="0"/>
          <w:numId w:val="10"/>
        </w:numPr>
        <w:tabs>
          <w:tab w:val="clear" w:pos="475"/>
          <w:tab w:val="num" w:pos="1742"/>
        </w:tabs>
        <w:ind w:left="1267"/>
        <w:rPr>
          <w:snapToGrid w:val="0"/>
        </w:rPr>
      </w:pPr>
      <w:r>
        <w:lastRenderedPageBreak/>
        <w:t xml:space="preserve">Les éléments supprimés apparaissent en caractères biffés et les éléments ajoutés en caractères </w:t>
      </w:r>
      <w:r w:rsidRPr="00EA11CD">
        <w:rPr>
          <w:u w:val="single"/>
        </w:rPr>
        <w:t>soulignés</w:t>
      </w:r>
      <w:r>
        <w:t>.</w:t>
      </w:r>
    </w:p>
    <w:p w:rsidR="00F06CD4" w:rsidRPr="00F06CD4" w:rsidRDefault="00F06CD4" w:rsidP="00F06CD4">
      <w:pPr>
        <w:pStyle w:val="SingleTxt"/>
        <w:spacing w:after="0" w:line="120" w:lineRule="exact"/>
        <w:rPr>
          <w:snapToGrid w:val="0"/>
          <w:sz w:val="10"/>
        </w:rPr>
      </w:pPr>
    </w:p>
    <w:p w:rsidR="00F06CD4" w:rsidRPr="00F06CD4" w:rsidRDefault="00F06CD4" w:rsidP="00F06CD4">
      <w:pPr>
        <w:pStyle w:val="SingleTxt"/>
        <w:spacing w:after="0" w:line="120" w:lineRule="exact"/>
        <w:rPr>
          <w:snapToGrid w:val="0"/>
          <w:sz w:val="10"/>
        </w:rPr>
      </w:pPr>
    </w:p>
    <w:p w:rsidR="00874F3A" w:rsidRDefault="00874F3A" w:rsidP="00A26E3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tab/>
      </w:r>
      <w:r>
        <w:tab/>
      </w:r>
      <w:r>
        <w:rPr>
          <w:snapToGrid w:val="0"/>
        </w:rPr>
        <w:t>Proposition 1</w:t>
      </w:r>
    </w:p>
    <w:p w:rsidR="00A26E38" w:rsidRPr="00A26E38" w:rsidRDefault="00A26E38" w:rsidP="00A26E38">
      <w:pPr>
        <w:pStyle w:val="SingleTxt"/>
        <w:spacing w:after="0" w:line="120" w:lineRule="exact"/>
        <w:rPr>
          <w:sz w:val="10"/>
        </w:rPr>
      </w:pPr>
    </w:p>
    <w:p w:rsidR="00A26E38" w:rsidRPr="00A26E38" w:rsidRDefault="00A26E38" w:rsidP="00A26E38">
      <w:pPr>
        <w:pStyle w:val="SingleTxt"/>
        <w:spacing w:after="0" w:line="120" w:lineRule="exact"/>
        <w:rPr>
          <w:sz w:val="10"/>
        </w:rPr>
      </w:pPr>
    </w:p>
    <w:p w:rsidR="00874F3A" w:rsidRDefault="00874F3A" w:rsidP="00A26E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tab/>
      </w:r>
      <w:r w:rsidR="00A26E38">
        <w:tab/>
      </w:r>
      <w:r w:rsidR="00A26E38">
        <w:rPr>
          <w:snapToGrid w:val="0"/>
        </w:rPr>
        <w:t>1.1.3.2 a)</w:t>
      </w:r>
    </w:p>
    <w:p w:rsidR="00A26E38" w:rsidRPr="00A26E38" w:rsidRDefault="00A26E38" w:rsidP="00A26E38">
      <w:pPr>
        <w:pStyle w:val="SingleTxt"/>
        <w:spacing w:after="0" w:line="120" w:lineRule="exact"/>
        <w:rPr>
          <w:sz w:val="10"/>
        </w:rPr>
      </w:pPr>
    </w:p>
    <w:p w:rsidR="00A26E38" w:rsidRPr="00A26E38" w:rsidRDefault="00A26E38" w:rsidP="00A26E38">
      <w:pPr>
        <w:pStyle w:val="SingleTxt"/>
        <w:spacing w:after="0" w:line="120" w:lineRule="exact"/>
        <w:rPr>
          <w:sz w:val="10"/>
        </w:rPr>
      </w:pPr>
    </w:p>
    <w:p w:rsidR="00874F3A" w:rsidRDefault="00874F3A" w:rsidP="00A26E38">
      <w:pPr>
        <w:pStyle w:val="SingleTxt"/>
        <w:numPr>
          <w:ilvl w:val="0"/>
          <w:numId w:val="10"/>
        </w:numPr>
        <w:tabs>
          <w:tab w:val="clear" w:pos="475"/>
          <w:tab w:val="num" w:pos="1742"/>
        </w:tabs>
        <w:ind w:left="1267"/>
      </w:pPr>
      <w:r>
        <w:t>Le paragraphe</w:t>
      </w:r>
      <w:r w:rsidR="00A26E38">
        <w:t xml:space="preserve"> 1.1.3.2 </w:t>
      </w:r>
      <w:r>
        <w:t xml:space="preserve">a) pourrait être modifié comme suit (les éléments nouveaux apparaissent en caractères </w:t>
      </w:r>
      <w:r w:rsidRPr="00F73BF3">
        <w:rPr>
          <w:u w:val="single"/>
        </w:rPr>
        <w:t>soulignés</w:t>
      </w:r>
      <w:r>
        <w:t>)</w:t>
      </w:r>
      <w:r w:rsidR="00A26E38">
        <w:t> </w:t>
      </w:r>
      <w:r>
        <w:t>:</w:t>
      </w:r>
    </w:p>
    <w:p w:rsidR="00874F3A" w:rsidRDefault="00A26E38" w:rsidP="00A26E38">
      <w:pPr>
        <w:pStyle w:val="SingleTxt"/>
      </w:pPr>
      <w:r>
        <w:t>« </w:t>
      </w:r>
      <w:r w:rsidR="00874F3A" w:rsidRPr="00790672">
        <w:t>1.1.3.2</w:t>
      </w:r>
      <w:r w:rsidR="00874F3A" w:rsidRPr="00790672">
        <w:tab/>
        <w:t>Exemp</w:t>
      </w:r>
      <w:r>
        <w:t>tions liées au transport de gaz</w:t>
      </w:r>
    </w:p>
    <w:p w:rsidR="00874F3A" w:rsidRDefault="00874F3A" w:rsidP="00A26E38">
      <w:pPr>
        <w:pStyle w:val="SingleTxt"/>
      </w:pPr>
      <w:r w:rsidRPr="00790672">
        <w:t>Les prescriptions de l</w:t>
      </w:r>
      <w:r>
        <w:t>’</w:t>
      </w:r>
      <w:r w:rsidRPr="00790672">
        <w:t>ADR ne s</w:t>
      </w:r>
      <w:r>
        <w:t>’</w:t>
      </w:r>
      <w:r w:rsidR="00A26E38">
        <w:t>appliquent pas au transport :</w:t>
      </w:r>
    </w:p>
    <w:p w:rsidR="00874F3A" w:rsidRDefault="00A26E38" w:rsidP="00A26E38">
      <w:pPr>
        <w:pStyle w:val="SingleTxt"/>
        <w:tabs>
          <w:tab w:val="clear" w:pos="2218"/>
          <w:tab w:val="left" w:pos="2430"/>
        </w:tabs>
        <w:ind w:left="2430" w:hanging="1163"/>
      </w:pPr>
      <w:r>
        <w:tab/>
      </w:r>
      <w:r w:rsidR="00874F3A">
        <w:t>a)</w:t>
      </w:r>
      <w:r w:rsidR="00874F3A">
        <w:tab/>
      </w:r>
      <w:r w:rsidR="00874F3A" w:rsidRPr="00790672">
        <w:t>des gaz contenus dans les réservoirs d</w:t>
      </w:r>
      <w:r w:rsidR="00874F3A">
        <w:t>’</w:t>
      </w:r>
      <w:r w:rsidR="00874F3A" w:rsidRPr="00790672">
        <w:t>un véhicule effectuant une opération de transport et qui sont destinés à sa propulsion ou au fonctionnement d</w:t>
      </w:r>
      <w:r w:rsidR="00874F3A">
        <w:t>’</w:t>
      </w:r>
      <w:r w:rsidR="00874F3A" w:rsidRPr="00790672">
        <w:t xml:space="preserve">un de ses équipements (frigorifiques par exemple) </w:t>
      </w:r>
      <w:r w:rsidR="00874F3A" w:rsidRPr="00E451E0">
        <w:rPr>
          <w:u w:val="single"/>
        </w:rPr>
        <w:t>[utilisé ou destiné à une utilisation durant le transport]</w:t>
      </w:r>
      <w:r w:rsidR="00874F3A">
        <w:t>.</w:t>
      </w:r>
    </w:p>
    <w:p w:rsidR="00874F3A" w:rsidRDefault="00A26E38" w:rsidP="00A26E38">
      <w:pPr>
        <w:pStyle w:val="SingleTxt"/>
        <w:tabs>
          <w:tab w:val="clear" w:pos="2218"/>
          <w:tab w:val="left" w:pos="2430"/>
        </w:tabs>
        <w:ind w:left="2430" w:hanging="1163"/>
        <w:rPr>
          <w:i/>
          <w:snapToGrid w:val="0"/>
          <w:u w:val="single"/>
        </w:rPr>
      </w:pPr>
      <w:r>
        <w:tab/>
      </w:r>
      <w:r w:rsidR="00874F3A">
        <w:tab/>
      </w:r>
      <w:r w:rsidR="00874F3A" w:rsidRPr="00E451E0">
        <w:rPr>
          <w:u w:val="single"/>
        </w:rPr>
        <w:t>Le carburant peut être transporté dans des réservoirs à carburant fixes, directement reliés au moteur ou à l</w:t>
      </w:r>
      <w:r w:rsidR="00874F3A">
        <w:rPr>
          <w:u w:val="single"/>
        </w:rPr>
        <w:t>’</w:t>
      </w:r>
      <w:r w:rsidR="00874F3A" w:rsidRPr="00E451E0">
        <w:rPr>
          <w:u w:val="single"/>
        </w:rPr>
        <w:t>équipement auxiliaire ou dans des récipients à</w:t>
      </w:r>
      <w:r w:rsidR="00874F3A" w:rsidRPr="00A26E38">
        <w:rPr>
          <w:u w:val="single"/>
        </w:rPr>
        <w:t xml:space="preserve"> pression</w:t>
      </w:r>
      <w:r w:rsidR="00874F3A" w:rsidRPr="00E451E0">
        <w:rPr>
          <w:u w:val="single"/>
        </w:rPr>
        <w:t xml:space="preserve"> transportables qui sont conformes aux dispositions réglementaires appropriées.</w:t>
      </w:r>
      <w:r>
        <w:rPr>
          <w:u w:val="single"/>
        </w:rPr>
        <w:t> </w:t>
      </w:r>
      <w:r w:rsidR="00874F3A">
        <w:rPr>
          <w:u w:val="single"/>
        </w:rPr>
        <w:t>»</w:t>
      </w:r>
      <w:r w:rsidR="00874F3A" w:rsidRPr="00E451E0">
        <w:rPr>
          <w:u w:val="single"/>
        </w:rPr>
        <w:t>.</w:t>
      </w:r>
      <w:r w:rsidR="00874F3A">
        <w:t xml:space="preserve"> </w:t>
      </w:r>
    </w:p>
    <w:p w:rsidR="00874F3A" w:rsidRDefault="00A26E38" w:rsidP="00A26E38">
      <w:pPr>
        <w:pStyle w:val="SingleTxt"/>
        <w:tabs>
          <w:tab w:val="clear" w:pos="2218"/>
          <w:tab w:val="left" w:pos="2430"/>
        </w:tabs>
        <w:ind w:left="2430" w:hanging="1163"/>
        <w:rPr>
          <w:snapToGrid w:val="0"/>
          <w:u w:val="single"/>
        </w:rPr>
      </w:pPr>
      <w:r w:rsidRPr="00A26E38">
        <w:rPr>
          <w:snapToGrid w:val="0"/>
        </w:rPr>
        <w:tab/>
      </w:r>
      <w:r w:rsidRPr="00A26E38">
        <w:rPr>
          <w:snapToGrid w:val="0"/>
        </w:rPr>
        <w:tab/>
      </w:r>
      <w:r w:rsidR="00874F3A" w:rsidRPr="00E451E0">
        <w:rPr>
          <w:snapToGrid w:val="0"/>
          <w:u w:val="single"/>
        </w:rPr>
        <w:t xml:space="preserve">La capacité totale des </w:t>
      </w:r>
      <w:r w:rsidR="00874F3A" w:rsidRPr="00A26E38">
        <w:rPr>
          <w:u w:val="single"/>
        </w:rPr>
        <w:t>réservoirs</w:t>
      </w:r>
      <w:r w:rsidR="00874F3A" w:rsidRPr="00E451E0">
        <w:rPr>
          <w:snapToGrid w:val="0"/>
          <w:u w:val="single"/>
        </w:rPr>
        <w:t xml:space="preserve"> fixes ne doit pas dépasser [xx] litres par unité de transport et la </w:t>
      </w:r>
      <w:r w:rsidR="00874F3A" w:rsidRPr="00A26E38">
        <w:rPr>
          <w:u w:val="single"/>
        </w:rPr>
        <w:t>capacité</w:t>
      </w:r>
      <w:r w:rsidR="00874F3A" w:rsidRPr="00E451E0">
        <w:rPr>
          <w:snapToGrid w:val="0"/>
          <w:u w:val="single"/>
        </w:rPr>
        <w:t xml:space="preserve"> d</w:t>
      </w:r>
      <w:r w:rsidR="00874F3A">
        <w:rPr>
          <w:snapToGrid w:val="0"/>
          <w:u w:val="single"/>
        </w:rPr>
        <w:t>’</w:t>
      </w:r>
      <w:r w:rsidR="00874F3A" w:rsidRPr="00E451E0">
        <w:rPr>
          <w:snapToGrid w:val="0"/>
          <w:u w:val="single"/>
        </w:rPr>
        <w:t xml:space="preserve">un réservoir fixé à une remorque ne doit pas dépasser </w:t>
      </w:r>
      <w:r w:rsidR="00874F3A">
        <w:rPr>
          <w:snapToGrid w:val="0"/>
          <w:u w:val="single"/>
        </w:rPr>
        <w:t>[xx] litres. Ces restrictions ne s’appliquent pas aux véhicules des services d’intervention d’urgence.</w:t>
      </w:r>
      <w:r>
        <w:rPr>
          <w:snapToGrid w:val="0"/>
          <w:u w:val="single"/>
        </w:rPr>
        <w:t> </w:t>
      </w:r>
      <w:r w:rsidR="00874F3A">
        <w:rPr>
          <w:snapToGrid w:val="0"/>
          <w:u w:val="single"/>
        </w:rPr>
        <w:t>»</w:t>
      </w:r>
      <w:r>
        <w:rPr>
          <w:snapToGrid w:val="0"/>
          <w:u w:val="single"/>
        </w:rPr>
        <w:t>.</w:t>
      </w:r>
    </w:p>
    <w:p w:rsidR="00A26E38" w:rsidRPr="00A26E38" w:rsidRDefault="00A26E38" w:rsidP="00A26E38">
      <w:pPr>
        <w:pStyle w:val="SingleTxt"/>
        <w:spacing w:after="0" w:line="120" w:lineRule="exact"/>
        <w:ind w:left="2218" w:hanging="951"/>
        <w:rPr>
          <w:snapToGrid w:val="0"/>
          <w:sz w:val="10"/>
          <w:u w:val="single"/>
        </w:rPr>
      </w:pPr>
    </w:p>
    <w:p w:rsidR="00A26E38" w:rsidRPr="00A26E38" w:rsidRDefault="00A26E38" w:rsidP="00A26E38">
      <w:pPr>
        <w:pStyle w:val="SingleTxt"/>
        <w:spacing w:after="0" w:line="120" w:lineRule="exact"/>
        <w:ind w:left="2218" w:hanging="951"/>
        <w:rPr>
          <w:snapToGrid w:val="0"/>
          <w:sz w:val="10"/>
          <w:u w:val="single"/>
        </w:rPr>
      </w:pPr>
    </w:p>
    <w:p w:rsidR="00874F3A" w:rsidRDefault="00874F3A" w:rsidP="00A26E3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tab/>
      </w:r>
      <w:r w:rsidR="00A26E38">
        <w:tab/>
      </w:r>
      <w:r>
        <w:rPr>
          <w:snapToGrid w:val="0"/>
        </w:rPr>
        <w:t>Proposition 2</w:t>
      </w:r>
    </w:p>
    <w:p w:rsidR="00A26E38" w:rsidRPr="00A26E38" w:rsidRDefault="00A26E38" w:rsidP="00A26E38">
      <w:pPr>
        <w:pStyle w:val="SingleTxt"/>
        <w:spacing w:after="0" w:line="120" w:lineRule="exact"/>
        <w:rPr>
          <w:sz w:val="10"/>
        </w:rPr>
      </w:pPr>
    </w:p>
    <w:p w:rsidR="00A26E38" w:rsidRPr="00A26E38" w:rsidRDefault="00A26E38" w:rsidP="00A26E38">
      <w:pPr>
        <w:pStyle w:val="SingleTxt"/>
        <w:spacing w:after="0" w:line="120" w:lineRule="exact"/>
        <w:rPr>
          <w:sz w:val="10"/>
        </w:rPr>
      </w:pPr>
    </w:p>
    <w:p w:rsidR="00874F3A" w:rsidRDefault="00A26E38" w:rsidP="00A26E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r>
      <w:r w:rsidR="00874F3A" w:rsidRPr="00276C37">
        <w:rPr>
          <w:snapToGrid w:val="0"/>
        </w:rPr>
        <w:t>9.2.4.3 a), b) et</w:t>
      </w:r>
      <w:r>
        <w:rPr>
          <w:snapToGrid w:val="0"/>
        </w:rPr>
        <w:t xml:space="preserve"> </w:t>
      </w:r>
      <w:r w:rsidR="00874F3A" w:rsidRPr="00276C37">
        <w:rPr>
          <w:snapToGrid w:val="0"/>
        </w:rPr>
        <w:t>c)</w:t>
      </w:r>
    </w:p>
    <w:p w:rsidR="00A26E38" w:rsidRPr="00A26E38" w:rsidRDefault="00A26E38" w:rsidP="00A26E38">
      <w:pPr>
        <w:pStyle w:val="SingleTxt"/>
        <w:spacing w:after="0" w:line="120" w:lineRule="exact"/>
        <w:rPr>
          <w:sz w:val="10"/>
        </w:rPr>
      </w:pPr>
    </w:p>
    <w:p w:rsidR="00874F3A" w:rsidRPr="00276C37" w:rsidRDefault="00A26E38" w:rsidP="00A26E38">
      <w:pPr>
        <w:pStyle w:val="SingleTxt"/>
        <w:numPr>
          <w:ilvl w:val="0"/>
          <w:numId w:val="10"/>
        </w:numPr>
        <w:tabs>
          <w:tab w:val="clear" w:pos="475"/>
          <w:tab w:val="num" w:pos="1742"/>
        </w:tabs>
        <w:ind w:left="1267"/>
      </w:pPr>
      <w:r>
        <w:t>Le paragraphe 9.2.4.3 </w:t>
      </w:r>
      <w:r w:rsidR="00874F3A" w:rsidRPr="00276C37">
        <w:t>a) de l</w:t>
      </w:r>
      <w:r w:rsidR="00874F3A">
        <w:t>’</w:t>
      </w:r>
      <w:r w:rsidR="00874F3A" w:rsidRPr="00276C37">
        <w:t>ADR 2017 (voir ECE/TRANS/WP.15/22</w:t>
      </w:r>
      <w:r w:rsidR="00D261EC">
        <w:t>4</w:t>
      </w:r>
      <w:r w:rsidR="00874F3A" w:rsidRPr="00276C37">
        <w:t>, annexe</w:t>
      </w:r>
      <w:r>
        <w:t> </w:t>
      </w:r>
      <w:r w:rsidR="00874F3A" w:rsidRPr="00276C37">
        <w:t xml:space="preserve">II) pourrait être modifié comme suit (les éléments nouveaux apparaissent en caractères </w:t>
      </w:r>
      <w:r w:rsidR="00874F3A" w:rsidRPr="009003CD">
        <w:rPr>
          <w:u w:val="single"/>
        </w:rPr>
        <w:t>soulignés</w:t>
      </w:r>
      <w:r w:rsidR="00874F3A" w:rsidRPr="00276C37">
        <w:t>)</w:t>
      </w:r>
      <w:r w:rsidR="007746A7">
        <w:t> </w:t>
      </w:r>
      <w:r w:rsidR="00874F3A" w:rsidRPr="00276C37">
        <w:t>:</w:t>
      </w:r>
    </w:p>
    <w:p w:rsidR="00874F3A" w:rsidRPr="00EA53B4" w:rsidRDefault="00A26E38" w:rsidP="00A26E38">
      <w:pPr>
        <w:pStyle w:val="SingleTxt"/>
        <w:tabs>
          <w:tab w:val="clear" w:pos="2218"/>
          <w:tab w:val="left" w:pos="2430"/>
        </w:tabs>
        <w:ind w:left="2430" w:hanging="1163"/>
        <w:rPr>
          <w:snapToGrid w:val="0"/>
        </w:rPr>
      </w:pPr>
      <w:r>
        <w:t>« </w:t>
      </w:r>
      <w:r w:rsidR="00874F3A" w:rsidRPr="00276C37">
        <w:t>9.2.4.3 a)</w:t>
      </w:r>
      <w:r w:rsidR="00874F3A" w:rsidRPr="00276C37">
        <w:tab/>
        <w:t>En</w:t>
      </w:r>
      <w:r w:rsidR="00874F3A" w:rsidRPr="00136DCF">
        <w:t xml:space="preserve"> cas de fuite, dans les conditions normales de fonctionnement du véhicule, le carburant</w:t>
      </w:r>
      <w:r w:rsidR="00874F3A">
        <w:t xml:space="preserve"> </w:t>
      </w:r>
      <w:r w:rsidR="00874F3A">
        <w:rPr>
          <w:u w:val="single"/>
        </w:rPr>
        <w:t>liquide ou gazeux</w:t>
      </w:r>
      <w:r w:rsidR="00874F3A" w:rsidRPr="00136DCF">
        <w:t xml:space="preserve"> ne doit pas venir au contact</w:t>
      </w:r>
      <w:r w:rsidR="00874F3A">
        <w:t xml:space="preserve"> </w:t>
      </w:r>
      <w:r w:rsidR="00874F3A">
        <w:rPr>
          <w:u w:val="single"/>
        </w:rPr>
        <w:t>du chargement ou</w:t>
      </w:r>
      <w:r w:rsidR="00874F3A" w:rsidRPr="00136DCF">
        <w:t xml:space="preserve"> de parties chaudes du véhicule </w:t>
      </w:r>
      <w:r w:rsidR="00874F3A" w:rsidRPr="00276C37">
        <w:rPr>
          <w:strike/>
        </w:rPr>
        <w:t>ni du chargement</w:t>
      </w:r>
      <w:r w:rsidR="00874F3A">
        <w:rPr>
          <w:snapToGrid w:val="0"/>
        </w:rPr>
        <w:t>;</w:t>
      </w:r>
      <w:r>
        <w:rPr>
          <w:snapToGrid w:val="0"/>
        </w:rPr>
        <w:t> </w:t>
      </w:r>
      <w:r w:rsidR="00874F3A">
        <w:rPr>
          <w:snapToGrid w:val="0"/>
        </w:rPr>
        <w:t>»</w:t>
      </w:r>
    </w:p>
    <w:p w:rsidR="00874F3A" w:rsidRPr="008918FF" w:rsidRDefault="00874F3A" w:rsidP="00A26E38">
      <w:pPr>
        <w:pStyle w:val="SingleTxt"/>
        <w:numPr>
          <w:ilvl w:val="0"/>
          <w:numId w:val="10"/>
        </w:numPr>
        <w:tabs>
          <w:tab w:val="clear" w:pos="475"/>
          <w:tab w:val="num" w:pos="1742"/>
        </w:tabs>
        <w:ind w:left="1267"/>
      </w:pPr>
      <w:r w:rsidRPr="00276C37">
        <w:t xml:space="preserve">Le paragraphe </w:t>
      </w:r>
      <w:r w:rsidR="00A26E38">
        <w:t>9.2.4.3 </w:t>
      </w:r>
      <w:r>
        <w:t xml:space="preserve">b) de l’ADR 2017 </w:t>
      </w:r>
      <w:r w:rsidRPr="00276C37">
        <w:t xml:space="preserve">pourrait être modifié comme suit (les éléments nouveaux apparaissent en caractères </w:t>
      </w:r>
      <w:r w:rsidRPr="009003CD">
        <w:rPr>
          <w:u w:val="single"/>
        </w:rPr>
        <w:t>soulignés</w:t>
      </w:r>
      <w:r w:rsidRPr="00276C37">
        <w:t>)</w:t>
      </w:r>
      <w:r w:rsidR="007746A7">
        <w:t> </w:t>
      </w:r>
      <w:r w:rsidRPr="00276C37">
        <w:t>:</w:t>
      </w:r>
    </w:p>
    <w:p w:rsidR="00874F3A" w:rsidRDefault="007746A7" w:rsidP="007746A7">
      <w:pPr>
        <w:pStyle w:val="SingleTxt"/>
        <w:tabs>
          <w:tab w:val="clear" w:pos="2218"/>
          <w:tab w:val="left" w:pos="2430"/>
        </w:tabs>
        <w:ind w:left="2430" w:hanging="1163"/>
        <w:rPr>
          <w:snapToGrid w:val="0"/>
          <w:u w:val="single"/>
        </w:rPr>
      </w:pPr>
      <w:r>
        <w:t>« </w:t>
      </w:r>
      <w:r w:rsidR="00874F3A">
        <w:t xml:space="preserve">9.2.4.3 </w:t>
      </w:r>
      <w:r w:rsidR="00874F3A" w:rsidRPr="00276C37">
        <w:t>b)</w:t>
      </w:r>
      <w:r w:rsidR="00874F3A" w:rsidRPr="00276C37">
        <w:tab/>
      </w:r>
      <w:r w:rsidR="00874F3A" w:rsidRPr="00276C37">
        <w:rPr>
          <w:strike/>
        </w:rPr>
        <w:t>Les réservoirs de carburant pour les combustibles liquides doivent être conformes aux dispositions du Règlement n° 34 de la CEE</w:t>
      </w:r>
      <w:r w:rsidR="00874F3A" w:rsidRPr="00276C37">
        <w:rPr>
          <w:strike/>
          <w:vertAlign w:val="superscript"/>
        </w:rPr>
        <w:t>6</w:t>
      </w:r>
      <w:r w:rsidR="00874F3A" w:rsidRPr="00276C37">
        <w:rPr>
          <w:strike/>
        </w:rPr>
        <w:t>.</w:t>
      </w:r>
      <w:r w:rsidR="00874F3A" w:rsidRPr="00276C37">
        <w:t xml:space="preserve"> Les réservoirs contenant de l</w:t>
      </w:r>
      <w:r w:rsidR="00874F3A">
        <w:t>’</w:t>
      </w:r>
      <w:r w:rsidR="00874F3A" w:rsidRPr="00276C37">
        <w:t>essence doivent être équipés d</w:t>
      </w:r>
      <w:r w:rsidR="00874F3A">
        <w:t>’</w:t>
      </w:r>
      <w:r w:rsidR="00874F3A" w:rsidRPr="00276C37">
        <w:t>un dispositif coupe-flammes efficace s</w:t>
      </w:r>
      <w:r w:rsidR="00874F3A">
        <w:t>’</w:t>
      </w:r>
      <w:r w:rsidR="00874F3A" w:rsidRPr="00276C37">
        <w:t>adaptant à l</w:t>
      </w:r>
      <w:r w:rsidR="00874F3A">
        <w:t>’</w:t>
      </w:r>
      <w:r w:rsidR="00874F3A" w:rsidRPr="00276C37">
        <w:t>orifice de remplissage ou d</w:t>
      </w:r>
      <w:r w:rsidR="00874F3A">
        <w:t>’</w:t>
      </w:r>
      <w:r w:rsidR="00874F3A" w:rsidRPr="00276C37">
        <w:t>un dispositif permettant de maintenir l</w:t>
      </w:r>
      <w:r w:rsidR="00874F3A">
        <w:t>’</w:t>
      </w:r>
      <w:r w:rsidR="00874F3A" w:rsidRPr="00276C37">
        <w:t>orifice de remplissage hermétiquement fermé.</w:t>
      </w:r>
      <w:r w:rsidR="00874F3A" w:rsidRPr="00636408">
        <w:t xml:space="preserve"> </w:t>
      </w:r>
      <w:r w:rsidR="00874F3A">
        <w:rPr>
          <w:snapToGrid w:val="0"/>
          <w:u w:val="single"/>
        </w:rPr>
        <w:t xml:space="preserve">Tout combustible liquide ou liquéfié </w:t>
      </w:r>
      <w:r w:rsidR="00874F3A" w:rsidRPr="00276C37">
        <w:rPr>
          <w:snapToGrid w:val="0"/>
          <w:u w:val="single"/>
        </w:rPr>
        <w:t>doit s</w:t>
      </w:r>
      <w:r w:rsidR="00874F3A">
        <w:rPr>
          <w:snapToGrid w:val="0"/>
          <w:u w:val="single"/>
        </w:rPr>
        <w:t>’</w:t>
      </w:r>
      <w:r w:rsidR="00874F3A" w:rsidRPr="00276C37">
        <w:rPr>
          <w:snapToGrid w:val="0"/>
          <w:u w:val="single"/>
        </w:rPr>
        <w:t>écouler sur le sol</w:t>
      </w:r>
      <w:r w:rsidR="00874F3A">
        <w:rPr>
          <w:snapToGrid w:val="0"/>
          <w:u w:val="single"/>
        </w:rPr>
        <w:t>.</w:t>
      </w:r>
    </w:p>
    <w:p w:rsidR="00874F3A" w:rsidRPr="007746A7" w:rsidRDefault="00874F3A" w:rsidP="007746A7">
      <w:pPr>
        <w:pStyle w:val="SingleTxtG"/>
        <w:kinsoku/>
        <w:overflowPunct/>
        <w:autoSpaceDE/>
        <w:autoSpaceDN/>
        <w:adjustRightInd/>
        <w:snapToGrid/>
        <w:ind w:left="1701"/>
        <w:rPr>
          <w:snapToGrid w:val="0"/>
          <w:u w:val="single"/>
        </w:rPr>
      </w:pPr>
      <w:r w:rsidRPr="002D0267">
        <w:rPr>
          <w:rFonts w:eastAsia="Times New Roman"/>
          <w:snapToGrid w:val="0"/>
          <w:sz w:val="20"/>
          <w:u w:val="single"/>
        </w:rPr>
        <w:t>----</w:t>
      </w:r>
    </w:p>
    <w:p w:rsidR="00874F3A" w:rsidRPr="002D0267" w:rsidRDefault="007746A7" w:rsidP="007746A7">
      <w:pPr>
        <w:pStyle w:val="SingleTxt"/>
        <w:tabs>
          <w:tab w:val="clear" w:pos="1742"/>
          <w:tab w:val="clear" w:pos="2218"/>
          <w:tab w:val="left" w:pos="1710"/>
          <w:tab w:val="left" w:pos="2430"/>
        </w:tabs>
        <w:ind w:left="2430" w:hanging="1163"/>
        <w:rPr>
          <w:rFonts w:eastAsia="Times New Roman"/>
          <w:i/>
          <w:snapToGrid w:val="0"/>
          <w:u w:val="single"/>
          <w:lang w:val="fr-CH"/>
        </w:rPr>
      </w:pPr>
      <w:r w:rsidRPr="002D0267">
        <w:rPr>
          <w:rFonts w:eastAsia="Times New Roman"/>
          <w:snapToGrid w:val="0"/>
          <w:lang w:val="fr-CH"/>
        </w:rPr>
        <w:tab/>
      </w:r>
      <w:r w:rsidRPr="002D0267">
        <w:rPr>
          <w:rFonts w:eastAsia="Times New Roman"/>
          <w:i/>
          <w:strike/>
          <w:snapToGrid w:val="0"/>
          <w:u w:val="single"/>
          <w:vertAlign w:val="superscript"/>
          <w:lang w:val="fr-CH"/>
        </w:rPr>
        <w:t>6</w:t>
      </w:r>
      <w:r w:rsidRPr="002D0267">
        <w:rPr>
          <w:rFonts w:eastAsia="Times New Roman"/>
          <w:i/>
          <w:snapToGrid w:val="0"/>
          <w:lang w:val="fr-CH"/>
        </w:rPr>
        <w:tab/>
      </w:r>
      <w:r w:rsidR="00AD5893" w:rsidRPr="002D0267">
        <w:rPr>
          <w:rFonts w:eastAsia="Times New Roman"/>
          <w:i/>
          <w:strike/>
          <w:snapToGrid w:val="0"/>
          <w:u w:val="single"/>
          <w:lang w:val="fr-CH"/>
        </w:rPr>
        <w:t>Règlement n</w:t>
      </w:r>
      <w:r w:rsidR="00AD5893" w:rsidRPr="002D0267">
        <w:rPr>
          <w:rFonts w:eastAsia="Times New Roman"/>
          <w:i/>
          <w:strike/>
          <w:snapToGrid w:val="0"/>
          <w:u w:val="single"/>
          <w:vertAlign w:val="superscript"/>
          <w:lang w:val="fr-CH"/>
        </w:rPr>
        <w:t>o</w:t>
      </w:r>
      <w:r w:rsidR="00AD5893" w:rsidRPr="002D0267">
        <w:rPr>
          <w:rFonts w:eastAsia="Times New Roman"/>
          <w:i/>
          <w:strike/>
          <w:snapToGrid w:val="0"/>
          <w:u w:val="single"/>
          <w:lang w:val="fr-CH"/>
        </w:rPr>
        <w:t> </w:t>
      </w:r>
      <w:r w:rsidR="00874F3A" w:rsidRPr="002D0267">
        <w:rPr>
          <w:rFonts w:eastAsia="Times New Roman"/>
          <w:i/>
          <w:strike/>
          <w:snapToGrid w:val="0"/>
          <w:u w:val="single"/>
          <w:lang w:val="fr-CH"/>
        </w:rPr>
        <w:t xml:space="preserve">34 de </w:t>
      </w:r>
      <w:r w:rsidR="00874F3A" w:rsidRPr="00D261EC">
        <w:rPr>
          <w:i/>
          <w:strike/>
          <w:u w:val="single"/>
        </w:rPr>
        <w:t>la</w:t>
      </w:r>
      <w:r w:rsidR="00874F3A" w:rsidRPr="002D0267">
        <w:rPr>
          <w:rFonts w:eastAsia="Times New Roman"/>
          <w:i/>
          <w:strike/>
          <w:snapToGrid w:val="0"/>
          <w:u w:val="single"/>
          <w:lang w:val="fr-CH"/>
        </w:rPr>
        <w:t xml:space="preserve"> CEE (Prescriptions uniformes relatives à l’homologation des véhicules en ce qui concerne la prévention des risques d’incendie).</w:t>
      </w:r>
      <w:r w:rsidR="00D261EC">
        <w:rPr>
          <w:snapToGrid w:val="0"/>
        </w:rPr>
        <w:t> ».</w:t>
      </w:r>
    </w:p>
    <w:p w:rsidR="00874F3A" w:rsidRPr="00B24ED4" w:rsidRDefault="00874F3A" w:rsidP="007746A7">
      <w:pPr>
        <w:pStyle w:val="SingleTxt"/>
        <w:numPr>
          <w:ilvl w:val="0"/>
          <w:numId w:val="10"/>
        </w:numPr>
        <w:tabs>
          <w:tab w:val="clear" w:pos="475"/>
          <w:tab w:val="num" w:pos="1742"/>
        </w:tabs>
        <w:ind w:left="1267"/>
        <w:rPr>
          <w:snapToGrid w:val="0"/>
        </w:rPr>
      </w:pPr>
      <w:r>
        <w:t>Renuméroter les notes de bas de page en conséquence.</w:t>
      </w:r>
    </w:p>
    <w:p w:rsidR="00874F3A" w:rsidRPr="00E43EDD" w:rsidRDefault="00874F3A" w:rsidP="007746A7">
      <w:pPr>
        <w:pStyle w:val="SingleTxt"/>
        <w:numPr>
          <w:ilvl w:val="0"/>
          <w:numId w:val="10"/>
        </w:numPr>
        <w:tabs>
          <w:tab w:val="clear" w:pos="475"/>
          <w:tab w:val="num" w:pos="1742"/>
        </w:tabs>
        <w:ind w:left="1267"/>
      </w:pPr>
      <w:r>
        <w:lastRenderedPageBreak/>
        <w:t>Le nouveau paragraphe</w:t>
      </w:r>
      <w:r w:rsidR="007746A7">
        <w:t xml:space="preserve"> 9.2.4.3 </w:t>
      </w:r>
      <w:r>
        <w:t xml:space="preserve">c) </w:t>
      </w:r>
      <w:r w:rsidRPr="00276C37">
        <w:t xml:space="preserve">pourrait être </w:t>
      </w:r>
      <w:r>
        <w:t>inséré dans l’ADR (</w:t>
      </w:r>
      <w:r w:rsidRPr="00276C37">
        <w:t xml:space="preserve">les éléments nouveaux apparaissent en caractères </w:t>
      </w:r>
      <w:r w:rsidRPr="009003CD">
        <w:rPr>
          <w:u w:val="single"/>
        </w:rPr>
        <w:t>soulignés</w:t>
      </w:r>
      <w:r>
        <w:t>)</w:t>
      </w:r>
      <w:r w:rsidR="007746A7">
        <w:t> </w:t>
      </w:r>
      <w:r>
        <w:t>:</w:t>
      </w:r>
    </w:p>
    <w:p w:rsidR="00874F3A" w:rsidRDefault="007746A7" w:rsidP="007746A7">
      <w:pPr>
        <w:pStyle w:val="SingleTxt"/>
        <w:tabs>
          <w:tab w:val="clear" w:pos="2218"/>
          <w:tab w:val="left" w:pos="2430"/>
        </w:tabs>
        <w:ind w:left="2430" w:hanging="1163"/>
        <w:rPr>
          <w:snapToGrid w:val="0"/>
          <w:u w:val="single"/>
        </w:rPr>
      </w:pPr>
      <w:r>
        <w:rPr>
          <w:u w:val="single"/>
        </w:rPr>
        <w:t>« </w:t>
      </w:r>
      <w:r>
        <w:rPr>
          <w:snapToGrid w:val="0"/>
          <w:u w:val="single"/>
        </w:rPr>
        <w:t>9.2.4.3 </w:t>
      </w:r>
      <w:r w:rsidR="00874F3A" w:rsidRPr="007746A7">
        <w:rPr>
          <w:snapToGrid w:val="0"/>
          <w:u w:val="single"/>
        </w:rPr>
        <w:t>c)</w:t>
      </w:r>
      <w:r w:rsidR="00874F3A" w:rsidRPr="007746A7">
        <w:rPr>
          <w:snapToGrid w:val="0"/>
        </w:rPr>
        <w:tab/>
      </w:r>
      <w:r w:rsidR="00874F3A" w:rsidRPr="007746A7">
        <w:rPr>
          <w:snapToGrid w:val="0"/>
          <w:u w:val="single"/>
        </w:rPr>
        <w:t>L’ouverture ou les ouvertures de vidange des dispositifs et/ou soupapes de décompression des réservoirs de carburant contenant des combustibles gazeux doit (doivent) être orientée(s) dans une direction autre que celle des prises d’air, des réservoirs de carburant, du chargement des parties chaudes du véhicule ou du chargement ou de parties chaudes du véhicule. Les tuyaux ne doivent pas être fixés sur le réservoir.</w:t>
      </w:r>
      <w:r>
        <w:rPr>
          <w:snapToGrid w:val="0"/>
          <w:u w:val="single"/>
        </w:rPr>
        <w:t> »</w:t>
      </w:r>
      <w:r w:rsidR="00AD5893">
        <w:rPr>
          <w:snapToGrid w:val="0"/>
          <w:u w:val="single"/>
        </w:rPr>
        <w:t>.</w:t>
      </w:r>
    </w:p>
    <w:p w:rsidR="007746A7" w:rsidRPr="007746A7" w:rsidRDefault="007746A7" w:rsidP="007746A7">
      <w:pPr>
        <w:pStyle w:val="SingleTxt"/>
        <w:spacing w:after="0" w:line="120" w:lineRule="exact"/>
        <w:rPr>
          <w:snapToGrid w:val="0"/>
          <w:sz w:val="10"/>
        </w:rPr>
      </w:pPr>
    </w:p>
    <w:p w:rsidR="007746A7" w:rsidRPr="007746A7" w:rsidRDefault="007746A7" w:rsidP="007746A7">
      <w:pPr>
        <w:pStyle w:val="SingleTxt"/>
        <w:spacing w:after="0" w:line="120" w:lineRule="exact"/>
        <w:rPr>
          <w:snapToGrid w:val="0"/>
          <w:sz w:val="10"/>
        </w:rPr>
      </w:pPr>
    </w:p>
    <w:p w:rsidR="00874F3A" w:rsidRDefault="00874F3A" w:rsidP="007746A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Proposition 3</w:t>
      </w:r>
    </w:p>
    <w:p w:rsidR="007746A7" w:rsidRPr="007746A7" w:rsidRDefault="007746A7" w:rsidP="007746A7">
      <w:pPr>
        <w:pStyle w:val="SingleTxt"/>
        <w:spacing w:after="0" w:line="120" w:lineRule="exact"/>
        <w:rPr>
          <w:sz w:val="10"/>
        </w:rPr>
      </w:pPr>
    </w:p>
    <w:p w:rsidR="007746A7" w:rsidRPr="007746A7" w:rsidRDefault="007746A7" w:rsidP="007746A7">
      <w:pPr>
        <w:pStyle w:val="SingleTxt"/>
        <w:spacing w:after="0" w:line="120" w:lineRule="exact"/>
        <w:rPr>
          <w:sz w:val="10"/>
        </w:rPr>
      </w:pPr>
    </w:p>
    <w:p w:rsidR="00874F3A" w:rsidRDefault="007746A7" w:rsidP="007746A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r>
      <w:r w:rsidR="00874F3A" w:rsidRPr="00D300E3">
        <w:rPr>
          <w:snapToGrid w:val="0"/>
        </w:rPr>
        <w:t>9.2.4.4</w:t>
      </w:r>
    </w:p>
    <w:p w:rsidR="007746A7" w:rsidRPr="007746A7" w:rsidRDefault="007746A7" w:rsidP="007746A7">
      <w:pPr>
        <w:pStyle w:val="SingleTxt"/>
        <w:spacing w:after="0" w:line="120" w:lineRule="exact"/>
        <w:rPr>
          <w:sz w:val="10"/>
        </w:rPr>
      </w:pPr>
    </w:p>
    <w:p w:rsidR="00874F3A" w:rsidRPr="00087339" w:rsidRDefault="00874F3A" w:rsidP="007746A7">
      <w:pPr>
        <w:pStyle w:val="SingleTxt"/>
        <w:numPr>
          <w:ilvl w:val="0"/>
          <w:numId w:val="10"/>
        </w:numPr>
        <w:tabs>
          <w:tab w:val="clear" w:pos="475"/>
          <w:tab w:val="num" w:pos="1742"/>
        </w:tabs>
        <w:ind w:left="1267"/>
        <w:rPr>
          <w:snapToGrid w:val="0"/>
        </w:rPr>
      </w:pPr>
      <w:r w:rsidRPr="00276C37">
        <w:t xml:space="preserve">Le paragraphe </w:t>
      </w:r>
      <w:r w:rsidRPr="006E7713">
        <w:t xml:space="preserve">9.2.4.4 </w:t>
      </w:r>
      <w:r>
        <w:t>de l’</w:t>
      </w:r>
      <w:r w:rsidRPr="006E7713">
        <w:t xml:space="preserve">ADR 2017 </w:t>
      </w:r>
      <w:r w:rsidRPr="00276C37">
        <w:t xml:space="preserve">pourrait être modifié comme suit (les éléments nouveaux apparaissent en caractères </w:t>
      </w:r>
      <w:r w:rsidRPr="009003CD">
        <w:rPr>
          <w:u w:val="single"/>
        </w:rPr>
        <w:t>soulignés</w:t>
      </w:r>
      <w:r w:rsidRPr="000D4339">
        <w:t xml:space="preserve"> et les</w:t>
      </w:r>
      <w:r w:rsidRPr="00D261EC">
        <w:t xml:space="preserve"> </w:t>
      </w:r>
      <w:r w:rsidRPr="000D4339">
        <w:t xml:space="preserve">éléments supprimés </w:t>
      </w:r>
      <w:r>
        <w:t>en caractères biffés)</w:t>
      </w:r>
      <w:r w:rsidR="007746A7">
        <w:t> </w:t>
      </w:r>
      <w:r>
        <w:t>:</w:t>
      </w:r>
    </w:p>
    <w:p w:rsidR="00874F3A" w:rsidRPr="00087339" w:rsidRDefault="007746A7" w:rsidP="007746A7">
      <w:pPr>
        <w:pStyle w:val="SingleTxt"/>
        <w:tabs>
          <w:tab w:val="clear" w:pos="2218"/>
          <w:tab w:val="left" w:pos="2430"/>
        </w:tabs>
        <w:ind w:left="2430" w:hanging="1163"/>
        <w:rPr>
          <w:snapToGrid w:val="0"/>
        </w:rPr>
      </w:pPr>
      <w:r>
        <w:t>« </w:t>
      </w:r>
      <w:r w:rsidR="00874F3A" w:rsidRPr="006D68FC">
        <w:t>9.2.4.4</w:t>
      </w:r>
      <w:r w:rsidR="00874F3A" w:rsidRPr="006D68FC">
        <w:tab/>
      </w:r>
      <w:r w:rsidR="00874F3A">
        <w:t>Moteur</w:t>
      </w:r>
    </w:p>
    <w:p w:rsidR="00874F3A" w:rsidRPr="00D261EC" w:rsidRDefault="007746A7" w:rsidP="007746A7">
      <w:pPr>
        <w:pStyle w:val="SingleTxt"/>
        <w:tabs>
          <w:tab w:val="clear" w:pos="2218"/>
          <w:tab w:val="left" w:pos="2430"/>
        </w:tabs>
        <w:ind w:left="2430" w:hanging="1163"/>
        <w:rPr>
          <w:strike/>
          <w:snapToGrid w:val="0"/>
        </w:rPr>
      </w:pPr>
      <w:r>
        <w:tab/>
      </w:r>
      <w:r>
        <w:tab/>
      </w:r>
      <w:r w:rsidR="00874F3A" w:rsidRPr="006D68FC">
        <w:t>Les moteurs entraînant les véhicules doivent être équipés et placés de façon à éviter tout danger pour le chargement à la suite d</w:t>
      </w:r>
      <w:r w:rsidR="00874F3A">
        <w:t>’</w:t>
      </w:r>
      <w:r w:rsidR="00874F3A" w:rsidRPr="006D68FC">
        <w:t>échauffement ou d</w:t>
      </w:r>
      <w:r w:rsidR="00874F3A">
        <w:t>’</w:t>
      </w:r>
      <w:r w:rsidR="00874F3A" w:rsidRPr="006D68FC">
        <w:t>inflammation.</w:t>
      </w:r>
      <w:r w:rsidR="00874F3A">
        <w:t xml:space="preserve"> </w:t>
      </w:r>
      <w:r w:rsidR="00874F3A" w:rsidRPr="006D68FC">
        <w:rPr>
          <w:strike/>
        </w:rPr>
        <w:t>L</w:t>
      </w:r>
      <w:r w:rsidR="00874F3A">
        <w:rPr>
          <w:strike/>
        </w:rPr>
        <w:t>’</w:t>
      </w:r>
      <w:r w:rsidR="00874F3A" w:rsidRPr="006D68FC">
        <w:rPr>
          <w:strike/>
        </w:rPr>
        <w:t>utilisation de gaz naturel liquéfié (GNL) comme carburant ne doit être admise que si les organes spéciaux pour le GNL sont homologués conformément au Règlement CEE n° 110</w:t>
      </w:r>
      <w:r w:rsidR="00874F3A" w:rsidRPr="00F73BF3">
        <w:rPr>
          <w:strike/>
          <w:vertAlign w:val="superscript"/>
        </w:rPr>
        <w:t>7</w:t>
      </w:r>
      <w:r w:rsidR="00874F3A" w:rsidRPr="006D68FC">
        <w:rPr>
          <w:strike/>
        </w:rPr>
        <w:t xml:space="preserve"> et si leur installation sur le véhicule est conforme aux prescriptions techniques de ce même Règlement</w:t>
      </w:r>
      <w:r w:rsidR="00874F3A" w:rsidRPr="006D68FC">
        <w:rPr>
          <w:strike/>
          <w:vertAlign w:val="superscript"/>
        </w:rPr>
        <w:t>7</w:t>
      </w:r>
      <w:r w:rsidR="00D261EC" w:rsidRPr="00D261EC">
        <w:t>.</w:t>
      </w:r>
    </w:p>
    <w:p w:rsidR="00874F3A" w:rsidRPr="008F704C" w:rsidRDefault="00874F3A" w:rsidP="007746A7">
      <w:pPr>
        <w:pStyle w:val="SingleTxt"/>
        <w:rPr>
          <w:snapToGrid w:val="0"/>
          <w:u w:val="single"/>
        </w:rPr>
      </w:pPr>
      <w:r w:rsidRPr="006D68FC">
        <w:t>Dans le cas de véhicules EX/II et EX/III le moteur doit être à allumage par compression et fonctionner uniquement avec des carburants dont le point d</w:t>
      </w:r>
      <w:r>
        <w:t>’</w:t>
      </w:r>
      <w:r w:rsidRPr="006D68FC">
        <w:t>éclair est supérieur à 55 °C</w:t>
      </w:r>
      <w:r>
        <w:t>.</w:t>
      </w:r>
      <w:r w:rsidRPr="006D68FC">
        <w:t xml:space="preserve"> </w:t>
      </w:r>
      <w:r w:rsidRPr="006D68FC">
        <w:rPr>
          <w:u w:val="single"/>
        </w:rPr>
        <w:t xml:space="preserve">Les </w:t>
      </w:r>
      <w:r>
        <w:rPr>
          <w:u w:val="single"/>
        </w:rPr>
        <w:t>gaz, y compris ceux qui sont liquéfiés, ne doivent pas être utilisés.</w:t>
      </w:r>
      <w:r w:rsidR="007746A7">
        <w:rPr>
          <w:u w:val="single"/>
        </w:rPr>
        <w:t> </w:t>
      </w:r>
      <w:r w:rsidR="007746A7" w:rsidRPr="00D261EC">
        <w:t>».</w:t>
      </w:r>
    </w:p>
    <w:p w:rsidR="00874F3A" w:rsidRPr="001C72A6" w:rsidRDefault="00874F3A" w:rsidP="001C72A6">
      <w:pPr>
        <w:pStyle w:val="SingleTxtG"/>
        <w:kinsoku/>
        <w:overflowPunct/>
        <w:autoSpaceDE/>
        <w:autoSpaceDN/>
        <w:adjustRightInd/>
        <w:snapToGrid/>
        <w:ind w:left="1701"/>
        <w:rPr>
          <w:snapToGrid w:val="0"/>
        </w:rPr>
      </w:pPr>
      <w:r w:rsidRPr="002D0267">
        <w:rPr>
          <w:rFonts w:eastAsia="Times New Roman"/>
          <w:snapToGrid w:val="0"/>
          <w:sz w:val="20"/>
        </w:rPr>
        <w:t>----</w:t>
      </w:r>
    </w:p>
    <w:p w:rsidR="00874F3A" w:rsidRPr="002D0267" w:rsidRDefault="00AD5893" w:rsidP="00AD5893">
      <w:pPr>
        <w:pStyle w:val="SingleTxt"/>
        <w:tabs>
          <w:tab w:val="clear" w:pos="1742"/>
          <w:tab w:val="clear" w:pos="2218"/>
          <w:tab w:val="left" w:pos="1710"/>
          <w:tab w:val="left" w:pos="2430"/>
        </w:tabs>
        <w:ind w:left="2430" w:hanging="1163"/>
        <w:rPr>
          <w:rFonts w:eastAsia="Times New Roman"/>
          <w:i/>
          <w:strike/>
          <w:snapToGrid w:val="0"/>
          <w:u w:val="single"/>
          <w:lang w:val="fr-CH"/>
        </w:rPr>
      </w:pPr>
      <w:r w:rsidRPr="002D0267">
        <w:rPr>
          <w:rFonts w:eastAsia="Times New Roman"/>
          <w:snapToGrid w:val="0"/>
          <w:lang w:val="fr-CH"/>
        </w:rPr>
        <w:tab/>
      </w:r>
      <w:r w:rsidR="00874F3A" w:rsidRPr="002D0267">
        <w:rPr>
          <w:rFonts w:eastAsia="Times New Roman"/>
          <w:i/>
          <w:strike/>
          <w:snapToGrid w:val="0"/>
          <w:u w:val="single"/>
          <w:vertAlign w:val="superscript"/>
          <w:lang w:val="fr-CH"/>
        </w:rPr>
        <w:t>7</w:t>
      </w:r>
      <w:r w:rsidR="00874F3A" w:rsidRPr="002D0267">
        <w:rPr>
          <w:rFonts w:eastAsia="Times New Roman"/>
          <w:snapToGrid w:val="0"/>
          <w:lang w:val="fr-CH"/>
        </w:rPr>
        <w:tab/>
      </w:r>
      <w:r w:rsidR="00874F3A" w:rsidRPr="002D0267">
        <w:rPr>
          <w:rFonts w:eastAsia="Times New Roman"/>
          <w:i/>
          <w:strike/>
          <w:snapToGrid w:val="0"/>
          <w:u w:val="single"/>
          <w:lang w:val="fr-CH"/>
        </w:rPr>
        <w:t xml:space="preserve">Règlement de la CEE </w:t>
      </w:r>
      <w:r w:rsidRPr="002D0267">
        <w:rPr>
          <w:rFonts w:eastAsia="Times New Roman"/>
          <w:i/>
          <w:strike/>
          <w:snapToGrid w:val="0"/>
          <w:u w:val="single"/>
          <w:lang w:val="fr-CH"/>
        </w:rPr>
        <w:t>n</w:t>
      </w:r>
      <w:r w:rsidRPr="002D0267">
        <w:rPr>
          <w:rFonts w:eastAsia="Times New Roman"/>
          <w:i/>
          <w:strike/>
          <w:snapToGrid w:val="0"/>
          <w:u w:val="single"/>
          <w:vertAlign w:val="superscript"/>
          <w:lang w:val="fr-CH"/>
        </w:rPr>
        <w:t>o</w:t>
      </w:r>
      <w:r w:rsidRPr="002D0267">
        <w:rPr>
          <w:rFonts w:eastAsia="Times New Roman"/>
          <w:i/>
          <w:strike/>
          <w:snapToGrid w:val="0"/>
          <w:u w:val="single"/>
          <w:lang w:val="fr-CH"/>
        </w:rPr>
        <w:t> </w:t>
      </w:r>
      <w:r w:rsidR="00874F3A" w:rsidRPr="002D0267">
        <w:rPr>
          <w:rFonts w:eastAsia="Times New Roman"/>
          <w:i/>
          <w:strike/>
          <w:snapToGrid w:val="0"/>
          <w:u w:val="single"/>
          <w:lang w:val="fr-CH"/>
        </w:rPr>
        <w:t>110 (Prescriptions uniformes relatives à l’homologation</w:t>
      </w:r>
      <w:r w:rsidRPr="002D0267">
        <w:rPr>
          <w:rFonts w:eastAsia="Times New Roman"/>
          <w:i/>
          <w:strike/>
          <w:snapToGrid w:val="0"/>
          <w:u w:val="single"/>
          <w:lang w:val="fr-CH"/>
        </w:rPr>
        <w:t> </w:t>
      </w:r>
      <w:r w:rsidR="00874F3A" w:rsidRPr="002D0267">
        <w:rPr>
          <w:rFonts w:eastAsia="Times New Roman"/>
          <w:i/>
          <w:strike/>
          <w:snapToGrid w:val="0"/>
          <w:u w:val="single"/>
          <w:lang w:val="fr-CH"/>
        </w:rPr>
        <w:t>:</w:t>
      </w:r>
    </w:p>
    <w:p w:rsidR="00874F3A" w:rsidRPr="002D0267" w:rsidRDefault="00AD5893" w:rsidP="00AD5893">
      <w:pPr>
        <w:pStyle w:val="SingleTxt"/>
        <w:tabs>
          <w:tab w:val="clear" w:pos="1742"/>
          <w:tab w:val="clear" w:pos="2218"/>
          <w:tab w:val="left" w:pos="1710"/>
          <w:tab w:val="left" w:pos="2430"/>
        </w:tabs>
        <w:ind w:left="2430" w:hanging="1163"/>
        <w:rPr>
          <w:rFonts w:eastAsia="Times New Roman"/>
          <w:i/>
          <w:strike/>
          <w:snapToGrid w:val="0"/>
          <w:u w:val="single"/>
          <w:lang w:val="fr-CH"/>
        </w:rPr>
      </w:pPr>
      <w:r w:rsidRPr="002D0267">
        <w:rPr>
          <w:rFonts w:eastAsia="Times New Roman"/>
          <w:snapToGrid w:val="0"/>
          <w:lang w:val="fr-CH"/>
        </w:rPr>
        <w:tab/>
      </w:r>
      <w:r w:rsidR="00874F3A" w:rsidRPr="002D0267">
        <w:rPr>
          <w:rFonts w:eastAsia="Times New Roman"/>
          <w:i/>
          <w:strike/>
          <w:snapToGrid w:val="0"/>
          <w:u w:val="single"/>
          <w:lang w:val="fr-CH"/>
        </w:rPr>
        <w:t>I.</w:t>
      </w:r>
      <w:r w:rsidR="00874F3A" w:rsidRPr="002D0267">
        <w:rPr>
          <w:rFonts w:eastAsia="Times New Roman"/>
          <w:snapToGrid w:val="0"/>
          <w:lang w:val="fr-CH"/>
        </w:rPr>
        <w:tab/>
      </w:r>
      <w:r w:rsidR="00874F3A" w:rsidRPr="002D0267">
        <w:rPr>
          <w:rFonts w:eastAsia="Times New Roman"/>
          <w:i/>
          <w:strike/>
          <w:snapToGrid w:val="0"/>
          <w:u w:val="single"/>
          <w:lang w:val="fr-CH"/>
        </w:rPr>
        <w:t>Des organes spéciaux pour l’alimentation du moteur au gaz naturel comprimé (GNC) et/ou au gaz naturel liquéfié (GNL) sur les véhicules;</w:t>
      </w:r>
    </w:p>
    <w:p w:rsidR="00874F3A" w:rsidRPr="002D0267" w:rsidRDefault="00AD5893" w:rsidP="00AD5893">
      <w:pPr>
        <w:pStyle w:val="SingleTxt"/>
        <w:tabs>
          <w:tab w:val="clear" w:pos="1742"/>
          <w:tab w:val="clear" w:pos="2218"/>
          <w:tab w:val="left" w:pos="1710"/>
          <w:tab w:val="left" w:pos="2430"/>
        </w:tabs>
        <w:ind w:left="2430" w:hanging="1163"/>
        <w:rPr>
          <w:rFonts w:eastAsia="Times New Roman"/>
          <w:i/>
          <w:strike/>
          <w:snapToGrid w:val="0"/>
          <w:u w:val="single"/>
          <w:lang w:val="fr-CH"/>
        </w:rPr>
      </w:pPr>
      <w:r w:rsidRPr="002D0267">
        <w:rPr>
          <w:rFonts w:eastAsia="Times New Roman"/>
          <w:snapToGrid w:val="0"/>
          <w:lang w:val="fr-CH"/>
        </w:rPr>
        <w:tab/>
      </w:r>
      <w:r w:rsidR="00874F3A" w:rsidRPr="002D0267">
        <w:rPr>
          <w:rFonts w:eastAsia="Times New Roman"/>
          <w:i/>
          <w:strike/>
          <w:snapToGrid w:val="0"/>
          <w:u w:val="single"/>
          <w:lang w:val="fr-CH"/>
        </w:rPr>
        <w:t>II.</w:t>
      </w:r>
      <w:r w:rsidR="00874F3A" w:rsidRPr="002D0267">
        <w:rPr>
          <w:rFonts w:eastAsia="Times New Roman"/>
          <w:snapToGrid w:val="0"/>
          <w:lang w:val="fr-CH"/>
        </w:rPr>
        <w:tab/>
      </w:r>
      <w:r w:rsidR="00874F3A" w:rsidRPr="002D0267">
        <w:rPr>
          <w:rFonts w:eastAsia="Times New Roman"/>
          <w:i/>
          <w:strike/>
          <w:snapToGrid w:val="0"/>
          <w:u w:val="single"/>
          <w:lang w:val="fr-CH"/>
        </w:rPr>
        <w:t xml:space="preserve">Des véhicules munis d’organes spéciaux d’un type homologué pour l’alimentation du moteur au gaz naturel comprimé (GNC) et/ou au gaz naturel liquéfié (GNL) en ce qui concerne l’installation de ces organes). </w:t>
      </w:r>
    </w:p>
    <w:p w:rsidR="00874F3A" w:rsidRDefault="00874F3A" w:rsidP="00AD5893">
      <w:pPr>
        <w:pStyle w:val="SingleTxt"/>
        <w:numPr>
          <w:ilvl w:val="0"/>
          <w:numId w:val="10"/>
        </w:numPr>
        <w:tabs>
          <w:tab w:val="clear" w:pos="475"/>
          <w:tab w:val="num" w:pos="1742"/>
        </w:tabs>
        <w:ind w:left="1267"/>
      </w:pPr>
      <w:r>
        <w:t>Renuméroter les notes de bas de page en conséquence.</w:t>
      </w:r>
    </w:p>
    <w:p w:rsidR="00AD5893" w:rsidRPr="00AD5893" w:rsidRDefault="00AD5893" w:rsidP="00AD5893">
      <w:pPr>
        <w:pStyle w:val="SingleTxt"/>
        <w:spacing w:after="0" w:line="120" w:lineRule="exact"/>
        <w:rPr>
          <w:sz w:val="10"/>
        </w:rPr>
      </w:pPr>
    </w:p>
    <w:p w:rsidR="00AD5893" w:rsidRPr="00AD5893" w:rsidRDefault="00AD5893" w:rsidP="00AD5893">
      <w:pPr>
        <w:pStyle w:val="SingleTxt"/>
        <w:spacing w:after="0" w:line="120" w:lineRule="exact"/>
        <w:rPr>
          <w:sz w:val="10"/>
        </w:rPr>
      </w:pPr>
    </w:p>
    <w:p w:rsidR="00874F3A" w:rsidRDefault="00874F3A" w:rsidP="00AD58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Proposition 4</w:t>
      </w:r>
    </w:p>
    <w:p w:rsidR="00AD5893" w:rsidRPr="00AD5893" w:rsidRDefault="00AD5893" w:rsidP="00AD5893">
      <w:pPr>
        <w:pStyle w:val="SingleTxt"/>
        <w:spacing w:after="0" w:line="120" w:lineRule="exact"/>
        <w:rPr>
          <w:sz w:val="10"/>
        </w:rPr>
      </w:pPr>
    </w:p>
    <w:p w:rsidR="00AD5893" w:rsidRPr="00AD5893" w:rsidRDefault="00AD5893" w:rsidP="00AD5893">
      <w:pPr>
        <w:pStyle w:val="SingleTxt"/>
        <w:spacing w:after="0" w:line="120" w:lineRule="exact"/>
        <w:rPr>
          <w:sz w:val="10"/>
        </w:rPr>
      </w:pPr>
    </w:p>
    <w:p w:rsidR="00874F3A" w:rsidRDefault="00AD5893" w:rsidP="00AD5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r>
      <w:r w:rsidR="00874F3A">
        <w:rPr>
          <w:snapToGrid w:val="0"/>
        </w:rPr>
        <w:t>9.2</w:t>
      </w:r>
      <w:proofErr w:type="gramStart"/>
      <w:r w:rsidR="00874F3A">
        <w:rPr>
          <w:snapToGrid w:val="0"/>
        </w:rPr>
        <w:t>.X</w:t>
      </w:r>
      <w:proofErr w:type="gramEnd"/>
    </w:p>
    <w:p w:rsidR="00AD5893" w:rsidRPr="00AD5893" w:rsidRDefault="00AD5893" w:rsidP="00AD5893">
      <w:pPr>
        <w:pStyle w:val="SingleTxt"/>
        <w:spacing w:after="0" w:line="120" w:lineRule="exact"/>
        <w:rPr>
          <w:sz w:val="10"/>
        </w:rPr>
      </w:pPr>
    </w:p>
    <w:p w:rsidR="00874F3A" w:rsidRPr="00E43EDD" w:rsidRDefault="00874F3A" w:rsidP="00AD5893">
      <w:pPr>
        <w:pStyle w:val="SingleTxt"/>
        <w:numPr>
          <w:ilvl w:val="0"/>
          <w:numId w:val="10"/>
        </w:numPr>
        <w:tabs>
          <w:tab w:val="clear" w:pos="475"/>
          <w:tab w:val="num" w:pos="1742"/>
        </w:tabs>
        <w:ind w:left="1267"/>
      </w:pPr>
      <w:r>
        <w:t>La nouvelle section 9.2.X</w:t>
      </w:r>
      <w:r w:rsidR="00AD5893">
        <w:t xml:space="preserve"> ci-</w:t>
      </w:r>
      <w:r>
        <w:t>après pourrait être insérée dans l’ADR</w:t>
      </w:r>
      <w:r w:rsidR="00AD5893">
        <w:t> </w:t>
      </w:r>
      <w:r>
        <w:t>:</w:t>
      </w:r>
    </w:p>
    <w:p w:rsidR="00874F3A" w:rsidRPr="00264FA5" w:rsidRDefault="00AD5893" w:rsidP="00AD5893">
      <w:pPr>
        <w:pStyle w:val="SingleTxt"/>
        <w:rPr>
          <w:snapToGrid w:val="0"/>
          <w:u w:val="single"/>
        </w:rPr>
      </w:pPr>
      <w:r>
        <w:t>« </w:t>
      </w:r>
      <w:r w:rsidR="00874F3A">
        <w:rPr>
          <w:u w:val="single"/>
        </w:rPr>
        <w:t>9.2.X</w:t>
      </w:r>
      <w:r w:rsidR="00874F3A" w:rsidRPr="00AD5893">
        <w:tab/>
      </w:r>
      <w:r w:rsidR="00874F3A">
        <w:rPr>
          <w:u w:val="single"/>
        </w:rPr>
        <w:t xml:space="preserve">Prévention des </w:t>
      </w:r>
      <w:r w:rsidR="00874F3A" w:rsidRPr="00AD5893">
        <w:rPr>
          <w:u w:val="single"/>
        </w:rPr>
        <w:t>autres</w:t>
      </w:r>
      <w:r w:rsidR="00874F3A">
        <w:rPr>
          <w:u w:val="single"/>
        </w:rPr>
        <w:t xml:space="preserve"> risques dus aux carburants</w:t>
      </w:r>
    </w:p>
    <w:p w:rsidR="00874F3A" w:rsidRDefault="00874F3A" w:rsidP="00AD5893">
      <w:pPr>
        <w:pStyle w:val="SingleTxt"/>
        <w:ind w:left="2218" w:hanging="951"/>
        <w:rPr>
          <w:snapToGrid w:val="0"/>
        </w:rPr>
      </w:pPr>
      <w:r>
        <w:rPr>
          <w:u w:val="single"/>
        </w:rPr>
        <w:t>9.2</w:t>
      </w:r>
      <w:proofErr w:type="gramStart"/>
      <w:r>
        <w:rPr>
          <w:u w:val="single"/>
        </w:rPr>
        <w:t>.X.1</w:t>
      </w:r>
      <w:proofErr w:type="gramEnd"/>
      <w:r w:rsidRPr="00AD5893">
        <w:tab/>
      </w:r>
      <w:r w:rsidRPr="00E4485C">
        <w:rPr>
          <w:u w:val="single"/>
        </w:rPr>
        <w:t xml:space="preserve">Les moteurs entraînant les véhicules </w:t>
      </w:r>
      <w:r>
        <w:rPr>
          <w:u w:val="single"/>
        </w:rPr>
        <w:t xml:space="preserve">au moyen de gaz naturel liquéfié </w:t>
      </w:r>
      <w:r w:rsidRPr="00E4485C">
        <w:rPr>
          <w:u w:val="single"/>
        </w:rPr>
        <w:t>doivent être équipés et placés de façon à éviter tout danger pour le chargement qui pourrait être causé par le fait que le gaz est réfrigéré.</w:t>
      </w:r>
      <w:r w:rsidR="00AD5893">
        <w:rPr>
          <w:u w:val="single"/>
        </w:rPr>
        <w:t> </w:t>
      </w:r>
      <w:r>
        <w:rPr>
          <w:u w:val="single"/>
        </w:rPr>
        <w:t>»</w:t>
      </w:r>
      <w:r w:rsidR="00AD5893">
        <w:rPr>
          <w:u w:val="single"/>
        </w:rPr>
        <w:t>.</w:t>
      </w:r>
    </w:p>
    <w:p w:rsidR="00AD5893" w:rsidRPr="00AD5893" w:rsidRDefault="00AD5893" w:rsidP="00AD5893">
      <w:pPr>
        <w:pStyle w:val="SingleTxt"/>
        <w:spacing w:after="0" w:line="120" w:lineRule="exact"/>
        <w:rPr>
          <w:snapToGrid w:val="0"/>
          <w:sz w:val="10"/>
        </w:rPr>
      </w:pPr>
    </w:p>
    <w:p w:rsidR="00874F3A" w:rsidRDefault="00874F3A" w:rsidP="00AD58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lastRenderedPageBreak/>
        <w:tab/>
        <w:t>III.</w:t>
      </w:r>
      <w:r>
        <w:tab/>
      </w:r>
      <w:r>
        <w:rPr>
          <w:snapToGrid w:val="0"/>
        </w:rPr>
        <w:t>Justification des propositions</w:t>
      </w:r>
    </w:p>
    <w:p w:rsidR="00AD5893" w:rsidRPr="00AD5893" w:rsidRDefault="00AD5893" w:rsidP="00AD5893">
      <w:pPr>
        <w:pStyle w:val="SingleTxt"/>
        <w:keepNext/>
        <w:spacing w:after="0" w:line="120" w:lineRule="exact"/>
        <w:jc w:val="left"/>
        <w:rPr>
          <w:sz w:val="10"/>
        </w:rPr>
      </w:pPr>
    </w:p>
    <w:p w:rsidR="00AD5893" w:rsidRPr="00AD5893" w:rsidRDefault="00AD5893" w:rsidP="00AD5893">
      <w:pPr>
        <w:pStyle w:val="SingleTxt"/>
        <w:keepNext/>
        <w:spacing w:after="0" w:line="120" w:lineRule="exact"/>
        <w:jc w:val="left"/>
        <w:rPr>
          <w:sz w:val="10"/>
        </w:rPr>
      </w:pPr>
    </w:p>
    <w:p w:rsidR="00874F3A" w:rsidRDefault="00874F3A" w:rsidP="00AD58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Proposition 1</w:t>
      </w:r>
    </w:p>
    <w:p w:rsidR="00AD5893" w:rsidRPr="00AD5893" w:rsidRDefault="00AD5893" w:rsidP="00AD5893">
      <w:pPr>
        <w:pStyle w:val="SingleTxt"/>
        <w:spacing w:after="0" w:line="120" w:lineRule="exact"/>
        <w:rPr>
          <w:sz w:val="10"/>
        </w:rPr>
      </w:pPr>
    </w:p>
    <w:p w:rsidR="00AD5893" w:rsidRPr="00AD5893" w:rsidRDefault="00AD5893" w:rsidP="00AD5893">
      <w:pPr>
        <w:pStyle w:val="SingleTxt"/>
        <w:spacing w:after="0" w:line="120" w:lineRule="exact"/>
        <w:rPr>
          <w:sz w:val="10"/>
        </w:rPr>
      </w:pPr>
    </w:p>
    <w:p w:rsidR="00874F3A" w:rsidRDefault="00AD5893" w:rsidP="00AD5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1.1.3.2 a)</w:t>
      </w:r>
    </w:p>
    <w:p w:rsidR="00AD5893" w:rsidRPr="00AD5893" w:rsidRDefault="00AD5893" w:rsidP="00AD5893">
      <w:pPr>
        <w:pStyle w:val="SingleTxt"/>
        <w:spacing w:after="0" w:line="120" w:lineRule="exact"/>
        <w:rPr>
          <w:sz w:val="10"/>
        </w:rPr>
      </w:pPr>
    </w:p>
    <w:p w:rsidR="00874F3A" w:rsidRDefault="00874F3A" w:rsidP="00AD5893">
      <w:pPr>
        <w:pStyle w:val="SingleTxt"/>
        <w:numPr>
          <w:ilvl w:val="0"/>
          <w:numId w:val="10"/>
        </w:numPr>
        <w:tabs>
          <w:tab w:val="clear" w:pos="475"/>
          <w:tab w:val="num" w:pos="1742"/>
        </w:tabs>
        <w:ind w:left="1267"/>
        <w:rPr>
          <w:snapToGrid w:val="0"/>
        </w:rPr>
      </w:pPr>
      <w:r>
        <w:t xml:space="preserve">L’amendement relatif au transport de gaz qui apparaît entre crochets à la </w:t>
      </w:r>
      <w:r w:rsidRPr="00DD1430">
        <w:rPr>
          <w:u w:val="single"/>
        </w:rPr>
        <w:t>pre</w:t>
      </w:r>
      <w:r>
        <w:rPr>
          <w:u w:val="single"/>
        </w:rPr>
        <w:t>mière phrase du paragraphe</w:t>
      </w:r>
      <w:r>
        <w:rPr>
          <w:snapToGrid w:val="0"/>
          <w:u w:val="single"/>
        </w:rPr>
        <w:t xml:space="preserve"> </w:t>
      </w:r>
      <w:r w:rsidR="00AD5893">
        <w:rPr>
          <w:snapToGrid w:val="0"/>
          <w:u w:val="single"/>
        </w:rPr>
        <w:t>1.1.3.2 </w:t>
      </w:r>
      <w:r>
        <w:rPr>
          <w:snapToGrid w:val="0"/>
          <w:u w:val="single"/>
        </w:rPr>
        <w:t xml:space="preserve">a) </w:t>
      </w:r>
      <w:r>
        <w:t>est proposé par analogie avec le paragraphe</w:t>
      </w:r>
      <w:r w:rsidR="00AD5893">
        <w:t xml:space="preserve"> 1.1.3.3 </w:t>
      </w:r>
      <w:r w:rsidRPr="006E7713">
        <w:t xml:space="preserve">a) </w:t>
      </w:r>
      <w:r>
        <w:t>de l’</w:t>
      </w:r>
      <w:r w:rsidR="00D261EC">
        <w:t>ADR</w:t>
      </w:r>
      <w:r>
        <w:t>. Si des gaz utilisés pour l’équipement d’une autocaravane par exemple sont transportés dans des bouteilles, l’</w:t>
      </w:r>
      <w:r w:rsidRPr="006E7713">
        <w:t xml:space="preserve">exemption </w:t>
      </w:r>
      <w:r>
        <w:t>énoncée au paragraphe</w:t>
      </w:r>
      <w:r w:rsidR="00AD5893">
        <w:t xml:space="preserve"> 1.1.3.1 </w:t>
      </w:r>
      <w:r w:rsidRPr="006E7713">
        <w:t xml:space="preserve">a) </w:t>
      </w:r>
      <w:r>
        <w:t>de l’</w:t>
      </w:r>
      <w:r w:rsidRPr="006E7713">
        <w:t>ADR</w:t>
      </w:r>
      <w:r>
        <w:t xml:space="preserve"> peut s’appliquer</w:t>
      </w:r>
      <w:r w:rsidRPr="006E7713">
        <w:t>.</w:t>
      </w:r>
    </w:p>
    <w:p w:rsidR="00874F3A" w:rsidRDefault="00874F3A" w:rsidP="00AD5893">
      <w:pPr>
        <w:pStyle w:val="SingleTxt"/>
        <w:numPr>
          <w:ilvl w:val="0"/>
          <w:numId w:val="10"/>
        </w:numPr>
        <w:tabs>
          <w:tab w:val="clear" w:pos="475"/>
          <w:tab w:val="num" w:pos="1742"/>
        </w:tabs>
        <w:ind w:left="1267"/>
      </w:pPr>
      <w:r>
        <w:t xml:space="preserve">L’amendement à la </w:t>
      </w:r>
      <w:r w:rsidRPr="00463093">
        <w:rPr>
          <w:u w:val="single"/>
        </w:rPr>
        <w:t>deuxième phrase du paragraphe</w:t>
      </w:r>
      <w:r w:rsidRPr="00463093">
        <w:rPr>
          <w:snapToGrid w:val="0"/>
          <w:u w:val="single"/>
        </w:rPr>
        <w:t xml:space="preserve"> </w:t>
      </w:r>
      <w:r>
        <w:rPr>
          <w:snapToGrid w:val="0"/>
          <w:u w:val="single"/>
        </w:rPr>
        <w:t>1.1.3.2 a)</w:t>
      </w:r>
      <w:r>
        <w:t xml:space="preserve"> est proposé par analogie avec la deuxième phrase du </w:t>
      </w:r>
      <w:r w:rsidRPr="007B3F96">
        <w:t>paragraphe 1.1.3.3 a) de l</w:t>
      </w:r>
      <w:r>
        <w:t>’</w:t>
      </w:r>
      <w:r w:rsidRPr="007B3F96">
        <w:t>ADR pour le transport de gaz.</w:t>
      </w:r>
      <w:r w:rsidRPr="006E7713">
        <w:t xml:space="preserve"> </w:t>
      </w:r>
      <w:r>
        <w:t xml:space="preserve">Le libellé </w:t>
      </w:r>
      <w:r w:rsidR="00AD5893">
        <w:t>« </w:t>
      </w:r>
      <w:r w:rsidRPr="007B3F96">
        <w:t>qui sont conformes aux disposit</w:t>
      </w:r>
      <w:r w:rsidR="00AD5893">
        <w:t>ions réglementaires appropriées »</w:t>
      </w:r>
      <w:r>
        <w:t xml:space="preserve"> rend superflus tous les renvois aux Règlements de la CEE dans la section 9.2.4 de l’ADR. Seules les dispositions additionnelles spécifiques aux marchandises dangereuse</w:t>
      </w:r>
      <w:r w:rsidR="00D261EC">
        <w:t>s</w:t>
      </w:r>
      <w:r>
        <w:t xml:space="preserve"> qui vont au-delà des Règlements de la CEE doivent être ajoutées dans cette section. Les bouteilles à gaz doivent être conformes aux prescriptions pertinentes énoncées notamment dans la réglementation relative aux marchandises dangereuses.</w:t>
      </w:r>
    </w:p>
    <w:p w:rsidR="00874F3A" w:rsidRDefault="00874F3A" w:rsidP="00AD5893">
      <w:pPr>
        <w:pStyle w:val="SingleTxt"/>
        <w:numPr>
          <w:ilvl w:val="0"/>
          <w:numId w:val="10"/>
        </w:numPr>
        <w:tabs>
          <w:tab w:val="clear" w:pos="475"/>
          <w:tab w:val="num" w:pos="1742"/>
        </w:tabs>
        <w:ind w:left="1267"/>
      </w:pPr>
      <w:r>
        <w:t xml:space="preserve">L’amendement proposé à la </w:t>
      </w:r>
      <w:r w:rsidRPr="001B6B3F">
        <w:rPr>
          <w:u w:val="single"/>
        </w:rPr>
        <w:t>troisième phrase du paragraphe</w:t>
      </w:r>
      <w:r w:rsidR="00AD5893">
        <w:rPr>
          <w:u w:val="single"/>
        </w:rPr>
        <w:t xml:space="preserve"> 1.1.3.2 </w:t>
      </w:r>
      <w:r w:rsidRPr="001B6B3F">
        <w:rPr>
          <w:u w:val="single"/>
        </w:rPr>
        <w:t>a)</w:t>
      </w:r>
      <w:r>
        <w:t>, portant sur les limites de quantité pour les gaz, devrait être examiné. La quantité maximale de remplissage en fonction de l’état de la technique pour les réservoirs à GNL, GNC et GPL devrait être indiquée</w:t>
      </w:r>
      <w:r w:rsidRPr="00614EA9">
        <w:t xml:space="preserve"> </w:t>
      </w:r>
      <w:r>
        <w:t>entre les crochets figurant dans l’amendement.</w:t>
      </w:r>
    </w:p>
    <w:p w:rsidR="00874F3A" w:rsidRPr="002D0267" w:rsidRDefault="00874F3A" w:rsidP="00AD5893">
      <w:pPr>
        <w:pStyle w:val="SingleTxt"/>
        <w:rPr>
          <w:lang w:val="fr-CH"/>
        </w:rPr>
      </w:pPr>
      <w:r>
        <w:t>En tout état de cause</w:t>
      </w:r>
      <w:r w:rsidRPr="00614EA9">
        <w:t xml:space="preserve">, </w:t>
      </w:r>
      <w:r>
        <w:t>le Groupe de travail devrait examiner la question de l’introduction d’une</w:t>
      </w:r>
      <w:r w:rsidRPr="00614EA9">
        <w:t xml:space="preserve"> exemption </w:t>
      </w:r>
      <w:r>
        <w:t xml:space="preserve">pour le transport de carburants gazeux énoncée par analogie avec la troisième phrase du </w:t>
      </w:r>
      <w:r w:rsidRPr="007B3F96">
        <w:t>paragraphe 1.1.3.3 a) de l</w:t>
      </w:r>
      <w:r>
        <w:t>’</w:t>
      </w:r>
      <w:r w:rsidRPr="007B3F96">
        <w:t xml:space="preserve">ADR </w:t>
      </w:r>
      <w:r>
        <w:t>portant sur</w:t>
      </w:r>
      <w:r w:rsidRPr="007B3F96">
        <w:t xml:space="preserve"> le transport de</w:t>
      </w:r>
      <w:r>
        <w:t>s carburants liquides.</w:t>
      </w:r>
    </w:p>
    <w:p w:rsidR="00874F3A" w:rsidRPr="002D0267" w:rsidRDefault="00874F3A" w:rsidP="00AD5893">
      <w:pPr>
        <w:pStyle w:val="SingleTxt"/>
        <w:numPr>
          <w:ilvl w:val="0"/>
          <w:numId w:val="10"/>
        </w:numPr>
        <w:tabs>
          <w:tab w:val="clear" w:pos="475"/>
          <w:tab w:val="num" w:pos="1742"/>
        </w:tabs>
        <w:ind w:left="1267"/>
        <w:rPr>
          <w:lang w:val="fr-CH"/>
        </w:rPr>
      </w:pPr>
      <w:r>
        <w:t>La question de la limite quantitative pour les</w:t>
      </w:r>
      <w:r w:rsidRPr="00624A53">
        <w:t xml:space="preserve"> ga</w:t>
      </w:r>
      <w:r>
        <w:t>z</w:t>
      </w:r>
      <w:r w:rsidRPr="00624A53">
        <w:t xml:space="preserve"> </w:t>
      </w:r>
      <w:r>
        <w:t>devrait être examinée à la lumière des avis scientifiques pertinents formulés</w:t>
      </w:r>
      <w:r w:rsidRPr="00624A53">
        <w:t xml:space="preserve"> </w:t>
      </w:r>
      <w:r>
        <w:t>dans le domaine de</w:t>
      </w:r>
      <w:r w:rsidRPr="00624A53">
        <w:t xml:space="preserve"> </w:t>
      </w:r>
      <w:r>
        <w:t xml:space="preserve">la construction </w:t>
      </w:r>
      <w:r w:rsidRPr="00624A53">
        <w:t>automo</w:t>
      </w:r>
      <w:r>
        <w:t>bile</w:t>
      </w:r>
      <w:r w:rsidRPr="00624A53">
        <w:t xml:space="preserve">. </w:t>
      </w:r>
      <w:r>
        <w:t>Ces avis devraient, si</w:t>
      </w:r>
      <w:r w:rsidRPr="00624A53">
        <w:t xml:space="preserve"> possible, </w:t>
      </w:r>
      <w:r>
        <w:t>reposer sur une évaluation des facteurs additionnels relatifs à la nouvelle phase gazeuse et aux risques qui en découlent dans le transport de marchandises dangereuses.</w:t>
      </w:r>
    </w:p>
    <w:p w:rsidR="00AD5893" w:rsidRPr="002D0267" w:rsidRDefault="00AD5893" w:rsidP="00AD5893">
      <w:pPr>
        <w:pStyle w:val="SingleTxt"/>
        <w:spacing w:after="0" w:line="120" w:lineRule="exact"/>
        <w:rPr>
          <w:sz w:val="10"/>
          <w:lang w:val="fr-CH"/>
        </w:rPr>
      </w:pPr>
    </w:p>
    <w:p w:rsidR="00AD5893" w:rsidRPr="002D0267" w:rsidRDefault="00AD5893" w:rsidP="00AD5893">
      <w:pPr>
        <w:pStyle w:val="SingleTxt"/>
        <w:spacing w:after="0" w:line="120" w:lineRule="exact"/>
        <w:rPr>
          <w:sz w:val="10"/>
          <w:lang w:val="fr-CH"/>
        </w:rPr>
      </w:pPr>
    </w:p>
    <w:p w:rsidR="00874F3A" w:rsidRDefault="00874F3A" w:rsidP="00AD58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tab/>
      </w:r>
      <w:r>
        <w:tab/>
      </w:r>
      <w:r>
        <w:rPr>
          <w:snapToGrid w:val="0"/>
        </w:rPr>
        <w:t>Proposition 2</w:t>
      </w:r>
    </w:p>
    <w:p w:rsidR="00AD5893" w:rsidRPr="00AD5893" w:rsidRDefault="00AD5893" w:rsidP="00AD5893">
      <w:pPr>
        <w:pStyle w:val="SingleTxt"/>
        <w:spacing w:after="0" w:line="120" w:lineRule="exact"/>
        <w:rPr>
          <w:sz w:val="10"/>
        </w:rPr>
      </w:pPr>
    </w:p>
    <w:p w:rsidR="00AD5893" w:rsidRPr="00AD5893" w:rsidRDefault="00AD5893" w:rsidP="00AD5893">
      <w:pPr>
        <w:pStyle w:val="SingleTxt"/>
        <w:spacing w:after="0" w:line="120" w:lineRule="exact"/>
        <w:rPr>
          <w:sz w:val="10"/>
        </w:rPr>
      </w:pPr>
    </w:p>
    <w:p w:rsidR="00874F3A" w:rsidRDefault="00AD5893" w:rsidP="00AD5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snapToGrid w:val="0"/>
        </w:rPr>
        <w:tab/>
      </w:r>
      <w:r>
        <w:rPr>
          <w:snapToGrid w:val="0"/>
        </w:rPr>
        <w:tab/>
      </w:r>
      <w:r w:rsidR="00874F3A" w:rsidRPr="00614EA9">
        <w:rPr>
          <w:snapToGrid w:val="0"/>
        </w:rPr>
        <w:t xml:space="preserve">9.2.4.3 a), b) </w:t>
      </w:r>
      <w:r w:rsidR="00874F3A">
        <w:rPr>
          <w:snapToGrid w:val="0"/>
        </w:rPr>
        <w:t>et</w:t>
      </w:r>
      <w:r w:rsidR="00874F3A" w:rsidRPr="00614EA9">
        <w:rPr>
          <w:snapToGrid w:val="0"/>
        </w:rPr>
        <w:t xml:space="preserve"> c)</w:t>
      </w:r>
    </w:p>
    <w:p w:rsidR="00AD5893" w:rsidRPr="00AD5893" w:rsidRDefault="00AD5893" w:rsidP="00AD5893">
      <w:pPr>
        <w:pStyle w:val="SingleTxt"/>
        <w:spacing w:after="0" w:line="120" w:lineRule="exact"/>
        <w:rPr>
          <w:sz w:val="10"/>
        </w:rPr>
      </w:pPr>
    </w:p>
    <w:p w:rsidR="00874F3A" w:rsidRDefault="00874F3A" w:rsidP="00AD5893">
      <w:pPr>
        <w:pStyle w:val="SingleTxt"/>
        <w:numPr>
          <w:ilvl w:val="0"/>
          <w:numId w:val="10"/>
        </w:numPr>
        <w:tabs>
          <w:tab w:val="clear" w:pos="475"/>
          <w:tab w:val="num" w:pos="1742"/>
        </w:tabs>
        <w:ind w:left="1267"/>
        <w:rPr>
          <w:snapToGrid w:val="0"/>
        </w:rPr>
      </w:pPr>
      <w:r>
        <w:t>L’amendement au paragraphe</w:t>
      </w:r>
      <w:r w:rsidR="00AD5893">
        <w:t xml:space="preserve"> 9.2.4.3 </w:t>
      </w:r>
      <w:r>
        <w:t>a) clarifie deux questions</w:t>
      </w:r>
      <w:r w:rsidR="00AD5893">
        <w:t> </w:t>
      </w:r>
      <w:r>
        <w:t>:</w:t>
      </w:r>
    </w:p>
    <w:p w:rsidR="00874F3A" w:rsidRPr="00E83A64" w:rsidRDefault="00874F3A" w:rsidP="00AD5893">
      <w:pPr>
        <w:pStyle w:val="Bullet1"/>
        <w:ind w:left="1743" w:hanging="130"/>
        <w:rPr>
          <w:snapToGrid w:val="0"/>
          <w:spacing w:val="2"/>
        </w:rPr>
      </w:pPr>
      <w:r w:rsidRPr="00E83A64">
        <w:rPr>
          <w:spacing w:val="2"/>
        </w:rPr>
        <w:t>Des carburants tant liquides que gazeux peuvent être utilisés. Ceci correspond aux deux exemptions énoncées aux paragraphes</w:t>
      </w:r>
      <w:r w:rsidR="00850379" w:rsidRPr="00E83A64">
        <w:rPr>
          <w:spacing w:val="2"/>
        </w:rPr>
        <w:t xml:space="preserve"> 1.1.3.3 </w:t>
      </w:r>
      <w:r w:rsidRPr="00E83A64">
        <w:rPr>
          <w:spacing w:val="2"/>
        </w:rPr>
        <w:t>a) et</w:t>
      </w:r>
      <w:r w:rsidR="00850379" w:rsidRPr="00E83A64">
        <w:rPr>
          <w:spacing w:val="2"/>
        </w:rPr>
        <w:t xml:space="preserve"> 1.1.3.2 </w:t>
      </w:r>
      <w:r w:rsidRPr="00E83A64">
        <w:rPr>
          <w:spacing w:val="2"/>
        </w:rPr>
        <w:t>a) de l’ADR.</w:t>
      </w:r>
    </w:p>
    <w:p w:rsidR="00874F3A" w:rsidRPr="007C195A" w:rsidRDefault="00874F3A" w:rsidP="00AD5893">
      <w:pPr>
        <w:pStyle w:val="Bullet1"/>
        <w:ind w:left="1743" w:hanging="130"/>
        <w:rPr>
          <w:snapToGrid w:val="0"/>
          <w:spacing w:val="0"/>
        </w:rPr>
      </w:pPr>
      <w:r w:rsidRPr="007C195A">
        <w:rPr>
          <w:spacing w:val="0"/>
        </w:rPr>
        <w:t xml:space="preserve">Cette suggestion avait déjà été formulée par une délégation à la session de mai 2015 du Groupe de travail et il y est précisé que le carburant ne doit pas venir au contact du chargement considéré dans son ensemble ou de parties chaudes du véhicule. </w:t>
      </w:r>
    </w:p>
    <w:p w:rsidR="00874F3A" w:rsidRDefault="00874F3A" w:rsidP="00AD5893">
      <w:pPr>
        <w:pStyle w:val="SingleTxt"/>
        <w:numPr>
          <w:ilvl w:val="0"/>
          <w:numId w:val="10"/>
        </w:numPr>
        <w:tabs>
          <w:tab w:val="clear" w:pos="475"/>
          <w:tab w:val="num" w:pos="1742"/>
        </w:tabs>
        <w:ind w:left="1267"/>
        <w:rPr>
          <w:snapToGrid w:val="0"/>
        </w:rPr>
      </w:pPr>
      <w:r>
        <w:t>La prescription énoncée au paragraphe</w:t>
      </w:r>
      <w:r w:rsidR="00AD5893">
        <w:t xml:space="preserve"> 9.2.4.3 </w:t>
      </w:r>
      <w:r>
        <w:t xml:space="preserve">b), selon laquelle les </w:t>
      </w:r>
      <w:r w:rsidRPr="001D58DB">
        <w:t>réservoirs de carburant pour les combustibles liquides doivent être conformes a</w:t>
      </w:r>
      <w:r w:rsidR="00850379">
        <w:t>ux dispositions du Règlement n</w:t>
      </w:r>
      <w:r w:rsidR="00850379" w:rsidRPr="00850379">
        <w:rPr>
          <w:vertAlign w:val="superscript"/>
        </w:rPr>
        <w:t>o</w:t>
      </w:r>
      <w:r w:rsidR="00850379">
        <w:t> </w:t>
      </w:r>
      <w:r w:rsidRPr="001D58DB">
        <w:t>34 de la CEE</w:t>
      </w:r>
      <w:r>
        <w:t xml:space="preserve">, peut être supprimée parce qu’elle découle logiquement de l’exemption énoncée au paragraphe </w:t>
      </w:r>
      <w:r w:rsidR="00AD5893">
        <w:t>1.1.3.3 </w:t>
      </w:r>
      <w:r w:rsidRPr="00614EA9">
        <w:t xml:space="preserve">a) </w:t>
      </w:r>
      <w:r>
        <w:t>pour les carburants</w:t>
      </w:r>
      <w:r w:rsidRPr="00614EA9">
        <w:t xml:space="preserve"> liquid</w:t>
      </w:r>
      <w:r>
        <w:t>es</w:t>
      </w:r>
      <w:r w:rsidR="00AD5893">
        <w:t> </w:t>
      </w:r>
      <w:r w:rsidRPr="00614EA9">
        <w:t xml:space="preserve">: </w:t>
      </w:r>
      <w:r w:rsidR="00AD5893" w:rsidRPr="00AD5893">
        <w:t>«</w:t>
      </w:r>
      <w:r w:rsidR="00AD5893">
        <w:rPr>
          <w:i/>
        </w:rPr>
        <w:t> </w:t>
      </w:r>
      <w:r w:rsidRPr="00614EA9">
        <w:rPr>
          <w:i/>
        </w:rPr>
        <w:t>…</w:t>
      </w:r>
      <w:r w:rsidRPr="001D58DB">
        <w:rPr>
          <w:i/>
        </w:rPr>
        <w:t>qui sont conformes aux dispositions réglementaires appropriées</w:t>
      </w:r>
      <w:r w:rsidR="00AD5893">
        <w:t> »</w:t>
      </w:r>
      <w:r>
        <w:t>. Par suite du remaniement proposé du paragraphe</w:t>
      </w:r>
      <w:r w:rsidR="00850379">
        <w:t xml:space="preserve"> 1.1.3.2 </w:t>
      </w:r>
      <w:r>
        <w:t xml:space="preserve">a), cette prescription s’applique aux carburants tant liquides que gazeux. Les dispositions réglementaires générales </w:t>
      </w:r>
      <w:r>
        <w:lastRenderedPageBreak/>
        <w:t>relatives à la construction automobile qui s’appliquent au même titre à tous l</w:t>
      </w:r>
      <w:r w:rsidR="00D261EC">
        <w:t>es véhicules ne font pas partie</w:t>
      </w:r>
      <w:r>
        <w:t xml:space="preserve"> de l’</w:t>
      </w:r>
      <w:r w:rsidR="00850379">
        <w:t>ADR.</w:t>
      </w:r>
    </w:p>
    <w:p w:rsidR="00874F3A" w:rsidRDefault="00874F3A" w:rsidP="00850379">
      <w:pPr>
        <w:pStyle w:val="SingleTxt"/>
        <w:numPr>
          <w:ilvl w:val="0"/>
          <w:numId w:val="10"/>
        </w:numPr>
        <w:tabs>
          <w:tab w:val="clear" w:pos="475"/>
          <w:tab w:val="num" w:pos="1742"/>
        </w:tabs>
        <w:ind w:left="1267"/>
        <w:rPr>
          <w:snapToGrid w:val="0"/>
        </w:rPr>
      </w:pPr>
      <w:r>
        <w:t>La prescription selon laquelle les combustibles liquides devraient s’écouler sur le sol énoncée dans l’ADR 2015 et dans des versions antérieures n’a pas été identifiée comme fondamentalement injustifiée. Cependant, il faut préciser que cette prescription n’a de sens qu’à deux conditions</w:t>
      </w:r>
      <w:r w:rsidR="00850379">
        <w:t> </w:t>
      </w:r>
      <w:r>
        <w:t>: premièrement, qu’elle s’applique aux carburants liquides</w:t>
      </w:r>
      <w:r w:rsidR="00E83A64">
        <w:t xml:space="preserve"> –</w:t>
      </w:r>
      <w:r>
        <w:t xml:space="preserve"> ou aux carburants liquéfiés tels que le GPL </w:t>
      </w:r>
      <w:r w:rsidR="00E83A64">
        <w:t>–</w:t>
      </w:r>
      <w:r>
        <w:t xml:space="preserve"> </w:t>
      </w:r>
      <w:r w:rsidR="00850379">
        <w:t>et,</w:t>
      </w:r>
      <w:r>
        <w:t xml:space="preserve"> deuxièmement, que les carburants gazeux ne soient pas exclus de son champ d’application.</w:t>
      </w:r>
    </w:p>
    <w:p w:rsidR="00874F3A" w:rsidRPr="00E83A64" w:rsidRDefault="00874F3A" w:rsidP="00850379">
      <w:pPr>
        <w:pStyle w:val="SingleTxt"/>
        <w:numPr>
          <w:ilvl w:val="0"/>
          <w:numId w:val="10"/>
        </w:numPr>
        <w:tabs>
          <w:tab w:val="clear" w:pos="475"/>
          <w:tab w:val="num" w:pos="1742"/>
        </w:tabs>
        <w:ind w:left="1267"/>
        <w:rPr>
          <w:snapToGrid w:val="0"/>
        </w:rPr>
      </w:pPr>
      <w:r>
        <w:t xml:space="preserve">Le nouveau paragraphe </w:t>
      </w:r>
      <w:r w:rsidR="00850379">
        <w:rPr>
          <w:u w:val="single"/>
        </w:rPr>
        <w:t>9.2.4.3 </w:t>
      </w:r>
      <w:r>
        <w:rPr>
          <w:u w:val="single"/>
        </w:rPr>
        <w:t>c)</w:t>
      </w:r>
      <w:r w:rsidRPr="00D261EC">
        <w:t xml:space="preserve"> </w:t>
      </w:r>
      <w:r>
        <w:t>correspond à la disposition concernant les carburants liquides ou liquéfiés</w:t>
      </w:r>
      <w:r w:rsidRPr="00624A53">
        <w:t xml:space="preserve">. </w:t>
      </w:r>
      <w:r>
        <w:t>Il est conçu pour</w:t>
      </w:r>
      <w:r w:rsidRPr="00624A53">
        <w:t xml:space="preserve"> </w:t>
      </w:r>
      <w:r>
        <w:t>étendre par analogie</w:t>
      </w:r>
      <w:r w:rsidRPr="00624A53">
        <w:t xml:space="preserve"> </w:t>
      </w:r>
      <w:r>
        <w:t>aux gaz les dispositions actuelles qui sont</w:t>
      </w:r>
      <w:r w:rsidRPr="00624A53">
        <w:t xml:space="preserve"> </w:t>
      </w:r>
      <w:r>
        <w:t>applicables aux carburants liquides ou liquéfiés et qui visent à maintenir le carburant éloigné du véhicule et du chargement. Il met aussi l’accent sur la direction des fuites de gaz.</w:t>
      </w:r>
      <w:r w:rsidRPr="00624A53">
        <w:t xml:space="preserve"> </w:t>
      </w:r>
      <w:r>
        <w:t>Les dispositifs de décompression ne doivent pas être susceptibles d’endommager le réservoir.</w:t>
      </w:r>
    </w:p>
    <w:p w:rsidR="00E83A64" w:rsidRPr="00E83A64" w:rsidRDefault="00E83A64" w:rsidP="00E83A64">
      <w:pPr>
        <w:pStyle w:val="SingleTxt"/>
        <w:spacing w:after="0" w:line="120" w:lineRule="exact"/>
        <w:rPr>
          <w:snapToGrid w:val="0"/>
          <w:sz w:val="10"/>
        </w:rPr>
      </w:pPr>
    </w:p>
    <w:p w:rsidR="00E83A64" w:rsidRPr="00E83A64" w:rsidRDefault="00E83A64" w:rsidP="00E83A64">
      <w:pPr>
        <w:pStyle w:val="SingleTxt"/>
        <w:spacing w:after="0" w:line="120" w:lineRule="exact"/>
        <w:rPr>
          <w:snapToGrid w:val="0"/>
          <w:sz w:val="10"/>
        </w:rPr>
      </w:pPr>
    </w:p>
    <w:p w:rsidR="00874F3A" w:rsidRDefault="00874F3A" w:rsidP="00E83A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Proposition 3</w:t>
      </w:r>
    </w:p>
    <w:p w:rsidR="00E83A64" w:rsidRPr="00E83A64" w:rsidRDefault="00E83A64" w:rsidP="00E83A64">
      <w:pPr>
        <w:pStyle w:val="SingleTxt"/>
        <w:spacing w:after="0" w:line="120" w:lineRule="exact"/>
        <w:rPr>
          <w:sz w:val="10"/>
        </w:rPr>
      </w:pPr>
    </w:p>
    <w:p w:rsidR="00E83A64" w:rsidRPr="00E83A64" w:rsidRDefault="00E83A64" w:rsidP="00E83A64">
      <w:pPr>
        <w:pStyle w:val="SingleTxt"/>
        <w:spacing w:after="0" w:line="120" w:lineRule="exact"/>
        <w:rPr>
          <w:sz w:val="10"/>
        </w:rPr>
      </w:pPr>
    </w:p>
    <w:p w:rsidR="00874F3A" w:rsidRDefault="00E83A64" w:rsidP="00E83A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r>
      <w:r w:rsidR="00874F3A" w:rsidRPr="00D300E3">
        <w:rPr>
          <w:snapToGrid w:val="0"/>
        </w:rPr>
        <w:t>9.2.4.4</w:t>
      </w:r>
    </w:p>
    <w:p w:rsidR="00E83A64" w:rsidRPr="00E83A64" w:rsidRDefault="00E83A64" w:rsidP="00E83A64">
      <w:pPr>
        <w:pStyle w:val="SingleTxt"/>
        <w:spacing w:after="0" w:line="120" w:lineRule="exact"/>
        <w:rPr>
          <w:sz w:val="10"/>
        </w:rPr>
      </w:pPr>
    </w:p>
    <w:p w:rsidR="00874F3A" w:rsidRPr="00624A53" w:rsidRDefault="00874F3A" w:rsidP="00E83A64">
      <w:pPr>
        <w:pStyle w:val="SingleTxt"/>
        <w:numPr>
          <w:ilvl w:val="0"/>
          <w:numId w:val="10"/>
        </w:numPr>
        <w:tabs>
          <w:tab w:val="clear" w:pos="475"/>
          <w:tab w:val="num" w:pos="1742"/>
        </w:tabs>
        <w:ind w:left="1267"/>
        <w:rPr>
          <w:snapToGrid w:val="0"/>
        </w:rPr>
      </w:pPr>
      <w:r>
        <w:t>La prescription selon laquelle le réservoir de carburant doit être conforme aux Règlements n</w:t>
      </w:r>
      <w:r w:rsidRPr="003F1C13">
        <w:rPr>
          <w:vertAlign w:val="superscript"/>
        </w:rPr>
        <w:t>os</w:t>
      </w:r>
      <w:r w:rsidR="00E83A64">
        <w:t> </w:t>
      </w:r>
      <w:r>
        <w:t>67 (série 01 d’amendements) ou 110 peut être supprimée</w:t>
      </w:r>
      <w:r w:rsidRPr="00624A53">
        <w:t xml:space="preserve">, </w:t>
      </w:r>
      <w:r>
        <w:t>parce qu’elle découle</w:t>
      </w:r>
      <w:r w:rsidRPr="00624A53">
        <w:t xml:space="preserve"> </w:t>
      </w:r>
      <w:r>
        <w:t>e</w:t>
      </w:r>
      <w:r w:rsidRPr="00624A53">
        <w:t xml:space="preserve">n général </w:t>
      </w:r>
      <w:r>
        <w:t>de la disposition relative à l’</w:t>
      </w:r>
      <w:r w:rsidRPr="00624A53">
        <w:t xml:space="preserve">exemption </w:t>
      </w:r>
      <w:r>
        <w:t>énoncée au paragraphe</w:t>
      </w:r>
      <w:r w:rsidR="00E83A64">
        <w:t xml:space="preserve"> 1.1.3.3 </w:t>
      </w:r>
      <w:r w:rsidRPr="00624A53">
        <w:t xml:space="preserve">a) </w:t>
      </w:r>
      <w:r>
        <w:t>pour les carburants liquides</w:t>
      </w:r>
      <w:r w:rsidRPr="00624A53">
        <w:t xml:space="preserve"> </w:t>
      </w:r>
      <w:r>
        <w:t>et, par analogie,</w:t>
      </w:r>
      <w:r w:rsidRPr="00624A53">
        <w:t xml:space="preserve"> </w:t>
      </w:r>
      <w:r>
        <w:t>du remaniement</w:t>
      </w:r>
      <w:r w:rsidRPr="00624A53">
        <w:t xml:space="preserve"> propos</w:t>
      </w:r>
      <w:r>
        <w:t>é</w:t>
      </w:r>
      <w:r w:rsidRPr="00624A53">
        <w:t xml:space="preserve"> </w:t>
      </w:r>
      <w:r>
        <w:t>de la disposition relative à l’</w:t>
      </w:r>
      <w:r w:rsidRPr="00624A53">
        <w:t xml:space="preserve">exemption </w:t>
      </w:r>
      <w:r>
        <w:t>énoncée au paragraphe</w:t>
      </w:r>
      <w:r w:rsidR="00E83A64">
        <w:t xml:space="preserve"> 1.1.3.2 </w:t>
      </w:r>
      <w:r w:rsidRPr="00624A53">
        <w:t xml:space="preserve">a) </w:t>
      </w:r>
      <w:r>
        <w:t>pour les</w:t>
      </w:r>
      <w:r w:rsidRPr="00624A53">
        <w:t xml:space="preserve"> ga</w:t>
      </w:r>
      <w:r>
        <w:t>z</w:t>
      </w:r>
      <w:r w:rsidRPr="00624A53">
        <w:t xml:space="preserve">. </w:t>
      </w:r>
      <w:r>
        <w:t>Les dispositions réglementaires générales relatives à la construction automobile qui s’appliquent au même titre à tous les véhicules ne font pas partie de l’</w:t>
      </w:r>
      <w:r w:rsidR="00E83A64">
        <w:t>ADR.</w:t>
      </w:r>
    </w:p>
    <w:p w:rsidR="00874F3A" w:rsidRPr="00E83A64" w:rsidRDefault="00874F3A" w:rsidP="00E83A64">
      <w:pPr>
        <w:pStyle w:val="SingleTxt"/>
        <w:numPr>
          <w:ilvl w:val="0"/>
          <w:numId w:val="10"/>
        </w:numPr>
        <w:tabs>
          <w:tab w:val="clear" w:pos="475"/>
          <w:tab w:val="num" w:pos="1742"/>
        </w:tabs>
        <w:ind w:left="1267"/>
        <w:rPr>
          <w:snapToGrid w:val="0"/>
        </w:rPr>
      </w:pPr>
      <w:r>
        <w:t>La dernière phrase du paragraphe</w:t>
      </w:r>
      <w:r w:rsidR="00E83A64">
        <w:t> </w:t>
      </w:r>
      <w:r w:rsidRPr="00624A53">
        <w:t xml:space="preserve">9.2.4.4 </w:t>
      </w:r>
      <w:r>
        <w:t>permet aussi de tenir compte des préoccupations exprimées par la Suède examinées</w:t>
      </w:r>
      <w:r w:rsidRPr="00624A53">
        <w:t xml:space="preserve"> </w:t>
      </w:r>
      <w:r>
        <w:t>dans le document</w:t>
      </w:r>
      <w:r w:rsidRPr="00624A53">
        <w:t xml:space="preserve"> INF.3 </w:t>
      </w:r>
      <w:r>
        <w:t>à la session de mai du</w:t>
      </w:r>
      <w:r w:rsidRPr="00624A53">
        <w:t xml:space="preserve"> WP.</w:t>
      </w:r>
      <w:r>
        <w:t>15.</w:t>
      </w:r>
    </w:p>
    <w:p w:rsidR="00E83A64" w:rsidRPr="00E83A64" w:rsidRDefault="00E83A64" w:rsidP="00E83A64">
      <w:pPr>
        <w:pStyle w:val="SingleTxt"/>
        <w:spacing w:after="0" w:line="120" w:lineRule="exact"/>
        <w:rPr>
          <w:snapToGrid w:val="0"/>
          <w:sz w:val="10"/>
        </w:rPr>
      </w:pPr>
    </w:p>
    <w:p w:rsidR="00E83A64" w:rsidRPr="00E83A64" w:rsidRDefault="00E83A64" w:rsidP="00E83A64">
      <w:pPr>
        <w:pStyle w:val="SingleTxt"/>
        <w:spacing w:after="0" w:line="120" w:lineRule="exact"/>
        <w:rPr>
          <w:snapToGrid w:val="0"/>
          <w:sz w:val="10"/>
        </w:rPr>
      </w:pPr>
    </w:p>
    <w:p w:rsidR="00874F3A" w:rsidRDefault="00874F3A" w:rsidP="00E83A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Proposition 4</w:t>
      </w:r>
    </w:p>
    <w:p w:rsidR="00E83A64" w:rsidRPr="00E83A64" w:rsidRDefault="00E83A64" w:rsidP="00E83A64">
      <w:pPr>
        <w:pStyle w:val="SingleTxt"/>
        <w:spacing w:after="0" w:line="120" w:lineRule="exact"/>
        <w:rPr>
          <w:sz w:val="10"/>
        </w:rPr>
      </w:pPr>
    </w:p>
    <w:p w:rsidR="00E83A64" w:rsidRPr="00E83A64" w:rsidRDefault="00E83A64" w:rsidP="00E83A64">
      <w:pPr>
        <w:pStyle w:val="SingleTxt"/>
        <w:spacing w:after="0" w:line="120" w:lineRule="exact"/>
        <w:rPr>
          <w:sz w:val="10"/>
        </w:rPr>
      </w:pPr>
    </w:p>
    <w:p w:rsidR="00874F3A" w:rsidRDefault="00874F3A" w:rsidP="00E83A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tab/>
      </w:r>
      <w:r w:rsidR="00E83A64">
        <w:tab/>
      </w:r>
      <w:r w:rsidR="00E83A64">
        <w:rPr>
          <w:snapToGrid w:val="0"/>
        </w:rPr>
        <w:t>9.2</w:t>
      </w:r>
      <w:proofErr w:type="gramStart"/>
      <w:r w:rsidR="00E83A64">
        <w:rPr>
          <w:snapToGrid w:val="0"/>
        </w:rPr>
        <w:t>.X</w:t>
      </w:r>
      <w:proofErr w:type="gramEnd"/>
    </w:p>
    <w:p w:rsidR="00E83A64" w:rsidRPr="00E83A64" w:rsidRDefault="00E83A64" w:rsidP="00E83A64">
      <w:pPr>
        <w:pStyle w:val="SingleTxt"/>
        <w:spacing w:after="0" w:line="120" w:lineRule="exact"/>
        <w:rPr>
          <w:sz w:val="10"/>
        </w:rPr>
      </w:pPr>
    </w:p>
    <w:p w:rsidR="00874F3A" w:rsidRPr="00E83A64" w:rsidRDefault="00874F3A" w:rsidP="00E83A64">
      <w:pPr>
        <w:pStyle w:val="SingleTxt"/>
        <w:numPr>
          <w:ilvl w:val="0"/>
          <w:numId w:val="10"/>
        </w:numPr>
        <w:tabs>
          <w:tab w:val="clear" w:pos="475"/>
          <w:tab w:val="num" w:pos="1742"/>
        </w:tabs>
        <w:ind w:left="1267"/>
        <w:rPr>
          <w:snapToGrid w:val="0"/>
        </w:rPr>
      </w:pPr>
      <w:r>
        <w:t>Cet amendement permet de tenir compte du fait que les risques d’incendie dus à l’utilisation du GNL comme carburant sont plus faibles que les risques dus à son état cryogénique à des températures aussi basses que -</w:t>
      </w:r>
      <w:r w:rsidR="00D261EC">
        <w:t>1</w:t>
      </w:r>
      <w:r>
        <w:t>62 </w:t>
      </w:r>
      <w:r w:rsidR="00E83A64">
        <w:t>°C.</w:t>
      </w:r>
    </w:p>
    <w:p w:rsidR="00E83A64" w:rsidRPr="00E83A64" w:rsidRDefault="00E83A64" w:rsidP="00E83A64">
      <w:pPr>
        <w:pStyle w:val="SingleTxt"/>
        <w:spacing w:after="0" w:line="120" w:lineRule="exact"/>
        <w:rPr>
          <w:snapToGrid w:val="0"/>
          <w:sz w:val="10"/>
        </w:rPr>
      </w:pPr>
    </w:p>
    <w:p w:rsidR="00E83A64" w:rsidRPr="00E83A64" w:rsidRDefault="00E83A64" w:rsidP="00E83A64">
      <w:pPr>
        <w:pStyle w:val="SingleTxt"/>
        <w:spacing w:after="0" w:line="120" w:lineRule="exact"/>
        <w:rPr>
          <w:snapToGrid w:val="0"/>
          <w:sz w:val="10"/>
        </w:rPr>
      </w:pPr>
    </w:p>
    <w:p w:rsidR="00874F3A" w:rsidRDefault="00874F3A" w:rsidP="00E83A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t>III.</w:t>
      </w:r>
      <w:r>
        <w:tab/>
        <w:t>J</w:t>
      </w:r>
      <w:r>
        <w:rPr>
          <w:snapToGrid w:val="0"/>
        </w:rPr>
        <w:t>ustification générale</w:t>
      </w:r>
    </w:p>
    <w:p w:rsidR="00E83A64" w:rsidRPr="00E83A64" w:rsidRDefault="00E83A64" w:rsidP="00E83A64">
      <w:pPr>
        <w:pStyle w:val="SingleTxt"/>
        <w:spacing w:after="0" w:line="120" w:lineRule="exact"/>
        <w:rPr>
          <w:sz w:val="10"/>
        </w:rPr>
      </w:pPr>
    </w:p>
    <w:p w:rsidR="00E83A64" w:rsidRPr="00E83A64" w:rsidRDefault="00E83A64" w:rsidP="00E83A64">
      <w:pPr>
        <w:pStyle w:val="SingleTxt"/>
        <w:spacing w:after="0" w:line="120" w:lineRule="exact"/>
        <w:rPr>
          <w:sz w:val="10"/>
        </w:rPr>
      </w:pPr>
    </w:p>
    <w:p w:rsidR="00874F3A" w:rsidRPr="005E2440" w:rsidRDefault="00874F3A" w:rsidP="00E83A64">
      <w:pPr>
        <w:pStyle w:val="SingleTxt"/>
        <w:tabs>
          <w:tab w:val="clear" w:pos="2218"/>
          <w:tab w:val="clear" w:pos="2693"/>
          <w:tab w:val="clear" w:pos="3182"/>
          <w:tab w:val="left" w:pos="3258"/>
        </w:tabs>
        <w:ind w:left="3240" w:hanging="1973"/>
        <w:rPr>
          <w:snapToGrid w:val="0"/>
        </w:rPr>
      </w:pPr>
      <w:r>
        <w:t>Sécurité</w:t>
      </w:r>
      <w:r w:rsidR="00E83A64">
        <w:t> </w:t>
      </w:r>
      <w:r>
        <w:t>:</w:t>
      </w:r>
      <w:r>
        <w:tab/>
        <w:t>Voir ci</w:t>
      </w:r>
      <w:r>
        <w:noBreakHyphen/>
        <w:t xml:space="preserve">dessus. L’harmonisation des prescriptions de sécurité pour les carburants gazeux et liquides des poids </w:t>
      </w:r>
      <w:r w:rsidRPr="002D0267">
        <w:rPr>
          <w:rFonts w:eastAsia="Times New Roman"/>
          <w:lang w:val="fr-CH"/>
        </w:rPr>
        <w:t>lourds</w:t>
      </w:r>
      <w:r>
        <w:t xml:space="preserve"> transportant des marchandises dangereuses garantira des conditions de sécurité suffisantes pour justifier l’utilisation du GNL, du GNC et du GPL. </w:t>
      </w:r>
    </w:p>
    <w:p w:rsidR="00874F3A" w:rsidRPr="005E2440" w:rsidRDefault="00874F3A" w:rsidP="00E83A64">
      <w:pPr>
        <w:pStyle w:val="SingleTxt"/>
        <w:tabs>
          <w:tab w:val="clear" w:pos="2218"/>
          <w:tab w:val="clear" w:pos="2693"/>
          <w:tab w:val="clear" w:pos="3182"/>
          <w:tab w:val="left" w:pos="3240"/>
        </w:tabs>
        <w:ind w:left="3240" w:hanging="1973"/>
        <w:rPr>
          <w:snapToGrid w:val="0"/>
        </w:rPr>
      </w:pPr>
      <w:r>
        <w:t>Faisabilité</w:t>
      </w:r>
      <w:r w:rsidR="00E83A64">
        <w:t> </w:t>
      </w:r>
      <w:r>
        <w:t>:</w:t>
      </w:r>
      <w:r>
        <w:tab/>
        <w:t xml:space="preserve">Les transporteurs et les </w:t>
      </w:r>
      <w:r w:rsidRPr="00D93A0B">
        <w:t>constructeurs de poids lourds</w:t>
      </w:r>
      <w:r>
        <w:t xml:space="preserve"> pourront avoir des véhicules transportant des marchandises dangereuses propulsés au moyen de carburants</w:t>
      </w:r>
      <w:r w:rsidRPr="00D93A0B">
        <w:t xml:space="preserve"> </w:t>
      </w:r>
      <w:r>
        <w:t>gazeux et/ou liquides.</w:t>
      </w:r>
    </w:p>
    <w:p w:rsidR="00874F3A" w:rsidRDefault="00874F3A" w:rsidP="00E83A64">
      <w:pPr>
        <w:pStyle w:val="SingleTxt"/>
        <w:tabs>
          <w:tab w:val="clear" w:pos="2218"/>
          <w:tab w:val="clear" w:pos="2693"/>
          <w:tab w:val="clear" w:pos="3182"/>
          <w:tab w:val="left" w:pos="3258"/>
        </w:tabs>
        <w:ind w:left="3240" w:hanging="1973"/>
      </w:pPr>
      <w:r>
        <w:t>Application réelle</w:t>
      </w:r>
      <w:r w:rsidR="00E83A64">
        <w:t> </w:t>
      </w:r>
      <w:r>
        <w:t>:</w:t>
      </w:r>
      <w:r>
        <w:tab/>
        <w:t>Non spécifique</w:t>
      </w:r>
    </w:p>
    <w:p w:rsidR="00E83A64" w:rsidRPr="00E83A64" w:rsidRDefault="00E83A64" w:rsidP="00E83A6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83A64" w:rsidRPr="00E83A64" w:rsidSect="00247E18">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EF" w:rsidRDefault="005836EF" w:rsidP="00F3330B">
      <w:pPr>
        <w:spacing w:line="240" w:lineRule="auto"/>
      </w:pPr>
      <w:r>
        <w:separator/>
      </w:r>
    </w:p>
  </w:endnote>
  <w:endnote w:type="continuationSeparator" w:id="0">
    <w:p w:rsidR="005836EF" w:rsidRDefault="005836E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47E18" w:rsidTr="00247E18">
      <w:trPr>
        <w:jc w:val="center"/>
      </w:trPr>
      <w:tc>
        <w:tcPr>
          <w:tcW w:w="5126" w:type="dxa"/>
          <w:shd w:val="clear" w:color="auto" w:fill="auto"/>
        </w:tcPr>
        <w:p w:rsidR="00247E18" w:rsidRPr="00247E18" w:rsidRDefault="00247E18" w:rsidP="00247E1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5A17">
            <w:rPr>
              <w:b w:val="0"/>
              <w:w w:val="103"/>
              <w:sz w:val="14"/>
            </w:rPr>
            <w:t>GE.15-14568</w:t>
          </w:r>
          <w:r>
            <w:rPr>
              <w:b w:val="0"/>
              <w:w w:val="103"/>
              <w:sz w:val="14"/>
            </w:rPr>
            <w:fldChar w:fldCharType="end"/>
          </w:r>
        </w:p>
      </w:tc>
      <w:tc>
        <w:tcPr>
          <w:tcW w:w="5127" w:type="dxa"/>
          <w:shd w:val="clear" w:color="auto" w:fill="auto"/>
        </w:tcPr>
        <w:p w:rsidR="00247E18" w:rsidRPr="00247E18" w:rsidRDefault="00247E18" w:rsidP="00247E18">
          <w:pPr>
            <w:pStyle w:val="Footer"/>
            <w:rPr>
              <w:w w:val="103"/>
            </w:rPr>
          </w:pPr>
          <w:r>
            <w:rPr>
              <w:w w:val="103"/>
            </w:rPr>
            <w:fldChar w:fldCharType="begin"/>
          </w:r>
          <w:r>
            <w:rPr>
              <w:w w:val="103"/>
            </w:rPr>
            <w:instrText xml:space="preserve"> PAGE  \* Arabic  \* MERGEFORMAT </w:instrText>
          </w:r>
          <w:r>
            <w:rPr>
              <w:w w:val="103"/>
            </w:rPr>
            <w:fldChar w:fldCharType="separate"/>
          </w:r>
          <w:r w:rsidR="00975A17">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5A17">
            <w:rPr>
              <w:noProof/>
              <w:w w:val="103"/>
            </w:rPr>
            <w:t>7</w:t>
          </w:r>
          <w:r>
            <w:rPr>
              <w:w w:val="103"/>
            </w:rPr>
            <w:fldChar w:fldCharType="end"/>
          </w:r>
        </w:p>
      </w:tc>
    </w:tr>
  </w:tbl>
  <w:p w:rsidR="00247E18" w:rsidRPr="00247E18" w:rsidRDefault="00247E18" w:rsidP="00247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47E18" w:rsidTr="00247E18">
      <w:trPr>
        <w:jc w:val="center"/>
      </w:trPr>
      <w:tc>
        <w:tcPr>
          <w:tcW w:w="5126" w:type="dxa"/>
          <w:shd w:val="clear" w:color="auto" w:fill="auto"/>
        </w:tcPr>
        <w:p w:rsidR="00247E18" w:rsidRPr="00247E18" w:rsidRDefault="00247E18" w:rsidP="00247E1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5A17">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5A17">
            <w:rPr>
              <w:noProof/>
              <w:w w:val="103"/>
            </w:rPr>
            <w:t>7</w:t>
          </w:r>
          <w:r>
            <w:rPr>
              <w:w w:val="103"/>
            </w:rPr>
            <w:fldChar w:fldCharType="end"/>
          </w:r>
        </w:p>
      </w:tc>
      <w:tc>
        <w:tcPr>
          <w:tcW w:w="5127" w:type="dxa"/>
          <w:shd w:val="clear" w:color="auto" w:fill="auto"/>
        </w:tcPr>
        <w:p w:rsidR="00247E18" w:rsidRPr="00247E18" w:rsidRDefault="00247E18" w:rsidP="00247E1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5A17">
            <w:rPr>
              <w:b w:val="0"/>
              <w:w w:val="103"/>
              <w:sz w:val="14"/>
            </w:rPr>
            <w:t>GE.15-14568</w:t>
          </w:r>
          <w:r>
            <w:rPr>
              <w:b w:val="0"/>
              <w:w w:val="103"/>
              <w:sz w:val="14"/>
            </w:rPr>
            <w:fldChar w:fldCharType="end"/>
          </w:r>
        </w:p>
      </w:tc>
    </w:tr>
  </w:tbl>
  <w:p w:rsidR="00247E18" w:rsidRPr="00247E18" w:rsidRDefault="00247E18" w:rsidP="00247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18" w:rsidRDefault="00247E18">
    <w:pPr>
      <w:pStyle w:val="Footer"/>
    </w:pPr>
    <w:r>
      <w:rPr>
        <w:noProof/>
        <w:lang w:val="en-GB" w:eastAsia="en-GB"/>
      </w:rPr>
      <w:drawing>
        <wp:anchor distT="0" distB="0" distL="114300" distR="114300" simplePos="0" relativeHeight="251658240" behindDoc="0" locked="0" layoutInCell="1" allowOverlap="1" wp14:anchorId="60691684" wp14:editId="3A91A0C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47E18" w:rsidTr="00247E18">
      <w:tc>
        <w:tcPr>
          <w:tcW w:w="3859" w:type="dxa"/>
        </w:tcPr>
        <w:p w:rsidR="00247E18" w:rsidRDefault="00247E18" w:rsidP="00247E1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75A17">
            <w:rPr>
              <w:b w:val="0"/>
              <w:sz w:val="20"/>
            </w:rPr>
            <w:t>GE.15-14568 (F)</w:t>
          </w:r>
          <w:r>
            <w:rPr>
              <w:b w:val="0"/>
              <w:sz w:val="20"/>
            </w:rPr>
            <w:fldChar w:fldCharType="end"/>
          </w:r>
          <w:r w:rsidR="00FC26FD">
            <w:rPr>
              <w:b w:val="0"/>
              <w:sz w:val="20"/>
            </w:rPr>
            <w:t xml:space="preserve">    23</w:t>
          </w:r>
          <w:r>
            <w:rPr>
              <w:b w:val="0"/>
              <w:sz w:val="20"/>
            </w:rPr>
            <w:t>1015    271015</w:t>
          </w:r>
        </w:p>
        <w:p w:rsidR="00247E18" w:rsidRPr="00247E18" w:rsidRDefault="00247E18" w:rsidP="00247E1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75A17">
            <w:rPr>
              <w:rFonts w:ascii="Barcode 3 of 9 by request" w:hAnsi="Barcode 3 of 9 by request"/>
              <w:b w:val="0"/>
              <w:spacing w:val="0"/>
              <w:w w:val="100"/>
              <w:sz w:val="24"/>
            </w:rPr>
            <w:t>*1514568*</w:t>
          </w:r>
          <w:r>
            <w:rPr>
              <w:rFonts w:ascii="Barcode 3 of 9 by request" w:hAnsi="Barcode 3 of 9 by request"/>
              <w:b w:val="0"/>
              <w:spacing w:val="0"/>
              <w:w w:val="100"/>
              <w:sz w:val="24"/>
            </w:rPr>
            <w:fldChar w:fldCharType="end"/>
          </w:r>
        </w:p>
      </w:tc>
      <w:tc>
        <w:tcPr>
          <w:tcW w:w="5127" w:type="dxa"/>
        </w:tcPr>
        <w:p w:rsidR="00247E18" w:rsidRDefault="00247E18" w:rsidP="00247E18">
          <w:pPr>
            <w:pStyle w:val="Footer"/>
            <w:spacing w:line="240" w:lineRule="atLeast"/>
            <w:jc w:val="right"/>
            <w:rPr>
              <w:b w:val="0"/>
              <w:sz w:val="20"/>
            </w:rPr>
          </w:pPr>
          <w:r>
            <w:rPr>
              <w:b w:val="0"/>
              <w:noProof/>
              <w:sz w:val="20"/>
              <w:lang w:val="en-GB" w:eastAsia="en-GB"/>
            </w:rPr>
            <w:drawing>
              <wp:inline distT="0" distB="0" distL="0" distR="0" wp14:anchorId="7FD15EBC" wp14:editId="1E2C42D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47E18" w:rsidRPr="00247E18" w:rsidRDefault="00247E18" w:rsidP="00247E1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EF" w:rsidRPr="00D261EC" w:rsidRDefault="00D261EC" w:rsidP="00D261EC">
      <w:pPr>
        <w:pStyle w:val="Footer"/>
        <w:spacing w:after="80"/>
        <w:ind w:left="792"/>
        <w:rPr>
          <w:sz w:val="16"/>
        </w:rPr>
      </w:pPr>
      <w:r w:rsidRPr="00D261EC">
        <w:rPr>
          <w:sz w:val="16"/>
        </w:rPr>
        <w:t>__________________</w:t>
      </w:r>
    </w:p>
  </w:footnote>
  <w:footnote w:type="continuationSeparator" w:id="0">
    <w:p w:rsidR="005836EF" w:rsidRPr="00D261EC" w:rsidRDefault="00D261EC" w:rsidP="00D261EC">
      <w:pPr>
        <w:pStyle w:val="Footer"/>
        <w:spacing w:after="80"/>
        <w:ind w:left="792"/>
        <w:rPr>
          <w:sz w:val="16"/>
        </w:rPr>
      </w:pPr>
      <w:r w:rsidRPr="00D261EC">
        <w:rPr>
          <w:sz w:val="16"/>
        </w:rPr>
        <w:t>__________________</w:t>
      </w:r>
    </w:p>
  </w:footnote>
  <w:footnote w:id="1">
    <w:p w:rsidR="00FC26FD" w:rsidRPr="00FC26FD" w:rsidRDefault="00FC26FD" w:rsidP="00D261EC">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692165">
        <w:t>Conformément au programme de travail du Comité des transports intérieurs pour la période 2014</w:t>
      </w:r>
      <w:r>
        <w:noBreakHyphen/>
      </w:r>
      <w:r w:rsidRPr="00692165">
        <w:t>2015 (ECE/TRANS/240, par. 100, EC</w:t>
      </w:r>
      <w:r>
        <w:t>E/TRANS/2014/23, module 9, par. </w:t>
      </w:r>
      <w:r w:rsidRPr="00692165">
        <w:t>9.1).</w:t>
      </w:r>
    </w:p>
  </w:footnote>
  <w:footnote w:id="2">
    <w:p w:rsidR="00874F3A" w:rsidRPr="00874F3A" w:rsidRDefault="00874F3A" w:rsidP="00D261EC">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0D3B8A">
        <w:t xml:space="preserve">Forum </w:t>
      </w:r>
      <w:r>
        <w:t>i</w:t>
      </w:r>
      <w:r w:rsidRPr="000D3B8A">
        <w:t xml:space="preserve">nternational </w:t>
      </w:r>
      <w:r>
        <w:t>des t</w:t>
      </w:r>
      <w:r w:rsidRPr="000D3B8A">
        <w:t>ransport</w:t>
      </w:r>
      <w:r>
        <w:t>s, Perspectives des t</w:t>
      </w:r>
      <w:r w:rsidRPr="000D3B8A">
        <w:t>ransport</w:t>
      </w:r>
      <w:r>
        <w:t>s</w:t>
      </w:r>
      <w:r w:rsidRPr="000D3B8A">
        <w:t xml:space="preserve"> – </w:t>
      </w:r>
      <w:r w:rsidR="00D261EC">
        <w:t>Répondre aux besoins de</w:t>
      </w:r>
      <w:r w:rsidRPr="000D3B8A">
        <w:t xml:space="preserve"> 9 </w:t>
      </w:r>
      <w:r>
        <w:t>milliards de personnes</w:t>
      </w:r>
      <w:r w:rsidRPr="000D3B8A">
        <w:t>.</w:t>
      </w:r>
      <w: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47E18" w:rsidTr="00247E18">
      <w:trPr>
        <w:trHeight w:hRule="exact" w:val="864"/>
        <w:jc w:val="center"/>
      </w:trPr>
      <w:tc>
        <w:tcPr>
          <w:tcW w:w="4882" w:type="dxa"/>
          <w:shd w:val="clear" w:color="auto" w:fill="auto"/>
          <w:vAlign w:val="bottom"/>
        </w:tcPr>
        <w:p w:rsidR="00247E18" w:rsidRPr="00247E18" w:rsidRDefault="00247E18" w:rsidP="00247E1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A17">
            <w:rPr>
              <w:b/>
              <w:color w:val="000000"/>
            </w:rPr>
            <w:t>ECE/TRANS/WP.15/2015/17</w:t>
          </w:r>
          <w:r>
            <w:rPr>
              <w:b/>
              <w:color w:val="000000"/>
            </w:rPr>
            <w:fldChar w:fldCharType="end"/>
          </w:r>
        </w:p>
      </w:tc>
      <w:tc>
        <w:tcPr>
          <w:tcW w:w="5127" w:type="dxa"/>
          <w:shd w:val="clear" w:color="auto" w:fill="auto"/>
          <w:vAlign w:val="bottom"/>
        </w:tcPr>
        <w:p w:rsidR="00247E18" w:rsidRDefault="00247E18" w:rsidP="00247E18">
          <w:pPr>
            <w:pStyle w:val="Header"/>
          </w:pPr>
        </w:p>
      </w:tc>
    </w:tr>
  </w:tbl>
  <w:p w:rsidR="00247E18" w:rsidRPr="00247E18" w:rsidRDefault="00247E18" w:rsidP="00247E1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47E18" w:rsidTr="00247E18">
      <w:trPr>
        <w:trHeight w:hRule="exact" w:val="864"/>
        <w:jc w:val="center"/>
      </w:trPr>
      <w:tc>
        <w:tcPr>
          <w:tcW w:w="4882" w:type="dxa"/>
          <w:shd w:val="clear" w:color="auto" w:fill="auto"/>
          <w:vAlign w:val="bottom"/>
        </w:tcPr>
        <w:p w:rsidR="00247E18" w:rsidRDefault="00247E18" w:rsidP="00247E18">
          <w:pPr>
            <w:pStyle w:val="Header"/>
          </w:pPr>
        </w:p>
      </w:tc>
      <w:tc>
        <w:tcPr>
          <w:tcW w:w="5127" w:type="dxa"/>
          <w:shd w:val="clear" w:color="auto" w:fill="auto"/>
          <w:vAlign w:val="bottom"/>
        </w:tcPr>
        <w:p w:rsidR="00247E18" w:rsidRPr="00247E18" w:rsidRDefault="00247E18" w:rsidP="00247E1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5A17">
            <w:rPr>
              <w:b/>
              <w:color w:val="000000"/>
            </w:rPr>
            <w:t>ECE/TRANS/WP.15/2015/17</w:t>
          </w:r>
          <w:r>
            <w:rPr>
              <w:b/>
              <w:color w:val="000000"/>
            </w:rPr>
            <w:fldChar w:fldCharType="end"/>
          </w:r>
        </w:p>
      </w:tc>
    </w:tr>
  </w:tbl>
  <w:p w:rsidR="00247E18" w:rsidRPr="00247E18" w:rsidRDefault="00247E18" w:rsidP="00247E1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47E18" w:rsidTr="00247E18">
      <w:trPr>
        <w:trHeight w:hRule="exact" w:val="864"/>
      </w:trPr>
      <w:tc>
        <w:tcPr>
          <w:tcW w:w="1267" w:type="dxa"/>
          <w:tcBorders>
            <w:bottom w:val="single" w:sz="4" w:space="0" w:color="auto"/>
          </w:tcBorders>
          <w:shd w:val="clear" w:color="auto" w:fill="auto"/>
          <w:vAlign w:val="bottom"/>
        </w:tcPr>
        <w:p w:rsidR="00247E18" w:rsidRDefault="00247E18" w:rsidP="00247E18">
          <w:pPr>
            <w:pStyle w:val="Header"/>
            <w:spacing w:after="120"/>
          </w:pPr>
        </w:p>
      </w:tc>
      <w:tc>
        <w:tcPr>
          <w:tcW w:w="2059" w:type="dxa"/>
          <w:tcBorders>
            <w:bottom w:val="single" w:sz="4" w:space="0" w:color="auto"/>
          </w:tcBorders>
          <w:shd w:val="clear" w:color="auto" w:fill="auto"/>
          <w:vAlign w:val="bottom"/>
        </w:tcPr>
        <w:p w:rsidR="00247E18" w:rsidRPr="00247E18" w:rsidRDefault="00247E18" w:rsidP="00247E1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47E18" w:rsidRDefault="00247E18" w:rsidP="00247E18">
          <w:pPr>
            <w:pStyle w:val="Header"/>
            <w:spacing w:after="120"/>
          </w:pPr>
        </w:p>
      </w:tc>
      <w:tc>
        <w:tcPr>
          <w:tcW w:w="6653" w:type="dxa"/>
          <w:gridSpan w:val="4"/>
          <w:tcBorders>
            <w:bottom w:val="single" w:sz="4" w:space="0" w:color="auto"/>
          </w:tcBorders>
          <w:shd w:val="clear" w:color="auto" w:fill="auto"/>
          <w:vAlign w:val="bottom"/>
        </w:tcPr>
        <w:p w:rsidR="00247E18" w:rsidRPr="00247E18" w:rsidRDefault="00247E18" w:rsidP="00247E18">
          <w:pPr>
            <w:spacing w:after="80" w:line="240" w:lineRule="auto"/>
            <w:jc w:val="right"/>
            <w:rPr>
              <w:position w:val="-4"/>
            </w:rPr>
          </w:pPr>
          <w:r>
            <w:rPr>
              <w:position w:val="-4"/>
              <w:sz w:val="40"/>
            </w:rPr>
            <w:t>ECE</w:t>
          </w:r>
          <w:r>
            <w:rPr>
              <w:position w:val="-4"/>
            </w:rPr>
            <w:t>/TRANS/WP.15/2015/17</w:t>
          </w:r>
        </w:p>
      </w:tc>
    </w:tr>
    <w:tr w:rsidR="00247E18" w:rsidRPr="00247E18" w:rsidTr="00247E18">
      <w:trPr>
        <w:gridAfter w:val="1"/>
        <w:wAfter w:w="18" w:type="dxa"/>
        <w:trHeight w:hRule="exact" w:val="2880"/>
      </w:trPr>
      <w:tc>
        <w:tcPr>
          <w:tcW w:w="1267" w:type="dxa"/>
          <w:tcBorders>
            <w:top w:val="single" w:sz="4" w:space="0" w:color="auto"/>
            <w:bottom w:val="single" w:sz="12" w:space="0" w:color="auto"/>
          </w:tcBorders>
          <w:shd w:val="clear" w:color="auto" w:fill="auto"/>
        </w:tcPr>
        <w:p w:rsidR="00247E18" w:rsidRPr="00247E18" w:rsidRDefault="00247E18" w:rsidP="00247E18">
          <w:pPr>
            <w:pStyle w:val="Header"/>
            <w:spacing w:before="120" w:line="240" w:lineRule="auto"/>
            <w:ind w:left="-72"/>
            <w:jc w:val="center"/>
          </w:pPr>
          <w:r>
            <w:t xml:space="preserve">  </w:t>
          </w:r>
          <w:r>
            <w:rPr>
              <w:noProof/>
              <w:lang w:val="en-GB" w:eastAsia="en-GB"/>
            </w:rPr>
            <w:drawing>
              <wp:inline distT="0" distB="0" distL="0" distR="0" wp14:anchorId="6715141B" wp14:editId="2EB13C7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47E18" w:rsidRPr="00247E18" w:rsidRDefault="00247E18" w:rsidP="00247E1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47E18" w:rsidRPr="00247E18" w:rsidRDefault="00247E18" w:rsidP="00247E18">
          <w:pPr>
            <w:pStyle w:val="Header"/>
            <w:spacing w:before="109"/>
          </w:pPr>
        </w:p>
      </w:tc>
      <w:tc>
        <w:tcPr>
          <w:tcW w:w="3280" w:type="dxa"/>
          <w:tcBorders>
            <w:top w:val="single" w:sz="4" w:space="0" w:color="auto"/>
            <w:bottom w:val="single" w:sz="12" w:space="0" w:color="auto"/>
          </w:tcBorders>
          <w:shd w:val="clear" w:color="auto" w:fill="auto"/>
        </w:tcPr>
        <w:p w:rsidR="00FC26FD" w:rsidRPr="002D0267" w:rsidRDefault="00247E18" w:rsidP="00FC26FD">
          <w:pPr>
            <w:pStyle w:val="Distribution"/>
            <w:rPr>
              <w:lang w:val="fr-CH"/>
            </w:rPr>
          </w:pPr>
          <w:proofErr w:type="spellStart"/>
          <w:r w:rsidRPr="002D0267">
            <w:rPr>
              <w:lang w:val="fr-CH"/>
            </w:rPr>
            <w:t>Distr</w:t>
          </w:r>
          <w:proofErr w:type="spellEnd"/>
          <w:r w:rsidRPr="002D0267">
            <w:rPr>
              <w:lang w:val="fr-CH"/>
            </w:rPr>
            <w:t>. générale</w:t>
          </w:r>
        </w:p>
        <w:p w:rsidR="00247E18" w:rsidRDefault="00FC26FD" w:rsidP="00FC26FD">
          <w:pPr>
            <w:suppressAutoHyphens/>
          </w:pPr>
          <w:r>
            <w:t>28 août</w:t>
          </w:r>
          <w:r w:rsidR="00247E18">
            <w:t xml:space="preserve"> 2015</w:t>
          </w:r>
        </w:p>
        <w:p w:rsidR="00247E18" w:rsidRPr="002D0267" w:rsidRDefault="00247E18" w:rsidP="00247E18">
          <w:pPr>
            <w:rPr>
              <w:lang w:val="fr-CH"/>
            </w:rPr>
          </w:pPr>
          <w:r w:rsidRPr="002D0267">
            <w:rPr>
              <w:lang w:val="fr-CH"/>
            </w:rPr>
            <w:t>Français</w:t>
          </w:r>
        </w:p>
        <w:p w:rsidR="00247E18" w:rsidRPr="002D0267" w:rsidRDefault="00247E18" w:rsidP="00247E18">
          <w:pPr>
            <w:pStyle w:val="Original"/>
            <w:rPr>
              <w:color w:val="000000"/>
              <w:lang w:val="fr-CH"/>
            </w:rPr>
          </w:pPr>
          <w:r w:rsidRPr="002D0267">
            <w:rPr>
              <w:color w:val="000000"/>
              <w:lang w:val="fr-CH"/>
            </w:rPr>
            <w:t>Original : anglais</w:t>
          </w:r>
        </w:p>
      </w:tc>
    </w:tr>
  </w:tbl>
  <w:p w:rsidR="00247E18" w:rsidRPr="002D0267" w:rsidRDefault="00247E18" w:rsidP="00247E1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96351"/>
    <w:multiLevelType w:val="singleLevel"/>
    <w:tmpl w:val="6F187AEC"/>
    <w:lvl w:ilvl="0">
      <w:start w:val="1"/>
      <w:numFmt w:val="decimal"/>
      <w:lvlRestart w:val="0"/>
      <w:lvlText w:val="%1."/>
      <w:lvlJc w:val="left"/>
      <w:pPr>
        <w:tabs>
          <w:tab w:val="num" w:pos="475"/>
        </w:tabs>
        <w:ind w:left="0" w:firstLine="0"/>
      </w:pPr>
      <w:rPr>
        <w:w w:val="100"/>
      </w:rPr>
    </w:lvl>
  </w:abstractNum>
  <w:abstractNum w:abstractNumId="5">
    <w:nsid w:val="2CBC5C70"/>
    <w:multiLevelType w:val="hybridMultilevel"/>
    <w:tmpl w:val="51523086"/>
    <w:lvl w:ilvl="0" w:tplc="CD7CA02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80E48"/>
    <w:multiLevelType w:val="singleLevel"/>
    <w:tmpl w:val="6F187AEC"/>
    <w:lvl w:ilvl="0">
      <w:start w:val="1"/>
      <w:numFmt w:val="decimal"/>
      <w:lvlRestart w:val="0"/>
      <w:lvlText w:val="%1."/>
      <w:lvlJc w:val="left"/>
      <w:pPr>
        <w:tabs>
          <w:tab w:val="num" w:pos="475"/>
        </w:tabs>
        <w:ind w:left="0" w:firstLine="0"/>
      </w:pPr>
      <w:rPr>
        <w:w w:val="100"/>
      </w:rPr>
    </w:lvl>
  </w:abstractNum>
  <w:abstractNum w:abstractNumId="8">
    <w:nsid w:val="65925DC1"/>
    <w:multiLevelType w:val="hybridMultilevel"/>
    <w:tmpl w:val="FAA66F24"/>
    <w:lvl w:ilvl="0" w:tplc="C5C6B2E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9"/>
  </w:num>
  <w:num w:numId="7">
    <w:abstractNumId w:val="8"/>
  </w:num>
  <w:num w:numId="8">
    <w:abstractNumId w:val="7"/>
  </w:num>
  <w:num w:numId="9">
    <w:abstractNumId w:val="5"/>
  </w:num>
  <w:num w:numId="10">
    <w:abstractNumId w:val="4"/>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568*"/>
    <w:docVar w:name="CreationDt" w:val="10/27/2015 1:41: PM"/>
    <w:docVar w:name="DocCategory" w:val="Doc"/>
    <w:docVar w:name="DocType" w:val="Final"/>
    <w:docVar w:name="DutyStation" w:val="Geneva"/>
    <w:docVar w:name="FooterJN" w:val="GE.15-14568"/>
    <w:docVar w:name="jobn" w:val="GE.15-14568 (F)"/>
    <w:docVar w:name="jobnDT" w:val="GE.15-14568 (F)   271015"/>
    <w:docVar w:name="jobnDTDT" w:val="GE.15-14568 (F)   271015   271015"/>
    <w:docVar w:name="JobNo" w:val="GE.1514568F"/>
    <w:docVar w:name="JobNo2" w:val="GE.1519445F"/>
    <w:docVar w:name="LocalDrive" w:val="0"/>
    <w:docVar w:name="OandT" w:val="OKRZESIK"/>
    <w:docVar w:name="PaperSize" w:val="A4"/>
    <w:docVar w:name="sss1" w:val="ECE/TRANS/WP.15/2015/17"/>
    <w:docVar w:name="sss2" w:val="-"/>
    <w:docVar w:name="Symbol1" w:val="ECE/TRANS/WP.15/2015/17"/>
    <w:docVar w:name="Symbol2" w:val="-"/>
  </w:docVars>
  <w:rsids>
    <w:rsidRoot w:val="005836E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0B9D"/>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72A6"/>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7E18"/>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0267"/>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0318"/>
    <w:rsid w:val="00575199"/>
    <w:rsid w:val="005770F6"/>
    <w:rsid w:val="00577899"/>
    <w:rsid w:val="00577BDD"/>
    <w:rsid w:val="005811A3"/>
    <w:rsid w:val="00583566"/>
    <w:rsid w:val="005836EF"/>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E37"/>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46A7"/>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4C73"/>
    <w:rsid w:val="007C0C1F"/>
    <w:rsid w:val="007C195A"/>
    <w:rsid w:val="007C206E"/>
    <w:rsid w:val="007C2936"/>
    <w:rsid w:val="007C662A"/>
    <w:rsid w:val="007C7D7F"/>
    <w:rsid w:val="007D33B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B28"/>
    <w:rsid w:val="00845C9F"/>
    <w:rsid w:val="00846431"/>
    <w:rsid w:val="00850379"/>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4F3A"/>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0A02"/>
    <w:rsid w:val="008E1E88"/>
    <w:rsid w:val="008E4FFA"/>
    <w:rsid w:val="008E5CC1"/>
    <w:rsid w:val="008E6532"/>
    <w:rsid w:val="008E7FF5"/>
    <w:rsid w:val="008F125F"/>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5A17"/>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4A8"/>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6E38"/>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324"/>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5893"/>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6ED1"/>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46AF"/>
    <w:rsid w:val="00D15BBA"/>
    <w:rsid w:val="00D16823"/>
    <w:rsid w:val="00D16F48"/>
    <w:rsid w:val="00D17215"/>
    <w:rsid w:val="00D250AB"/>
    <w:rsid w:val="00D261EC"/>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6650"/>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08B6"/>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64"/>
    <w:rsid w:val="00E83ABA"/>
    <w:rsid w:val="00E83E70"/>
    <w:rsid w:val="00E86286"/>
    <w:rsid w:val="00E878FF"/>
    <w:rsid w:val="00E87BA2"/>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6CD4"/>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1C38"/>
    <w:rsid w:val="00FB3AA4"/>
    <w:rsid w:val="00FB3C35"/>
    <w:rsid w:val="00FB4627"/>
    <w:rsid w:val="00FC0F57"/>
    <w:rsid w:val="00FC1BC9"/>
    <w:rsid w:val="00FC2439"/>
    <w:rsid w:val="00FC26FD"/>
    <w:rsid w:val="00FC4133"/>
    <w:rsid w:val="00FC41DA"/>
    <w:rsid w:val="00FC5C65"/>
    <w:rsid w:val="00FC75B8"/>
    <w:rsid w:val="00FC75D3"/>
    <w:rsid w:val="00FD318F"/>
    <w:rsid w:val="00FD54BE"/>
    <w:rsid w:val="00FD7CD4"/>
    <w:rsid w:val="00FE2498"/>
    <w:rsid w:val="00FE2653"/>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FC26FD"/>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47E18"/>
    <w:rPr>
      <w:sz w:val="16"/>
      <w:szCs w:val="16"/>
    </w:rPr>
  </w:style>
  <w:style w:type="paragraph" w:styleId="CommentText">
    <w:name w:val="annotation text"/>
    <w:basedOn w:val="Normal"/>
    <w:link w:val="CommentTextChar"/>
    <w:uiPriority w:val="99"/>
    <w:semiHidden/>
    <w:unhideWhenUsed/>
    <w:rsid w:val="00247E18"/>
    <w:pPr>
      <w:spacing w:line="240" w:lineRule="auto"/>
    </w:pPr>
    <w:rPr>
      <w:szCs w:val="20"/>
    </w:rPr>
  </w:style>
  <w:style w:type="character" w:customStyle="1" w:styleId="CommentTextChar">
    <w:name w:val="Comment Text Char"/>
    <w:basedOn w:val="DefaultParagraphFont"/>
    <w:link w:val="CommentText"/>
    <w:uiPriority w:val="99"/>
    <w:semiHidden/>
    <w:rsid w:val="00247E1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47E18"/>
    <w:rPr>
      <w:b/>
      <w:bCs/>
    </w:rPr>
  </w:style>
  <w:style w:type="character" w:customStyle="1" w:styleId="CommentSubjectChar">
    <w:name w:val="Comment Subject Char"/>
    <w:basedOn w:val="CommentTextChar"/>
    <w:link w:val="CommentSubject"/>
    <w:uiPriority w:val="99"/>
    <w:semiHidden/>
    <w:rsid w:val="00247E18"/>
    <w:rPr>
      <w:rFonts w:ascii="Times New Roman" w:hAnsi="Times New Roman"/>
      <w:b/>
      <w:bCs/>
      <w:spacing w:val="4"/>
      <w:w w:val="103"/>
      <w:kern w:val="14"/>
      <w:lang w:val="fr-CA"/>
    </w:rPr>
  </w:style>
  <w:style w:type="paragraph" w:customStyle="1" w:styleId="HChG">
    <w:name w:val="_ H _Ch_G"/>
    <w:basedOn w:val="Normal"/>
    <w:next w:val="Normal"/>
    <w:qFormat/>
    <w:rsid w:val="00FE265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FC26F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FC26FD"/>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FC26FD"/>
    <w:rPr>
      <w:rFonts w:ascii="Times New Roman" w:eastAsia="Calibri" w:hAnsi="Times New Roman"/>
      <w:sz w:val="24"/>
      <w:lang w:val="fr-CH"/>
    </w:rPr>
  </w:style>
  <w:style w:type="character" w:styleId="Hyperlink">
    <w:name w:val="Hyperlink"/>
    <w:semiHidden/>
    <w:rsid w:val="00874F3A"/>
    <w:rPr>
      <w:color w:val="auto"/>
      <w:u w:val="none"/>
    </w:rPr>
  </w:style>
  <w:style w:type="paragraph" w:customStyle="1" w:styleId="H1G">
    <w:name w:val="_ H_1_G"/>
    <w:basedOn w:val="Normal"/>
    <w:next w:val="Normal"/>
    <w:qFormat/>
    <w:rsid w:val="00874F3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FC26FD"/>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47E18"/>
    <w:rPr>
      <w:sz w:val="16"/>
      <w:szCs w:val="16"/>
    </w:rPr>
  </w:style>
  <w:style w:type="paragraph" w:styleId="CommentText">
    <w:name w:val="annotation text"/>
    <w:basedOn w:val="Normal"/>
    <w:link w:val="CommentTextChar"/>
    <w:uiPriority w:val="99"/>
    <w:semiHidden/>
    <w:unhideWhenUsed/>
    <w:rsid w:val="00247E18"/>
    <w:pPr>
      <w:spacing w:line="240" w:lineRule="auto"/>
    </w:pPr>
    <w:rPr>
      <w:szCs w:val="20"/>
    </w:rPr>
  </w:style>
  <w:style w:type="character" w:customStyle="1" w:styleId="CommentTextChar">
    <w:name w:val="Comment Text Char"/>
    <w:basedOn w:val="DefaultParagraphFont"/>
    <w:link w:val="CommentText"/>
    <w:uiPriority w:val="99"/>
    <w:semiHidden/>
    <w:rsid w:val="00247E1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47E18"/>
    <w:rPr>
      <w:b/>
      <w:bCs/>
    </w:rPr>
  </w:style>
  <w:style w:type="character" w:customStyle="1" w:styleId="CommentSubjectChar">
    <w:name w:val="Comment Subject Char"/>
    <w:basedOn w:val="CommentTextChar"/>
    <w:link w:val="CommentSubject"/>
    <w:uiPriority w:val="99"/>
    <w:semiHidden/>
    <w:rsid w:val="00247E18"/>
    <w:rPr>
      <w:rFonts w:ascii="Times New Roman" w:hAnsi="Times New Roman"/>
      <w:b/>
      <w:bCs/>
      <w:spacing w:val="4"/>
      <w:w w:val="103"/>
      <w:kern w:val="14"/>
      <w:lang w:val="fr-CA"/>
    </w:rPr>
  </w:style>
  <w:style w:type="paragraph" w:customStyle="1" w:styleId="HChG">
    <w:name w:val="_ H _Ch_G"/>
    <w:basedOn w:val="Normal"/>
    <w:next w:val="Normal"/>
    <w:qFormat/>
    <w:rsid w:val="00FE265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FC26F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FC26FD"/>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FC26FD"/>
    <w:rPr>
      <w:rFonts w:ascii="Times New Roman" w:eastAsia="Calibri" w:hAnsi="Times New Roman"/>
      <w:sz w:val="24"/>
      <w:lang w:val="fr-CH"/>
    </w:rPr>
  </w:style>
  <w:style w:type="character" w:styleId="Hyperlink">
    <w:name w:val="Hyperlink"/>
    <w:semiHidden/>
    <w:rsid w:val="00874F3A"/>
    <w:rPr>
      <w:color w:val="auto"/>
      <w:u w:val="none"/>
    </w:rPr>
  </w:style>
  <w:style w:type="paragraph" w:customStyle="1" w:styleId="H1G">
    <w:name w:val="_ H_1_G"/>
    <w:basedOn w:val="Normal"/>
    <w:next w:val="Normal"/>
    <w:qFormat/>
    <w:rsid w:val="00874F3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Docs/journal/asp/ws.asp?m=ECE/TRANS/WP.15/2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Docs/journal/asp/ws.asp?m=ECE/TRANS/WP.15/2015/6" TargetMode="External"/><Relationship Id="rId2" Type="http://schemas.openxmlformats.org/officeDocument/2006/relationships/numbering" Target="numbering.xml"/><Relationship Id="rId16" Type="http://schemas.openxmlformats.org/officeDocument/2006/relationships/hyperlink" Target="http://www.un.org/Docs/journal/asp/ws.asp?m=ECE/TRANS/WP.15/201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Docs/journal/asp/ws.asp?m=ECE/TRANS/WP.15/224"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055D-27A2-4192-94CD-94123BB4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barrio-champeau</cp:lastModifiedBy>
  <cp:revision>3</cp:revision>
  <cp:lastPrinted>2015-10-29T08:08:00Z</cp:lastPrinted>
  <dcterms:created xsi:type="dcterms:W3CDTF">2015-10-29T08:08:00Z</dcterms:created>
  <dcterms:modified xsi:type="dcterms:W3CDTF">2015-10-29T08:09:00Z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1514568F</vt:lpwstr>
  </property>
  <property fmtid="{D5CDD505-2E9C-101B-9397-08002B2CF9AE}" pid="3" name="ODSRefJobNo">
    <vt:lpwstr>1519445F</vt:lpwstr>
  </property>
  <property fmtid="{D5CDD505-2E9C-101B-9397-08002B2CF9AE}" pid="4" name="Symbol1">
    <vt:lpwstr>ECE/TRANS/WP.15/2015/17</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27 octobre 2015</vt:lpwstr>
  </property>
  <property fmtid="{D5CDD505-2E9C-101B-9397-08002B2CF9AE}" pid="12" name="Original">
    <vt:lpwstr>anglais</vt:lpwstr>
  </property>
  <property fmtid="{D5CDD505-2E9C-101B-9397-08002B2CF9AE}" pid="13" name="Release Date">
    <vt:lpwstr>271015</vt:lpwstr>
  </property>
</Properties>
</file>