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C" w:rsidRPr="0065212A" w:rsidRDefault="0058515C" w:rsidP="0058515C">
      <w:pPr>
        <w:spacing w:line="60" w:lineRule="exact"/>
        <w:rPr>
          <w:color w:val="010000"/>
          <w:sz w:val="6"/>
        </w:rPr>
        <w:sectPr w:rsidR="0058515C" w:rsidRPr="0065212A" w:rsidSect="005851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F3705" w:rsidRPr="007F3705" w:rsidRDefault="007F3705" w:rsidP="0014118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F3705">
        <w:lastRenderedPageBreak/>
        <w:t>Европейская экономическая комиссия</w:t>
      </w:r>
    </w:p>
    <w:p w:rsidR="00B31954" w:rsidRPr="00B31954" w:rsidRDefault="00B31954" w:rsidP="00B31954">
      <w:pPr>
        <w:spacing w:line="120" w:lineRule="exact"/>
        <w:rPr>
          <w:sz w:val="10"/>
        </w:rPr>
      </w:pPr>
    </w:p>
    <w:p w:rsidR="007F3705" w:rsidRPr="00141186" w:rsidRDefault="007F3705" w:rsidP="00B3195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141186">
        <w:rPr>
          <w:b w:val="0"/>
          <w:sz w:val="28"/>
          <w:szCs w:val="28"/>
        </w:rPr>
        <w:t>Комитет по внутреннему транспорту</w:t>
      </w:r>
    </w:p>
    <w:p w:rsidR="00B31954" w:rsidRPr="00B31954" w:rsidRDefault="00B31954" w:rsidP="00B31954">
      <w:pPr>
        <w:spacing w:line="120" w:lineRule="exact"/>
        <w:rPr>
          <w:sz w:val="10"/>
        </w:rPr>
      </w:pPr>
    </w:p>
    <w:p w:rsidR="007F3705" w:rsidRPr="007F3705" w:rsidRDefault="007F3705" w:rsidP="00B3195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F3705">
        <w:t xml:space="preserve">Рабочая группа по перевозкам </w:t>
      </w:r>
      <w:r w:rsidR="000B704B" w:rsidRPr="000B704B">
        <w:br/>
      </w:r>
      <w:r w:rsidRPr="007F3705">
        <w:t>опасных грузов</w:t>
      </w:r>
    </w:p>
    <w:p w:rsidR="00B31954" w:rsidRPr="00B31954" w:rsidRDefault="00B31954" w:rsidP="00B31954">
      <w:pPr>
        <w:spacing w:line="120" w:lineRule="exact"/>
        <w:rPr>
          <w:sz w:val="10"/>
        </w:rPr>
      </w:pPr>
    </w:p>
    <w:p w:rsidR="007F3705" w:rsidRPr="007F3705" w:rsidRDefault="007F3705" w:rsidP="00B3195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F3705">
        <w:t xml:space="preserve">Административный комитет Европейского </w:t>
      </w:r>
      <w:r w:rsidR="000B704B" w:rsidRPr="000B704B">
        <w:br/>
      </w:r>
      <w:r w:rsidRPr="007F3705">
        <w:t>соглашения</w:t>
      </w:r>
      <w:r w:rsidR="00B31954" w:rsidRPr="00B31954">
        <w:t xml:space="preserve"> </w:t>
      </w:r>
      <w:r w:rsidRPr="007F3705">
        <w:t xml:space="preserve">о международной перевозке опасных </w:t>
      </w:r>
      <w:r w:rsidR="000B704B" w:rsidRPr="000B704B">
        <w:br/>
      </w:r>
      <w:r w:rsidRPr="007F3705">
        <w:t>грузов по внутренним водным путям (ВОПОГ)</w:t>
      </w:r>
    </w:p>
    <w:p w:rsidR="00B31954" w:rsidRPr="00B31954" w:rsidRDefault="00B31954" w:rsidP="00B31954">
      <w:pPr>
        <w:spacing w:line="120" w:lineRule="exact"/>
        <w:rPr>
          <w:sz w:val="10"/>
        </w:rPr>
      </w:pPr>
    </w:p>
    <w:p w:rsidR="007F3705" w:rsidRPr="007F3705" w:rsidRDefault="007F3705" w:rsidP="00686BE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F3705">
        <w:t>Пятнадцатая сессия</w:t>
      </w:r>
    </w:p>
    <w:p w:rsidR="007F3705" w:rsidRPr="007F3705" w:rsidRDefault="007F3705" w:rsidP="00837F8C">
      <w:r w:rsidRPr="007F3705">
        <w:t>Женева, 28 августа 2015</w:t>
      </w:r>
      <w:r w:rsidR="005714DB">
        <w:t> год</w:t>
      </w:r>
      <w:r w:rsidRPr="007F3705">
        <w:t>а</w:t>
      </w:r>
    </w:p>
    <w:p w:rsidR="00686BE9" w:rsidRPr="00686BE9" w:rsidRDefault="00686BE9" w:rsidP="00686BE9">
      <w:pPr>
        <w:pStyle w:val="SingleTxt"/>
        <w:spacing w:after="0" w:line="120" w:lineRule="exact"/>
        <w:rPr>
          <w:sz w:val="10"/>
        </w:rPr>
      </w:pPr>
    </w:p>
    <w:p w:rsidR="00686BE9" w:rsidRPr="00686BE9" w:rsidRDefault="00686BE9" w:rsidP="00686BE9">
      <w:pPr>
        <w:pStyle w:val="SingleTxt"/>
        <w:spacing w:after="0" w:line="120" w:lineRule="exact"/>
        <w:rPr>
          <w:sz w:val="10"/>
        </w:rPr>
      </w:pPr>
    </w:p>
    <w:p w:rsidR="00686BE9" w:rsidRPr="00686BE9" w:rsidRDefault="00686BE9" w:rsidP="00686BE9">
      <w:pPr>
        <w:pStyle w:val="SingleTxt"/>
        <w:spacing w:after="0" w:line="120" w:lineRule="exact"/>
        <w:rPr>
          <w:sz w:val="10"/>
        </w:rPr>
      </w:pPr>
    </w:p>
    <w:p w:rsidR="007F3705" w:rsidRPr="00686BE9" w:rsidRDefault="007F3705" w:rsidP="00D33D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szCs w:val="20"/>
        </w:rPr>
      </w:pPr>
      <w:r w:rsidRPr="007F3705">
        <w:tab/>
      </w:r>
      <w:r w:rsidRPr="007F3705">
        <w:tab/>
        <w:t xml:space="preserve">Доклад Административного комитета Европейского соглашения о международной перевозке опасных грузов по внутренним водным путям о работе его </w:t>
      </w:r>
      <w:r w:rsidR="00D33DAA" w:rsidRPr="00D33DAA">
        <w:br/>
      </w:r>
      <w:r w:rsidRPr="007F3705">
        <w:t>пятнадцатой сессии</w:t>
      </w:r>
      <w:r w:rsidRPr="008D06A8">
        <w:rPr>
          <w:rStyle w:val="FootnoteReference"/>
          <w:b w:val="0"/>
          <w:bCs/>
          <w:sz w:val="20"/>
          <w:szCs w:val="20"/>
          <w:vertAlign w:val="baseline"/>
        </w:rPr>
        <w:footnoteReference w:customMarkFollows="1" w:id="1"/>
        <w:t>*</w:t>
      </w:r>
    </w:p>
    <w:p w:rsidR="007F3705" w:rsidRPr="007F3705" w:rsidRDefault="007F3705" w:rsidP="007F3705">
      <w:pPr>
        <w:pStyle w:val="HCh"/>
        <w:spacing w:after="120"/>
        <w:rPr>
          <w:b w:val="0"/>
          <w:lang w:val="en-US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7F3705" w:rsidRPr="007F3705" w:rsidTr="007F3705">
        <w:tc>
          <w:tcPr>
            <w:tcW w:w="1060" w:type="dxa"/>
            <w:shd w:val="clear" w:color="auto" w:fill="auto"/>
          </w:tcPr>
          <w:p w:rsidR="007F3705" w:rsidRPr="007F3705" w:rsidRDefault="007F3705" w:rsidP="007F3705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7F3705" w:rsidRPr="007F3705" w:rsidRDefault="007F3705" w:rsidP="007F3705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7F3705" w:rsidRPr="007F3705" w:rsidRDefault="007F3705" w:rsidP="007F3705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7F3705" w:rsidRPr="007F3705" w:rsidRDefault="007F3705" w:rsidP="007F3705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Участники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5714DB" w:rsidRDefault="005714DB" w:rsidP="007F3705">
            <w:pPr>
              <w:spacing w:after="120"/>
              <w:ind w:right="40"/>
              <w:jc w:val="right"/>
            </w:pPr>
            <w:r>
              <w:t>1–3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B2A45" w:rsidRDefault="007B2A45" w:rsidP="007F3705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>
              <w:t>Утверждение повестки дня (пункт 1 повестки дня)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Pr="007F3705">
              <w:t xml:space="preserve">Состояние Европейского соглашения о международной перевозке опасных грузов по внутренним водным путям (ВОПОГ) </w:t>
            </w:r>
            <w:r w:rsidR="007C2E8C" w:rsidRPr="007C2E8C">
              <w:br/>
            </w:r>
            <w:r>
              <w:t>(пункт 2 повестки дня)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7F3705">
              <w:tab/>
            </w:r>
            <w:r>
              <w:t xml:space="preserve">Вопросы, относящиеся к осуществлению ВОПОГ </w:t>
            </w:r>
            <w:r w:rsidR="007C2E8C">
              <w:rPr>
                <w:lang w:val="en-US"/>
              </w:rPr>
              <w:br/>
            </w:r>
            <w:r>
              <w:t>(пункт 3 повестки дня</w:t>
            </w:r>
            <w:r w:rsidR="00921FC8">
              <w:t>)</w:t>
            </w:r>
            <w:r w:rsidR="007C2E8C">
              <w:rPr>
                <w:spacing w:val="60"/>
                <w:sz w:val="17"/>
              </w:rPr>
              <w:tab/>
            </w:r>
            <w: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6–16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>Классификационные общества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6–10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Default="007F3705" w:rsidP="007C2E8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  <w:ind w:left="1296" w:firstLine="0"/>
            </w:pPr>
            <w:r>
              <w:t>Специальные разрешения, отступления и эквивалентные аналоги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11–14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Default="007F3705" w:rsidP="007C2E8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>Различные уведомления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Default="007F3705" w:rsidP="007C2E8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>Другие вопросы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>
              <w:t>Работа Комитета по вопросам безопасности (пункт 4 повестки дня)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17–18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>
              <w:t>Программа работы и расписание совещаний (пункт 5 повестки дня)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B2A45" w:rsidP="007F3705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Pr="007F3705" w:rsidRDefault="007F3705" w:rsidP="007C2E8C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>
              <w:t>Прочие вопросы (пункт 6 повестки дня)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5714DB" w:rsidP="007F3705">
            <w:pPr>
              <w:spacing w:after="120"/>
              <w:ind w:right="40"/>
              <w:jc w:val="right"/>
            </w:pPr>
            <w: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68781B" w:rsidP="007F3705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8A3CED" w:rsidRPr="007F3705" w:rsidTr="007F3705">
        <w:tc>
          <w:tcPr>
            <w:tcW w:w="8116" w:type="dxa"/>
            <w:gridSpan w:val="2"/>
            <w:shd w:val="clear" w:color="auto" w:fill="auto"/>
          </w:tcPr>
          <w:p w:rsidR="008A3CED" w:rsidRPr="008A3CED" w:rsidRDefault="008A3CED" w:rsidP="008A3CED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  <w:t>Утверждение доклада (пункт 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A3CED" w:rsidRDefault="008A3CED" w:rsidP="007F3705">
            <w:pPr>
              <w:spacing w:after="120"/>
              <w:ind w:right="40"/>
              <w:jc w:val="right"/>
            </w:pPr>
            <w:r>
              <w:t>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CED" w:rsidRDefault="008A3CED" w:rsidP="007F3705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7F3705" w:rsidRPr="007F3705" w:rsidTr="007F3705">
        <w:tc>
          <w:tcPr>
            <w:tcW w:w="8116" w:type="dxa"/>
            <w:gridSpan w:val="2"/>
            <w:shd w:val="clear" w:color="auto" w:fill="auto"/>
          </w:tcPr>
          <w:p w:rsidR="007F3705" w:rsidRDefault="007F3705" w:rsidP="007F370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  <w:rPr>
                <w:lang w:val="en-US"/>
              </w:rPr>
            </w:pPr>
            <w:r>
              <w:t>Приложения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F3705" w:rsidRPr="007F3705" w:rsidRDefault="007F3705" w:rsidP="007F3705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3705" w:rsidRPr="007F3705" w:rsidRDefault="007F3705" w:rsidP="007F3705">
            <w:pPr>
              <w:spacing w:after="120"/>
              <w:ind w:right="40"/>
              <w:jc w:val="right"/>
            </w:pPr>
          </w:p>
        </w:tc>
      </w:tr>
      <w:tr w:rsidR="00EE11B4" w:rsidRPr="007F3705" w:rsidTr="00EE11B4">
        <w:tc>
          <w:tcPr>
            <w:tcW w:w="9110" w:type="dxa"/>
            <w:gridSpan w:val="3"/>
            <w:shd w:val="clear" w:color="auto" w:fill="auto"/>
          </w:tcPr>
          <w:p w:rsidR="00EE11B4" w:rsidRPr="007F3705" w:rsidRDefault="00EE11B4" w:rsidP="007C2E8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>
              <w:t xml:space="preserve">Решение Административного комитета ВОПОГ в отношении </w:t>
            </w:r>
            <w:r w:rsidRPr="00190254">
              <w:t>танкер</w:t>
            </w:r>
            <w:r>
              <w:t xml:space="preserve">а </w:t>
            </w:r>
            <w:r w:rsidR="007C2E8C" w:rsidRPr="007C2E8C">
              <w:br/>
            </w:r>
            <w:r w:rsidR="005714DB">
              <w:t>«</w:t>
            </w:r>
            <w:r>
              <w:t>Argos-</w:t>
            </w:r>
            <w:r w:rsidRPr="00190254">
              <w:t>GL</w:t>
            </w:r>
            <w:r w:rsidR="005714DB">
              <w:t>»</w:t>
            </w:r>
            <w:r>
              <w:t xml:space="preserve"> </w:t>
            </w:r>
            <w:r w:rsidR="00C52E90" w:rsidRPr="00C52E90">
              <w:t>–</w:t>
            </w:r>
            <w:r>
              <w:t xml:space="preserve"> отступление № 1/2015 от 28 августа</w:t>
            </w:r>
            <w:r w:rsidR="00B5715E">
              <w:t xml:space="preserve"> </w:t>
            </w:r>
            <w:r>
              <w:t>2015</w:t>
            </w:r>
            <w:r w:rsidR="005714DB">
              <w:t> год</w:t>
            </w:r>
            <w:r>
              <w:t>а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11B4" w:rsidRPr="007F3705" w:rsidRDefault="0068781B" w:rsidP="00EE11B4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EE11B4" w:rsidRPr="007F3705" w:rsidTr="00EE11B4">
        <w:tc>
          <w:tcPr>
            <w:tcW w:w="9110" w:type="dxa"/>
            <w:gridSpan w:val="3"/>
            <w:shd w:val="clear" w:color="auto" w:fill="auto"/>
          </w:tcPr>
          <w:p w:rsidR="00EE11B4" w:rsidRPr="00EE11B4" w:rsidRDefault="00EE11B4" w:rsidP="007C2E8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 w:rsidRPr="00C52E90">
              <w:tab/>
            </w:r>
            <w:r w:rsidRPr="00EE11B4">
              <w:t xml:space="preserve">Решение Административного комитета ВОПОГ в отношении использования мембранных танков для перевозки сжиженного природного газа (СПГ) </w:t>
            </w:r>
            <w:r w:rsidR="007C2E8C" w:rsidRPr="007C2E8C">
              <w:br/>
            </w:r>
            <w:r w:rsidRPr="00EE11B4">
              <w:t xml:space="preserve">на танкере </w:t>
            </w:r>
            <w:r w:rsidR="005714DB">
              <w:t>«</w:t>
            </w:r>
            <w:r w:rsidRPr="00EE11B4">
              <w:t>Argos-GL</w:t>
            </w:r>
            <w:r w:rsidR="005714DB">
              <w:t>»</w:t>
            </w:r>
            <w:r w:rsidRPr="00EE11B4">
              <w:t xml:space="preserve"> </w:t>
            </w:r>
            <w:r w:rsidR="00C52E90" w:rsidRPr="00C52E90">
              <w:t>–</w:t>
            </w:r>
            <w:r w:rsidRPr="00EE11B4">
              <w:t xml:space="preserve"> отступление № 2/2015 от 28 августа</w:t>
            </w:r>
            <w:r w:rsidR="00C52E90" w:rsidRPr="00C52E90">
              <w:t xml:space="preserve"> </w:t>
            </w:r>
            <w:r w:rsidRPr="00EE11B4">
              <w:t>2015</w:t>
            </w:r>
            <w:r w:rsidR="005714DB">
              <w:t> год</w:t>
            </w:r>
            <w:r w:rsidRPr="00EE11B4">
              <w:t>а</w:t>
            </w:r>
            <w:r w:rsidR="007C2E8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11B4" w:rsidRPr="007F3705" w:rsidRDefault="0068781B" w:rsidP="00EE11B4">
            <w:pPr>
              <w:spacing w:after="120"/>
              <w:ind w:right="40"/>
              <w:jc w:val="right"/>
            </w:pPr>
            <w:r>
              <w:t>9</w:t>
            </w:r>
          </w:p>
        </w:tc>
      </w:tr>
    </w:tbl>
    <w:p w:rsidR="0058515C" w:rsidRPr="007F3705" w:rsidRDefault="0058515C" w:rsidP="007F3705"/>
    <w:p w:rsidR="007F3705" w:rsidRPr="007F3705" w:rsidRDefault="007F3705" w:rsidP="007F3705">
      <w:pPr>
        <w:pStyle w:val="SingleTxt"/>
        <w:rPr>
          <w:bCs/>
        </w:rPr>
      </w:pPr>
    </w:p>
    <w:p w:rsidR="007267CB" w:rsidRPr="007267CB" w:rsidRDefault="007267CB" w:rsidP="00597B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97B5B">
        <w:lastRenderedPageBreak/>
        <w:tab/>
      </w:r>
      <w:r w:rsidRPr="007267CB">
        <w:t>I.</w:t>
      </w:r>
      <w:r w:rsidRPr="007267CB">
        <w:tab/>
        <w:t>Участники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1.</w:t>
      </w:r>
      <w:r w:rsidRPr="007267CB">
        <w:rPr>
          <w:bCs/>
        </w:rP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пятнадцатую сессию в Женеве 28 августа 2015</w:t>
      </w:r>
      <w:r w:rsidR="005714DB">
        <w:rPr>
          <w:bCs/>
        </w:rPr>
        <w:t> год</w:t>
      </w:r>
      <w:r w:rsidRPr="007267CB">
        <w:rPr>
          <w:bCs/>
        </w:rPr>
        <w:t>а под руководством Председ</w:t>
      </w:r>
      <w:r w:rsidRPr="007267CB">
        <w:rPr>
          <w:bCs/>
        </w:rPr>
        <w:t>а</w:t>
      </w:r>
      <w:r w:rsidRPr="007267CB">
        <w:rPr>
          <w:bCs/>
        </w:rPr>
        <w:t>теля г-на Х. Райна (Германия) и заместителя Председателя г-на Б. Биркльхубера (Австрия). В работе сессии приняли участие представители следующих Догов</w:t>
      </w:r>
      <w:r w:rsidRPr="007267CB">
        <w:rPr>
          <w:bCs/>
        </w:rPr>
        <w:t>а</w:t>
      </w:r>
      <w:r w:rsidRPr="007267CB">
        <w:rPr>
          <w:bCs/>
        </w:rPr>
        <w:t>ривающихся сторон: Австрии, Бельгии, Болгарии, Германии, Нидерландов, Ро</w:t>
      </w:r>
      <w:r w:rsidRPr="007267CB">
        <w:rPr>
          <w:bCs/>
        </w:rPr>
        <w:t>с</w:t>
      </w:r>
      <w:r w:rsidRPr="007267CB">
        <w:rPr>
          <w:bCs/>
        </w:rPr>
        <w:t>сийской Федерации, Румынии, Словакии, Франции, Хорватии и Швейцарии.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2.</w:t>
      </w:r>
      <w:r w:rsidRPr="007267CB">
        <w:rPr>
          <w:bCs/>
        </w:rPr>
        <w:tab/>
        <w:t>Административный комитет отметил, что представители Договаривающи</w:t>
      </w:r>
      <w:r w:rsidRPr="007267CB">
        <w:rPr>
          <w:bCs/>
        </w:rPr>
        <w:t>х</w:t>
      </w:r>
      <w:r w:rsidRPr="007267CB">
        <w:rPr>
          <w:bCs/>
        </w:rPr>
        <w:t>ся сторон, присутствующие на сессии, аккредитованы и необходимый для прин</w:t>
      </w:r>
      <w:r w:rsidRPr="007267CB">
        <w:rPr>
          <w:bCs/>
        </w:rPr>
        <w:t>я</w:t>
      </w:r>
      <w:r w:rsidRPr="007267CB">
        <w:rPr>
          <w:bCs/>
        </w:rPr>
        <w:t>тия решений кворум, составляющий половину Договаривающихся сторон, д</w:t>
      </w:r>
      <w:r w:rsidRPr="007267CB">
        <w:rPr>
          <w:bCs/>
        </w:rPr>
        <w:t>о</w:t>
      </w:r>
      <w:r w:rsidRPr="007267CB">
        <w:rPr>
          <w:bCs/>
        </w:rPr>
        <w:t>стигнут.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3.</w:t>
      </w:r>
      <w:r w:rsidRPr="007267CB">
        <w:rPr>
          <w:bCs/>
        </w:rPr>
        <w:tab/>
        <w:t>В соответствии с пунктом 2 статьи 17 ВОПОГ и решением Комитета (ECE/ADN/2, пункт 8) в качестве наблюдателя на сессии присутствовал также представитель Центральной комиссии судоходства по Рейну (ЦКСР).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597B5B" w:rsidP="00597B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II.</w:t>
      </w:r>
      <w:r w:rsidR="007267CB" w:rsidRPr="007267CB">
        <w:tab/>
        <w:t>Утверждение повестки дня (пункт 1 повестки 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  <w:i/>
          <w:iCs/>
        </w:rPr>
        <w:t>Документы:</w:t>
      </w:r>
      <w:r w:rsidRPr="007267CB">
        <w:rPr>
          <w:bCs/>
        </w:rPr>
        <w:tab/>
        <w:t>ECE/ADN/32 и Add.1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4.</w:t>
      </w:r>
      <w:r w:rsidRPr="007267CB">
        <w:rPr>
          <w:bCs/>
        </w:rPr>
        <w:tab/>
        <w:t>Административный комитет утвердил повестку дня, подготовленную секр</w:t>
      </w:r>
      <w:r w:rsidRPr="007267CB">
        <w:rPr>
          <w:bCs/>
        </w:rPr>
        <w:t>е</w:t>
      </w:r>
      <w:r w:rsidRPr="007267CB">
        <w:rPr>
          <w:bCs/>
        </w:rPr>
        <w:t>тариатом.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597B5B" w:rsidP="00597B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III.</w:t>
      </w:r>
      <w:r w:rsidR="007267CB" w:rsidRPr="007267CB">
        <w:tab/>
        <w:t xml:space="preserve">Состояние Европейского соглашения о международной перевозке опасных грузов по </w:t>
      </w:r>
      <w:r w:rsidR="007267CB" w:rsidRPr="007267CB">
        <w:tab/>
        <w:t>внутренним водным путям (ВОПОГ) (пункт 2 повестки 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5.</w:t>
      </w:r>
      <w:r w:rsidRPr="007267CB">
        <w:rPr>
          <w:bCs/>
        </w:rPr>
        <w:tab/>
        <w:t>Административный комитет отметил, что в настоящее время число Догов</w:t>
      </w:r>
      <w:r w:rsidRPr="007267CB">
        <w:rPr>
          <w:bCs/>
        </w:rPr>
        <w:t>а</w:t>
      </w:r>
      <w:r w:rsidRPr="007267CB">
        <w:rPr>
          <w:bCs/>
        </w:rPr>
        <w:t>ривающихся сторон ВОПОГ по-прежнему составляет 18: Австрия, Бельгия, Бо</w:t>
      </w:r>
      <w:r w:rsidRPr="007267CB">
        <w:rPr>
          <w:bCs/>
        </w:rPr>
        <w:t>л</w:t>
      </w:r>
      <w:r w:rsidRPr="007267CB">
        <w:rPr>
          <w:bCs/>
        </w:rPr>
        <w:t>гария, Венгрия, Германия, Люксембург, Нидерланды, Польша, Республика Мо</w:t>
      </w:r>
      <w:r w:rsidRPr="007267CB">
        <w:rPr>
          <w:bCs/>
        </w:rPr>
        <w:t>л</w:t>
      </w:r>
      <w:r w:rsidRPr="007267CB">
        <w:rPr>
          <w:bCs/>
        </w:rPr>
        <w:t>дова, Российская Федерация, Румыния, Сербия, Словакия, Украина, Франция, Хорватия, Чешская Республика и Швейцария.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597B5B" w:rsidP="00597B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IV.</w:t>
      </w:r>
      <w:r w:rsidR="007267CB" w:rsidRPr="007267CB">
        <w:tab/>
        <w:t xml:space="preserve">Вопросы, относящиеся к осуществлению ВОПОГ </w:t>
      </w:r>
      <w:r w:rsidR="004550FD">
        <w:br/>
      </w:r>
      <w:r w:rsidR="007267CB" w:rsidRPr="007267CB">
        <w:t>(пункт 3 повестки 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597B5B" w:rsidP="00597B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А.</w:t>
      </w:r>
      <w:r w:rsidR="007267CB" w:rsidRPr="007267CB">
        <w:tab/>
        <w:t>Классификационные общества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6.</w:t>
      </w:r>
      <w:r w:rsidRPr="007267CB">
        <w:rPr>
          <w:bCs/>
        </w:rPr>
        <w:tab/>
        <w:t xml:space="preserve">Было подчеркнуто, что странам, которые признали </w:t>
      </w:r>
      <w:r w:rsidR="005714DB">
        <w:rPr>
          <w:bCs/>
        </w:rPr>
        <w:t>«</w:t>
      </w:r>
      <w:r w:rsidRPr="007267CB">
        <w:rPr>
          <w:bCs/>
        </w:rPr>
        <w:t>Германишер Ллойд</w:t>
      </w:r>
      <w:r w:rsidR="005714DB">
        <w:rPr>
          <w:bCs/>
        </w:rPr>
        <w:t>»</w:t>
      </w:r>
      <w:r w:rsidRPr="007267CB">
        <w:rPr>
          <w:bCs/>
        </w:rPr>
        <w:t xml:space="preserve">, следует сообщить секретариату, признают ли они компанию DNV GL SE, которая стала преемником </w:t>
      </w:r>
      <w:r w:rsidR="005714DB">
        <w:rPr>
          <w:bCs/>
        </w:rPr>
        <w:t>«</w:t>
      </w:r>
      <w:r w:rsidRPr="007267CB">
        <w:rPr>
          <w:bCs/>
        </w:rPr>
        <w:t>Германишер Ллойд</w:t>
      </w:r>
      <w:r w:rsidR="005714DB">
        <w:rPr>
          <w:bCs/>
        </w:rPr>
        <w:t>»</w:t>
      </w:r>
      <w:r w:rsidRPr="007267CB">
        <w:rPr>
          <w:bCs/>
        </w:rPr>
        <w:t>. Уведомления на этот счет до сих пор не прислали Германия, Нидерланды, Республика Молдова и Румыния.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7.</w:t>
      </w:r>
      <w:r w:rsidRPr="007267CB">
        <w:rPr>
          <w:bCs/>
        </w:rPr>
        <w:tab/>
        <w:t>Германия сообщила Административному комитету, что 22 июня 2015</w:t>
      </w:r>
      <w:r w:rsidR="005714DB">
        <w:rPr>
          <w:bCs/>
        </w:rPr>
        <w:t> год</w:t>
      </w:r>
      <w:r w:rsidRPr="007267CB">
        <w:rPr>
          <w:bCs/>
        </w:rPr>
        <w:t>а она признала германский филиал Итальянского морского регистра (RINA, Germany Gmb</w:t>
      </w:r>
      <w:r w:rsidRPr="007267CB">
        <w:rPr>
          <w:bCs/>
          <w:lang w:val="en-US"/>
        </w:rPr>
        <w:t>H</w:t>
      </w:r>
      <w:r w:rsidRPr="007267CB">
        <w:rPr>
          <w:bCs/>
        </w:rPr>
        <w:t>) в соответствии с пунктом 1.15.2.4 Правил, прилагаемых к ВОПОГ (неофициальный документ INF.3).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8.</w:t>
      </w:r>
      <w:r w:rsidRPr="007267CB">
        <w:rPr>
          <w:bCs/>
        </w:rPr>
        <w:tab/>
        <w:t xml:space="preserve">Административный комитет напомнил о том, что все рекомендованные классификационные общества ВОПОГ должны представить непосредственно Административному комитету свидетельства их сертификации в соответствии со </w:t>
      </w:r>
      <w:r w:rsidRPr="007267CB">
        <w:rPr>
          <w:bCs/>
        </w:rPr>
        <w:lastRenderedPageBreak/>
        <w:t>стандартом EN ISO/IEC 17020:2012 (за исключением пункта 8.1.3). К настоящему моменту удовлетворительные свидетельства были получены от германского ф</w:t>
      </w:r>
      <w:r w:rsidRPr="007267CB">
        <w:rPr>
          <w:bCs/>
        </w:rPr>
        <w:t>и</w:t>
      </w:r>
      <w:r w:rsidRPr="007267CB">
        <w:rPr>
          <w:bCs/>
        </w:rPr>
        <w:t>лиала Итальянского морского регистра (RINA, Germany Gmb</w:t>
      </w:r>
      <w:r w:rsidRPr="007267CB">
        <w:rPr>
          <w:bCs/>
          <w:lang w:val="en-US"/>
        </w:rPr>
        <w:t>H</w:t>
      </w:r>
      <w:r w:rsidRPr="007267CB">
        <w:rPr>
          <w:bCs/>
        </w:rPr>
        <w:t>) и Регистра суд</w:t>
      </w:r>
      <w:r w:rsidRPr="007267CB">
        <w:rPr>
          <w:bCs/>
        </w:rPr>
        <w:t>о</w:t>
      </w:r>
      <w:r w:rsidRPr="007267CB">
        <w:rPr>
          <w:bCs/>
        </w:rPr>
        <w:t>ходства Украины.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9.</w:t>
      </w:r>
      <w:r w:rsidRPr="007267CB">
        <w:rPr>
          <w:bCs/>
        </w:rPr>
        <w:tab/>
        <w:t>Как было отмечено Комитетом по вопросам безопасности ВОПОГ (см.</w:t>
      </w:r>
      <w:r w:rsidR="004550FD">
        <w:rPr>
          <w:bCs/>
        </w:rPr>
        <w:t> </w:t>
      </w:r>
      <w:r w:rsidRPr="007267CB">
        <w:rPr>
          <w:bCs/>
          <w:lang w:val="en-US"/>
        </w:rPr>
        <w:t>ECE</w:t>
      </w:r>
      <w:r w:rsidRPr="007267CB">
        <w:rPr>
          <w:bCs/>
        </w:rPr>
        <w:t>/</w:t>
      </w:r>
      <w:r w:rsidRPr="007267CB">
        <w:rPr>
          <w:bCs/>
          <w:lang w:val="en-US"/>
        </w:rPr>
        <w:t>TRANS</w:t>
      </w:r>
      <w:r w:rsidRPr="007267CB">
        <w:rPr>
          <w:bCs/>
        </w:rPr>
        <w:t>/</w:t>
      </w:r>
      <w:r w:rsidRPr="007267CB">
        <w:rPr>
          <w:bCs/>
          <w:lang w:val="en-US"/>
        </w:rPr>
        <w:t>WP</w:t>
      </w:r>
      <w:r w:rsidRPr="007267CB">
        <w:rPr>
          <w:bCs/>
        </w:rPr>
        <w:t>.15/</w:t>
      </w:r>
      <w:r w:rsidRPr="007267CB">
        <w:rPr>
          <w:bCs/>
          <w:lang w:val="en-US"/>
        </w:rPr>
        <w:t>AC</w:t>
      </w:r>
      <w:r w:rsidRPr="007267CB">
        <w:rPr>
          <w:bCs/>
        </w:rPr>
        <w:t>.2/56, пункт 35), Регистр Ллойда и Российский мо</w:t>
      </w:r>
      <w:r w:rsidRPr="007267CB">
        <w:rPr>
          <w:bCs/>
        </w:rPr>
        <w:t>р</w:t>
      </w:r>
      <w:r w:rsidRPr="007267CB">
        <w:rPr>
          <w:bCs/>
        </w:rPr>
        <w:t>ской регистр судоходства представили информацию, однако эта информация я</w:t>
      </w:r>
      <w:r w:rsidRPr="007267CB">
        <w:rPr>
          <w:bCs/>
        </w:rPr>
        <w:t>в</w:t>
      </w:r>
      <w:r w:rsidRPr="007267CB">
        <w:rPr>
          <w:bCs/>
        </w:rPr>
        <w:t>ляется недостаточной, например потому, что она касается в основном деятельн</w:t>
      </w:r>
      <w:r w:rsidRPr="007267CB">
        <w:rPr>
          <w:bCs/>
        </w:rPr>
        <w:t>о</w:t>
      </w:r>
      <w:r w:rsidRPr="007267CB">
        <w:rPr>
          <w:bCs/>
        </w:rPr>
        <w:t xml:space="preserve">сти этих классификационных обществ, связанной с морским судоходством. Бюро </w:t>
      </w:r>
      <w:r w:rsidR="005714DB">
        <w:rPr>
          <w:bCs/>
        </w:rPr>
        <w:t>«</w:t>
      </w:r>
      <w:r w:rsidRPr="007267CB">
        <w:rPr>
          <w:bCs/>
        </w:rPr>
        <w:t>Веритас</w:t>
      </w:r>
      <w:r w:rsidR="005714DB">
        <w:rPr>
          <w:bCs/>
        </w:rPr>
        <w:t>»</w:t>
      </w:r>
      <w:r w:rsidRPr="007267CB">
        <w:rPr>
          <w:bCs/>
        </w:rPr>
        <w:t xml:space="preserve"> представило свидетельства сертификации, но только в отношении его отделения в Бельгии. Это же касается RINA, который представил свидетельства только в отношении своего германского филиала. В этой связи встает вопрос о том, могут ли рекомендованными классификационными обществами ВОПОГ считаться некоторые классификационные общества, например Бюро </w:t>
      </w:r>
      <w:r w:rsidR="005714DB">
        <w:rPr>
          <w:bCs/>
        </w:rPr>
        <w:t>«</w:t>
      </w:r>
      <w:r w:rsidRPr="007267CB">
        <w:rPr>
          <w:bCs/>
        </w:rPr>
        <w:t>Веритас</w:t>
      </w:r>
      <w:r w:rsidR="005714DB">
        <w:rPr>
          <w:bCs/>
        </w:rPr>
        <w:t>»</w:t>
      </w:r>
      <w:r w:rsidRPr="007267CB">
        <w:rPr>
          <w:bCs/>
        </w:rPr>
        <w:t xml:space="preserve"> и RINA, или только их отделения, например германский филиал RINA и бельги</w:t>
      </w:r>
      <w:r w:rsidRPr="007267CB">
        <w:rPr>
          <w:bCs/>
        </w:rPr>
        <w:t>й</w:t>
      </w:r>
      <w:r w:rsidRPr="007267CB">
        <w:rPr>
          <w:bCs/>
        </w:rPr>
        <w:t xml:space="preserve">ское отделение Бюро </w:t>
      </w:r>
      <w:r w:rsidR="005714DB">
        <w:rPr>
          <w:bCs/>
        </w:rPr>
        <w:t>«</w:t>
      </w:r>
      <w:r w:rsidRPr="007267CB">
        <w:rPr>
          <w:bCs/>
        </w:rPr>
        <w:t>Веритас</w:t>
      </w:r>
      <w:r w:rsidR="005714DB">
        <w:rPr>
          <w:bCs/>
        </w:rPr>
        <w:t>»</w:t>
      </w:r>
      <w:r w:rsidRPr="007267CB">
        <w:rPr>
          <w:bCs/>
        </w:rPr>
        <w:t>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10.</w:t>
      </w:r>
      <w:r w:rsidRPr="007267CB">
        <w:rPr>
          <w:bCs/>
        </w:rPr>
        <w:tab/>
        <w:t xml:space="preserve">Компания </w:t>
      </w:r>
      <w:r w:rsidR="005714DB">
        <w:rPr>
          <w:bCs/>
        </w:rPr>
        <w:t>«</w:t>
      </w:r>
      <w:r w:rsidRPr="007267CB">
        <w:rPr>
          <w:bCs/>
        </w:rPr>
        <w:t>Дет Норшке Веритас Германишер Ллойд</w:t>
      </w:r>
      <w:r w:rsidR="005714DB">
        <w:rPr>
          <w:bCs/>
        </w:rPr>
        <w:t>»</w:t>
      </w:r>
      <w:r w:rsidRPr="007267CB">
        <w:rPr>
          <w:bCs/>
        </w:rPr>
        <w:t xml:space="preserve"> (DNV GL SE) и Ро</w:t>
      </w:r>
      <w:r w:rsidRPr="007267CB">
        <w:rPr>
          <w:bCs/>
        </w:rPr>
        <w:t>с</w:t>
      </w:r>
      <w:r w:rsidRPr="007267CB">
        <w:rPr>
          <w:bCs/>
        </w:rPr>
        <w:t>сийский Речной Регистр еще не представили запрошенную информацию. Поэт</w:t>
      </w:r>
      <w:r w:rsidRPr="007267CB">
        <w:rPr>
          <w:bCs/>
        </w:rPr>
        <w:t>о</w:t>
      </w:r>
      <w:r w:rsidRPr="007267CB">
        <w:rPr>
          <w:bCs/>
        </w:rPr>
        <w:t>му всем рекомендованным классификационным обществам ВОПОГ, за исключ</w:t>
      </w:r>
      <w:r w:rsidRPr="007267CB">
        <w:rPr>
          <w:bCs/>
        </w:rPr>
        <w:t>е</w:t>
      </w:r>
      <w:r w:rsidRPr="007267CB">
        <w:rPr>
          <w:bCs/>
        </w:rPr>
        <w:t>нием Регистра судоходства Украины, было предложено представить свидетел</w:t>
      </w:r>
      <w:r w:rsidRPr="007267CB">
        <w:rPr>
          <w:bCs/>
        </w:rPr>
        <w:t>ь</w:t>
      </w:r>
      <w:r w:rsidRPr="007267CB">
        <w:rPr>
          <w:bCs/>
        </w:rPr>
        <w:t>ства сертификации, подтверждающие, что система качества, применяемая ими в отношении связанной с ВОПОГ деятельности, соответствует станда</w:t>
      </w:r>
      <w:r w:rsidRPr="007267CB">
        <w:rPr>
          <w:bCs/>
        </w:rPr>
        <w:t>р</w:t>
      </w:r>
      <w:r w:rsidRPr="007267CB">
        <w:rPr>
          <w:bCs/>
        </w:rPr>
        <w:t>ту</w:t>
      </w:r>
      <w:r w:rsidR="007862D8">
        <w:rPr>
          <w:bCs/>
        </w:rPr>
        <w:t> </w:t>
      </w:r>
      <w:r w:rsidRPr="007267CB">
        <w:rPr>
          <w:bCs/>
        </w:rPr>
        <w:t>EN</w:t>
      </w:r>
      <w:r w:rsidR="004550FD">
        <w:rPr>
          <w:bCs/>
        </w:rPr>
        <w:t> </w:t>
      </w:r>
      <w:r w:rsidRPr="007267CB">
        <w:rPr>
          <w:bCs/>
        </w:rPr>
        <w:t>ISO/IEC 17020:2012 (за исключением пункта 8.1.3), как предписано в пункте</w:t>
      </w:r>
      <w:r w:rsidR="004550FD">
        <w:rPr>
          <w:bCs/>
        </w:rPr>
        <w:t> </w:t>
      </w:r>
      <w:r w:rsidRPr="007267CB">
        <w:rPr>
          <w:bCs/>
        </w:rPr>
        <w:t>1.15.3.8 Правил, прилагаемых к ВОПОГ. Это должно быть сделано к сл</w:t>
      </w:r>
      <w:r w:rsidRPr="007267CB">
        <w:rPr>
          <w:bCs/>
        </w:rPr>
        <w:t>е</w:t>
      </w:r>
      <w:r w:rsidRPr="007267CB">
        <w:rPr>
          <w:bCs/>
        </w:rPr>
        <w:t>дующей сессии Комитета по вопросам безопасности.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597B5B" w:rsidP="009442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B.</w:t>
      </w:r>
      <w:r w:rsidR="007267CB" w:rsidRPr="007267CB">
        <w:tab/>
        <w:t>Специальные разрешения, отступления и эквивалентные аналоги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11.</w:t>
      </w:r>
      <w:r w:rsidRPr="007267CB">
        <w:rPr>
          <w:bCs/>
        </w:rPr>
        <w:tab/>
        <w:t>Административный комитет одобрил рекомендацию Комитета по вопросам безопасности (ECE/TRANS/WP.15/AC.2/56, пункт 8), разрешающую компетен</w:t>
      </w:r>
      <w:r w:rsidRPr="007267CB">
        <w:rPr>
          <w:bCs/>
        </w:rPr>
        <w:t>т</w:t>
      </w:r>
      <w:r w:rsidRPr="007267CB">
        <w:rPr>
          <w:bCs/>
        </w:rPr>
        <w:t>ному органу Нидерландов выдать в соответствии с подразделом 1.5.3.2 време</w:t>
      </w:r>
      <w:r w:rsidRPr="007267CB">
        <w:rPr>
          <w:bCs/>
        </w:rPr>
        <w:t>н</w:t>
      </w:r>
      <w:r w:rsidRPr="007267CB">
        <w:rPr>
          <w:bCs/>
        </w:rPr>
        <w:t xml:space="preserve">ное отступление для танкера </w:t>
      </w:r>
      <w:r w:rsidR="005714DB">
        <w:rPr>
          <w:bCs/>
        </w:rPr>
        <w:t>«</w:t>
      </w:r>
      <w:r w:rsidRPr="007267CB">
        <w:rPr>
          <w:bCs/>
        </w:rPr>
        <w:t>Argos-GL</w:t>
      </w:r>
      <w:r w:rsidR="005714DB">
        <w:rPr>
          <w:bCs/>
        </w:rPr>
        <w:t>»</w:t>
      </w:r>
      <w:r w:rsidRPr="007267CB">
        <w:rPr>
          <w:bCs/>
        </w:rPr>
        <w:t>, которое позволит ему на пробной о</w:t>
      </w:r>
      <w:r w:rsidRPr="007267CB">
        <w:rPr>
          <w:bCs/>
        </w:rPr>
        <w:t>с</w:t>
      </w:r>
      <w:r w:rsidRPr="007267CB">
        <w:rPr>
          <w:bCs/>
        </w:rPr>
        <w:t>нове использовать сжиженный природный газ (СПГ) в качестве топлива для дв</w:t>
      </w:r>
      <w:r w:rsidRPr="007267CB">
        <w:rPr>
          <w:bCs/>
        </w:rPr>
        <w:t>и</w:t>
      </w:r>
      <w:r w:rsidRPr="007267CB">
        <w:rPr>
          <w:bCs/>
        </w:rPr>
        <w:t>гательной установки (неофициальный документ INF.4, выпущенный для дв</w:t>
      </w:r>
      <w:r w:rsidRPr="007267CB">
        <w:rPr>
          <w:bCs/>
        </w:rPr>
        <w:t>а</w:t>
      </w:r>
      <w:r w:rsidRPr="007267CB">
        <w:rPr>
          <w:bCs/>
        </w:rPr>
        <w:t>дцать седьмой сессии Комитета по вопросам безопасности) (см. приложение I).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12.</w:t>
      </w:r>
      <w:r w:rsidRPr="007267CB">
        <w:rPr>
          <w:bCs/>
        </w:rPr>
        <w:tab/>
        <w:t>Административный комитет также одобрил рекомендацию Комитета по в</w:t>
      </w:r>
      <w:r w:rsidRPr="007267CB">
        <w:rPr>
          <w:bCs/>
        </w:rPr>
        <w:t>о</w:t>
      </w:r>
      <w:r w:rsidRPr="007267CB">
        <w:rPr>
          <w:bCs/>
        </w:rPr>
        <w:t>просам безопасности (ECE/TRANS/WP.15/AC.2/56, пункты 9</w:t>
      </w:r>
      <w:r w:rsidR="00F937B0">
        <w:rPr>
          <w:bCs/>
        </w:rPr>
        <w:t>–</w:t>
      </w:r>
      <w:r w:rsidRPr="007267CB">
        <w:rPr>
          <w:bCs/>
        </w:rPr>
        <w:t>12), разрешающую компетентному органу Нидерландов выдать в соответствии с подразделом</w:t>
      </w:r>
      <w:r w:rsidR="00F937B0">
        <w:rPr>
          <w:bCs/>
        </w:rPr>
        <w:t> </w:t>
      </w:r>
      <w:r w:rsidRPr="007267CB">
        <w:rPr>
          <w:bCs/>
        </w:rPr>
        <w:t xml:space="preserve">1.5.3.2 временное отступление для танкера </w:t>
      </w:r>
      <w:r w:rsidR="005714DB">
        <w:rPr>
          <w:bCs/>
        </w:rPr>
        <w:t>«</w:t>
      </w:r>
      <w:r w:rsidRPr="007267CB">
        <w:rPr>
          <w:bCs/>
        </w:rPr>
        <w:t>Argos-GL</w:t>
      </w:r>
      <w:r w:rsidR="005714DB">
        <w:rPr>
          <w:bCs/>
        </w:rPr>
        <w:t>»</w:t>
      </w:r>
      <w:r w:rsidRPr="007267CB">
        <w:rPr>
          <w:bCs/>
        </w:rPr>
        <w:t>, которое позволит ему использ</w:t>
      </w:r>
      <w:r w:rsidRPr="007267CB">
        <w:rPr>
          <w:bCs/>
        </w:rPr>
        <w:t>о</w:t>
      </w:r>
      <w:r w:rsidRPr="007267CB">
        <w:rPr>
          <w:bCs/>
        </w:rPr>
        <w:t>вать мембранные танки для перевозки СПГ (неофициальные документы INF.6 и INF.6/</w:t>
      </w:r>
      <w:r w:rsidRPr="007267CB">
        <w:rPr>
          <w:bCs/>
          <w:lang w:val="en-US"/>
        </w:rPr>
        <w:t>Rev</w:t>
      </w:r>
      <w:r w:rsidRPr="007267CB">
        <w:rPr>
          <w:bCs/>
        </w:rPr>
        <w:t xml:space="preserve">.1, выпущенные для двадцать седьмой сессии Комитета по вопросам безопасности) (см. приложение II). Как было отмечено Комитетом по вопросам безопасности ВОПОГ (см. </w:t>
      </w:r>
      <w:r w:rsidRPr="007267CB">
        <w:rPr>
          <w:bCs/>
          <w:lang w:val="en-US"/>
        </w:rPr>
        <w:t>ECE</w:t>
      </w:r>
      <w:r w:rsidRPr="007267CB">
        <w:rPr>
          <w:bCs/>
        </w:rPr>
        <w:t>/</w:t>
      </w:r>
      <w:r w:rsidRPr="007267CB">
        <w:rPr>
          <w:bCs/>
          <w:lang w:val="en-US"/>
        </w:rPr>
        <w:t>TRANS</w:t>
      </w:r>
      <w:r w:rsidRPr="007267CB">
        <w:rPr>
          <w:bCs/>
        </w:rPr>
        <w:t>/</w:t>
      </w:r>
      <w:r w:rsidRPr="007267CB">
        <w:rPr>
          <w:bCs/>
          <w:lang w:val="en-US"/>
        </w:rPr>
        <w:t>WP</w:t>
      </w:r>
      <w:r w:rsidRPr="007267CB">
        <w:rPr>
          <w:bCs/>
        </w:rPr>
        <w:t>.15/</w:t>
      </w:r>
      <w:r w:rsidRPr="007267CB">
        <w:rPr>
          <w:bCs/>
          <w:lang w:val="en-US"/>
        </w:rPr>
        <w:t>AC</w:t>
      </w:r>
      <w:r w:rsidRPr="007267CB">
        <w:rPr>
          <w:bCs/>
        </w:rPr>
        <w:t>.2/56, пункт 11), на стр.</w:t>
      </w:r>
      <w:r w:rsidR="00F937B0">
        <w:rPr>
          <w:bCs/>
        </w:rPr>
        <w:t> </w:t>
      </w:r>
      <w:r w:rsidRPr="007267CB">
        <w:rPr>
          <w:bCs/>
        </w:rPr>
        <w:t xml:space="preserve">26/27 доклада </w:t>
      </w:r>
      <w:r w:rsidR="005714DB">
        <w:rPr>
          <w:bCs/>
        </w:rPr>
        <w:t>«</w:t>
      </w:r>
      <w:r w:rsidRPr="007267CB">
        <w:rPr>
          <w:bCs/>
        </w:rPr>
        <w:t>Damen</w:t>
      </w:r>
      <w:r w:rsidR="005714DB">
        <w:rPr>
          <w:bCs/>
        </w:rPr>
        <w:t>»</w:t>
      </w:r>
      <w:r w:rsidRPr="007267CB">
        <w:rPr>
          <w:bCs/>
        </w:rPr>
        <w:t>, содержащегося в неофициальном документе INF.6, в расчете на этапе 13 допущена ошибка, которую необходимо исправить (заменить</w:t>
      </w:r>
      <w:r w:rsidR="004B6A6E">
        <w:rPr>
          <w:bCs/>
        </w:rPr>
        <w:t xml:space="preserve"> «</w:t>
      </w:r>
      <w:r w:rsidRPr="007267CB">
        <w:rPr>
          <w:bCs/>
        </w:rPr>
        <w:t>760</w:t>
      </w:r>
      <w:r w:rsidR="00DC2816">
        <w:rPr>
          <w:bCs/>
        </w:rPr>
        <w:t> </w:t>
      </w:r>
      <w:r w:rsidRPr="007267CB">
        <w:rPr>
          <w:bCs/>
        </w:rPr>
        <w:t>м</w:t>
      </w:r>
      <w:r w:rsidRPr="007267CB">
        <w:rPr>
          <w:bCs/>
          <w:vertAlign w:val="superscript"/>
        </w:rPr>
        <w:t>3</w:t>
      </w:r>
      <w:r w:rsidR="005714DB">
        <w:rPr>
          <w:bCs/>
        </w:rPr>
        <w:t>»</w:t>
      </w:r>
      <w:r w:rsidRPr="007267CB">
        <w:rPr>
          <w:bCs/>
        </w:rPr>
        <w:t xml:space="preserve"> на </w:t>
      </w:r>
      <w:r w:rsidR="005714DB">
        <w:rPr>
          <w:bCs/>
        </w:rPr>
        <w:t>«</w:t>
      </w:r>
      <w:r w:rsidRPr="007267CB">
        <w:rPr>
          <w:bCs/>
        </w:rPr>
        <w:t>935 м</w:t>
      </w:r>
      <w:r w:rsidRPr="007267CB">
        <w:rPr>
          <w:bCs/>
          <w:vertAlign w:val="superscript"/>
        </w:rPr>
        <w:t>3</w:t>
      </w:r>
      <w:r w:rsidR="005714DB">
        <w:rPr>
          <w:bCs/>
        </w:rPr>
        <w:t>»</w:t>
      </w:r>
      <w:r w:rsidRPr="007267CB">
        <w:rPr>
          <w:bCs/>
        </w:rPr>
        <w:t>).</w:t>
      </w:r>
    </w:p>
    <w:p w:rsidR="007267CB" w:rsidRPr="00DC2816" w:rsidRDefault="007267CB" w:rsidP="007267CB">
      <w:pPr>
        <w:pStyle w:val="SingleTxt"/>
        <w:rPr>
          <w:bCs/>
          <w:lang w:val="en-US"/>
        </w:rPr>
      </w:pPr>
      <w:r w:rsidRPr="007267CB">
        <w:rPr>
          <w:bCs/>
        </w:rPr>
        <w:t>13.</w:t>
      </w:r>
      <w:r w:rsidRPr="007267CB">
        <w:rPr>
          <w:bCs/>
        </w:rPr>
        <w:tab/>
        <w:t>Было отмечено, что со времени проведения последней сессии было иниц</w:t>
      </w:r>
      <w:r w:rsidRPr="007267CB">
        <w:rPr>
          <w:bCs/>
        </w:rPr>
        <w:t>и</w:t>
      </w:r>
      <w:r w:rsidRPr="007267CB">
        <w:rPr>
          <w:bCs/>
        </w:rPr>
        <w:t>ировано три многосторонних соглашения о перевозке контейнеров с электрооб</w:t>
      </w:r>
      <w:r w:rsidRPr="007267CB">
        <w:rPr>
          <w:bCs/>
        </w:rPr>
        <w:t>о</w:t>
      </w:r>
      <w:r w:rsidRPr="007267CB">
        <w:rPr>
          <w:bCs/>
        </w:rPr>
        <w:t>рудованием, расположенным на внешней поверхности контейнера, подтвержд</w:t>
      </w:r>
      <w:r w:rsidRPr="007267CB">
        <w:rPr>
          <w:bCs/>
        </w:rPr>
        <w:t>е</w:t>
      </w:r>
      <w:r w:rsidRPr="007267CB">
        <w:rPr>
          <w:bCs/>
        </w:rPr>
        <w:t>нии достаточной остойчивости неповрежденного судна в соответствии с пун</w:t>
      </w:r>
      <w:r w:rsidRPr="007267CB">
        <w:rPr>
          <w:bCs/>
        </w:rPr>
        <w:t>к</w:t>
      </w:r>
      <w:r w:rsidRPr="007267CB">
        <w:rPr>
          <w:bCs/>
        </w:rPr>
        <w:t>том</w:t>
      </w:r>
      <w:r w:rsidR="00DC2816">
        <w:rPr>
          <w:bCs/>
        </w:rPr>
        <w:t> </w:t>
      </w:r>
      <w:r w:rsidRPr="007267CB">
        <w:rPr>
          <w:bCs/>
        </w:rPr>
        <w:t>9.3.2.13.3 и подтверждении достаточной остойчивости неповрежденного судна в соответствии с пунктом 9.3.1.13.3 и 9.3.3.13.3 (см.</w:t>
      </w:r>
      <w:r w:rsidR="00597B5B">
        <w:rPr>
          <w:bCs/>
        </w:rPr>
        <w:t xml:space="preserve"> </w:t>
      </w:r>
      <w:hyperlink r:id="rId15" w:history="1">
        <w:r w:rsidRPr="00597B5B">
          <w:rPr>
            <w:rStyle w:val="Hyperlink"/>
            <w:bCs/>
            <w:color w:val="auto"/>
            <w:u w:val="none"/>
            <w:lang w:val="en-US"/>
          </w:rPr>
          <w:t>http</w:t>
        </w:r>
        <w:r w:rsidRPr="00DC2816">
          <w:rPr>
            <w:rStyle w:val="Hyperlink"/>
            <w:bCs/>
            <w:color w:val="auto"/>
            <w:u w:val="none"/>
            <w:lang w:val="en-US"/>
          </w:rPr>
          <w:t>://</w:t>
        </w:r>
        <w:r w:rsidRPr="00597B5B">
          <w:rPr>
            <w:rStyle w:val="Hyperlink"/>
            <w:bCs/>
            <w:color w:val="auto"/>
            <w:u w:val="none"/>
            <w:lang w:val="en-US"/>
          </w:rPr>
          <w:t>www</w:t>
        </w:r>
        <w:r w:rsidRPr="00DC2816">
          <w:rPr>
            <w:rStyle w:val="Hyperlink"/>
            <w:bCs/>
            <w:color w:val="auto"/>
            <w:u w:val="none"/>
            <w:lang w:val="en-US"/>
          </w:rPr>
          <w:t>.</w:t>
        </w:r>
        <w:r w:rsidRPr="00597B5B">
          <w:rPr>
            <w:rStyle w:val="Hyperlink"/>
            <w:bCs/>
            <w:color w:val="auto"/>
            <w:u w:val="none"/>
            <w:lang w:val="en-US"/>
          </w:rPr>
          <w:t>unece</w:t>
        </w:r>
        <w:r w:rsidRPr="00DC2816">
          <w:rPr>
            <w:rStyle w:val="Hyperlink"/>
            <w:bCs/>
            <w:color w:val="auto"/>
            <w:u w:val="none"/>
            <w:lang w:val="en-US"/>
          </w:rPr>
          <w:t>.</w:t>
        </w:r>
        <w:r w:rsidRPr="00597B5B">
          <w:rPr>
            <w:rStyle w:val="Hyperlink"/>
            <w:bCs/>
            <w:color w:val="auto"/>
            <w:u w:val="none"/>
            <w:lang w:val="en-US"/>
          </w:rPr>
          <w:t>org</w:t>
        </w:r>
        <w:r w:rsidRPr="00DC2816">
          <w:rPr>
            <w:rStyle w:val="Hyperlink"/>
            <w:bCs/>
            <w:color w:val="auto"/>
            <w:u w:val="none"/>
            <w:lang w:val="en-US"/>
          </w:rPr>
          <w:t>/</w:t>
        </w:r>
        <w:r w:rsidR="00DC2816">
          <w:rPr>
            <w:rStyle w:val="Hyperlink"/>
            <w:bCs/>
            <w:color w:val="auto"/>
            <w:u w:val="none"/>
          </w:rPr>
          <w:t xml:space="preserve"> </w:t>
        </w:r>
        <w:r w:rsidRPr="00597B5B">
          <w:rPr>
            <w:rStyle w:val="Hyperlink"/>
            <w:bCs/>
            <w:color w:val="auto"/>
            <w:u w:val="none"/>
            <w:lang w:val="en-US"/>
          </w:rPr>
          <w:t>trans</w:t>
        </w:r>
        <w:r w:rsidRPr="00DC2816">
          <w:rPr>
            <w:rStyle w:val="Hyperlink"/>
            <w:bCs/>
            <w:color w:val="auto"/>
            <w:u w:val="none"/>
            <w:lang w:val="en-US"/>
          </w:rPr>
          <w:t>/</w:t>
        </w:r>
        <w:r w:rsidRPr="00597B5B">
          <w:rPr>
            <w:rStyle w:val="Hyperlink"/>
            <w:bCs/>
            <w:color w:val="auto"/>
            <w:u w:val="none"/>
            <w:lang w:val="en-US"/>
          </w:rPr>
          <w:t>danger</w:t>
        </w:r>
        <w:r w:rsidRPr="00DC2816">
          <w:rPr>
            <w:rStyle w:val="Hyperlink"/>
            <w:bCs/>
            <w:color w:val="auto"/>
            <w:u w:val="none"/>
            <w:lang w:val="en-US"/>
          </w:rPr>
          <w:t>/</w:t>
        </w:r>
        <w:r w:rsidRPr="00597B5B">
          <w:rPr>
            <w:rStyle w:val="Hyperlink"/>
            <w:bCs/>
            <w:color w:val="auto"/>
            <w:u w:val="none"/>
            <w:lang w:val="en-US"/>
          </w:rPr>
          <w:t>publi</w:t>
        </w:r>
        <w:r w:rsidRPr="00DC2816">
          <w:rPr>
            <w:rStyle w:val="Hyperlink"/>
            <w:bCs/>
            <w:color w:val="auto"/>
            <w:u w:val="none"/>
            <w:lang w:val="en-US"/>
          </w:rPr>
          <w:t>/</w:t>
        </w:r>
        <w:r w:rsidRPr="00597B5B">
          <w:rPr>
            <w:rStyle w:val="Hyperlink"/>
            <w:bCs/>
            <w:color w:val="auto"/>
            <w:u w:val="none"/>
            <w:lang w:val="en-US"/>
          </w:rPr>
          <w:t>adn</w:t>
        </w:r>
        <w:r w:rsidRPr="00DC2816">
          <w:rPr>
            <w:rStyle w:val="Hyperlink"/>
            <w:bCs/>
            <w:color w:val="auto"/>
            <w:u w:val="none"/>
            <w:lang w:val="en-US"/>
          </w:rPr>
          <w:t>/</w:t>
        </w:r>
        <w:r w:rsidRPr="00597B5B">
          <w:rPr>
            <w:rStyle w:val="Hyperlink"/>
            <w:bCs/>
            <w:color w:val="auto"/>
            <w:u w:val="none"/>
            <w:lang w:val="en-US"/>
          </w:rPr>
          <w:t>multilateral</w:t>
        </w:r>
        <w:r w:rsidRPr="00DC2816">
          <w:rPr>
            <w:rStyle w:val="Hyperlink"/>
            <w:bCs/>
            <w:color w:val="auto"/>
            <w:u w:val="none"/>
            <w:lang w:val="en-US"/>
          </w:rPr>
          <w:t>-</w:t>
        </w:r>
        <w:r w:rsidRPr="00597B5B">
          <w:rPr>
            <w:rStyle w:val="Hyperlink"/>
            <w:bCs/>
            <w:color w:val="auto"/>
            <w:u w:val="none"/>
            <w:lang w:val="en-US"/>
          </w:rPr>
          <w:t>agreements</w:t>
        </w:r>
        <w:r w:rsidRPr="00DC2816">
          <w:rPr>
            <w:rStyle w:val="Hyperlink"/>
            <w:bCs/>
            <w:color w:val="auto"/>
            <w:u w:val="none"/>
            <w:lang w:val="en-US"/>
          </w:rPr>
          <w:t>.</w:t>
        </w:r>
        <w:r w:rsidRPr="00597B5B">
          <w:rPr>
            <w:rStyle w:val="Hyperlink"/>
            <w:bCs/>
            <w:color w:val="auto"/>
            <w:u w:val="none"/>
            <w:lang w:val="en-US"/>
          </w:rPr>
          <w:t>html</w:t>
        </w:r>
      </w:hyperlink>
      <w:r w:rsidRPr="00DC2816">
        <w:rPr>
          <w:bCs/>
          <w:lang w:val="en-US"/>
        </w:rPr>
        <w:t>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14.</w:t>
      </w:r>
      <w:r w:rsidRPr="007267CB">
        <w:rPr>
          <w:bCs/>
        </w:rPr>
        <w:tab/>
        <w:t>Участникам напомнили, что тексты специальных разрешений, специальных соглашений, отступлений и эквивалентных аналогов, а также сведения об их с</w:t>
      </w:r>
      <w:r w:rsidRPr="007267CB">
        <w:rPr>
          <w:bCs/>
        </w:rPr>
        <w:t>о</w:t>
      </w:r>
      <w:r w:rsidRPr="007267CB">
        <w:rPr>
          <w:bCs/>
        </w:rPr>
        <w:t>стоянии и тексты уведомлений размещены на веб-сайте секретариата по след</w:t>
      </w:r>
      <w:r w:rsidRPr="007267CB">
        <w:rPr>
          <w:bCs/>
        </w:rPr>
        <w:t>у</w:t>
      </w:r>
      <w:r w:rsidRPr="007267CB">
        <w:rPr>
          <w:bCs/>
        </w:rPr>
        <w:t xml:space="preserve">ющему адресу: </w:t>
      </w:r>
      <w:hyperlink r:id="rId16" w:history="1">
        <w:r w:rsidRPr="003F7D75">
          <w:rPr>
            <w:rStyle w:val="Hyperlink"/>
            <w:bCs/>
            <w:color w:val="auto"/>
            <w:u w:val="none"/>
          </w:rPr>
          <w:t>http://www.unece.org/trans/danger/danger.htm</w:t>
        </w:r>
      </w:hyperlink>
      <w:r w:rsidRPr="007267CB">
        <w:rPr>
          <w:bCs/>
        </w:rPr>
        <w:t>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597B5B" w:rsidP="007C5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C.</w:t>
      </w:r>
      <w:r w:rsidR="007267CB" w:rsidRPr="007267CB">
        <w:tab/>
        <w:t>Различные уведомления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  <w:i/>
          <w:iCs/>
        </w:rPr>
        <w:t>Неофициальные документы:</w:t>
      </w:r>
      <w:r w:rsidR="00597B5B">
        <w:rPr>
          <w:bCs/>
          <w:i/>
          <w:iCs/>
        </w:rPr>
        <w:tab/>
      </w:r>
      <w:r w:rsidRPr="007267CB">
        <w:rPr>
          <w:bCs/>
        </w:rPr>
        <w:t>INF.1 и INF.2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15.</w:t>
      </w:r>
      <w:r w:rsidRPr="007267CB">
        <w:rPr>
          <w:bCs/>
        </w:rPr>
        <w:tab/>
        <w:t>Комитет принял к сведению, что правительство Чешской Республики пер</w:t>
      </w:r>
      <w:r w:rsidRPr="007267CB">
        <w:rPr>
          <w:bCs/>
        </w:rPr>
        <w:t>е</w:t>
      </w:r>
      <w:r w:rsidRPr="007267CB">
        <w:rPr>
          <w:bCs/>
        </w:rPr>
        <w:t>дало информацию о признании органа по освидетельствованию в рамках ВОПОГ в соответствии с разделом 1.16.4 (неофициальный документ INF.1). Администр</w:t>
      </w:r>
      <w:r w:rsidRPr="007267CB">
        <w:rPr>
          <w:bCs/>
        </w:rPr>
        <w:t>а</w:t>
      </w:r>
      <w:r w:rsidRPr="007267CB">
        <w:rPr>
          <w:bCs/>
        </w:rPr>
        <w:t>тивный комитет предложил пригласить чешский орган по освидетельствованию принять участие в работе одного из будущих совещаний рекомендованных кла</w:t>
      </w:r>
      <w:r w:rsidRPr="007267CB">
        <w:rPr>
          <w:bCs/>
        </w:rPr>
        <w:t>с</w:t>
      </w:r>
      <w:r w:rsidRPr="007267CB">
        <w:rPr>
          <w:bCs/>
        </w:rPr>
        <w:t>сификационных обществ ВОПОГ. Комитет также принял к сведению, что прав</w:t>
      </w:r>
      <w:r w:rsidRPr="007267CB">
        <w:rPr>
          <w:bCs/>
        </w:rPr>
        <w:t>и</w:t>
      </w:r>
      <w:r w:rsidRPr="007267CB">
        <w:rPr>
          <w:bCs/>
        </w:rPr>
        <w:t>тельство Германии представило отчет об аварии в соответствии с пунктом</w:t>
      </w:r>
      <w:r w:rsidR="009A785D">
        <w:rPr>
          <w:bCs/>
        </w:rPr>
        <w:t> </w:t>
      </w:r>
      <w:r w:rsidRPr="007267CB">
        <w:rPr>
          <w:bCs/>
        </w:rPr>
        <w:t>1.8.5.2 (неофициальный документ INF.2).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6C22D7" w:rsidP="006C22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D.</w:t>
      </w:r>
      <w:r w:rsidR="007267CB" w:rsidRPr="007267CB">
        <w:tab/>
        <w:t>Другие вопросы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16.</w:t>
      </w:r>
      <w:r w:rsidRPr="007267CB">
        <w:rPr>
          <w:bCs/>
        </w:rPr>
        <w:tab/>
        <w:t>Комитет предложил странам проверить контактную информацию об их компетентном органе и, при необходимости, признать классификационные общ</w:t>
      </w:r>
      <w:r w:rsidRPr="007267CB">
        <w:rPr>
          <w:bCs/>
        </w:rPr>
        <w:t>е</w:t>
      </w:r>
      <w:r w:rsidRPr="007267CB">
        <w:rPr>
          <w:bCs/>
        </w:rPr>
        <w:t>ства, включенные в рекомендованный список в соответствии с пунктом</w:t>
      </w:r>
      <w:r w:rsidR="009A785D">
        <w:rPr>
          <w:bCs/>
        </w:rPr>
        <w:t> </w:t>
      </w:r>
      <w:r w:rsidRPr="007267CB">
        <w:rPr>
          <w:bCs/>
        </w:rPr>
        <w:t>1.15.2.4 прилагаемых Правил, если они еще не сделали этого.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6C22D7" w:rsidP="00BB7C0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V.</w:t>
      </w:r>
      <w:r w:rsidR="007267CB" w:rsidRPr="007267CB">
        <w:tab/>
        <w:t xml:space="preserve">Работа Комитета по вопросам безопасности </w:t>
      </w:r>
      <w:r>
        <w:br/>
      </w:r>
      <w:r w:rsidR="007267CB" w:rsidRPr="007267CB">
        <w:t>(пункт</w:t>
      </w:r>
      <w:r>
        <w:t> </w:t>
      </w:r>
      <w:r w:rsidR="007267CB" w:rsidRPr="007267CB">
        <w:t>4 повестки</w:t>
      </w:r>
      <w:r>
        <w:t> </w:t>
      </w:r>
      <w:r w:rsidR="007267CB" w:rsidRPr="007267CB">
        <w:t>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17.</w:t>
      </w:r>
      <w:r w:rsidRPr="007267CB">
        <w:rPr>
          <w:bCs/>
        </w:rPr>
        <w:tab/>
        <w:t>Комитет принял к сведению информацию о работе Комитета по вопросам безопасности, изложенную в докладе о работе его двадцать седьмой сессии, к</w:t>
      </w:r>
      <w:r w:rsidRPr="007267CB">
        <w:rPr>
          <w:bCs/>
        </w:rPr>
        <w:t>о</w:t>
      </w:r>
      <w:r w:rsidRPr="007267CB">
        <w:rPr>
          <w:bCs/>
        </w:rPr>
        <w:t>торый был утвержден на основе проекта доклада, подготовленного секретари</w:t>
      </w:r>
      <w:r w:rsidRPr="007267CB">
        <w:rPr>
          <w:bCs/>
        </w:rPr>
        <w:t>а</w:t>
      </w:r>
      <w:r w:rsidRPr="007267CB">
        <w:rPr>
          <w:bCs/>
        </w:rPr>
        <w:t>том (ECE/TRANS/WP.15/AC.2/2015/CRP.3 и Add. 1</w:t>
      </w:r>
      <w:r w:rsidR="00F937B0">
        <w:rPr>
          <w:bCs/>
        </w:rPr>
        <w:t>–</w:t>
      </w:r>
      <w:r w:rsidRPr="007267CB">
        <w:rPr>
          <w:bCs/>
        </w:rPr>
        <w:t>7 и ECE/TRANS/WP.15/AC.2/</w:t>
      </w:r>
      <w:r w:rsidR="00F937B0">
        <w:rPr>
          <w:bCs/>
        </w:rPr>
        <w:t xml:space="preserve"> </w:t>
      </w:r>
      <w:r w:rsidRPr="007267CB">
        <w:rPr>
          <w:bCs/>
        </w:rPr>
        <w:t>2015/CRP.4 и Add. 1) и принятого Комитетом по вопросам безопасности в ходе чтения доклада (ECE/TRANS/WP.15/AC.2/56).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18.</w:t>
      </w:r>
      <w:r w:rsidRPr="007267CB">
        <w:rPr>
          <w:bCs/>
        </w:rPr>
        <w:tab/>
        <w:t>Комитет постановил рассмотреть предложенные поправки к Правилам, прилагаемым к ВОПОГ, для вступления в силу 1 января 2017</w:t>
      </w:r>
      <w:r w:rsidR="005714DB">
        <w:rPr>
          <w:bCs/>
        </w:rPr>
        <w:t> год</w:t>
      </w:r>
      <w:r w:rsidRPr="007267CB">
        <w:rPr>
          <w:bCs/>
        </w:rPr>
        <w:t>а, содержащиеся в приложении I к документу ECE/TRANS/WP.15/AC.2/56, вместе со всеми др</w:t>
      </w:r>
      <w:r w:rsidRPr="007267CB">
        <w:rPr>
          <w:bCs/>
        </w:rPr>
        <w:t>у</w:t>
      </w:r>
      <w:r w:rsidRPr="007267CB">
        <w:rPr>
          <w:bCs/>
        </w:rPr>
        <w:t>гими проектами поправок, принятыми в 2014 и 2015</w:t>
      </w:r>
      <w:r w:rsidR="005714DB">
        <w:rPr>
          <w:bCs/>
        </w:rPr>
        <w:t> год</w:t>
      </w:r>
      <w:r w:rsidRPr="007267CB">
        <w:rPr>
          <w:bCs/>
        </w:rPr>
        <w:t>ах, которые еще не были одобрены Административным комитетом, как единый пакет поправок на своей шестнадцатой сессии, которая состоится 29 января 2016</w:t>
      </w:r>
      <w:r w:rsidR="005714DB">
        <w:rPr>
          <w:bCs/>
        </w:rPr>
        <w:t> год</w:t>
      </w:r>
      <w:r w:rsidRPr="007267CB">
        <w:rPr>
          <w:bCs/>
        </w:rPr>
        <w:t>а.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613924" w:rsidP="006139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VI.</w:t>
      </w:r>
      <w:r w:rsidR="007267CB" w:rsidRPr="007267CB">
        <w:tab/>
        <w:t xml:space="preserve">Программа работы и расписание совещаний </w:t>
      </w:r>
      <w:r>
        <w:br/>
      </w:r>
      <w:r w:rsidR="007267CB" w:rsidRPr="007267CB">
        <w:t>(пункт 5 повестки 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19. Комитет отметил, что его следующую сессию планируется провести 29</w:t>
      </w:r>
      <w:r w:rsidR="009A785D">
        <w:rPr>
          <w:bCs/>
        </w:rPr>
        <w:t> </w:t>
      </w:r>
      <w:r w:rsidRPr="007267CB">
        <w:rPr>
          <w:bCs/>
        </w:rPr>
        <w:t>января 2016</w:t>
      </w:r>
      <w:r w:rsidR="005714DB">
        <w:rPr>
          <w:bCs/>
        </w:rPr>
        <w:t> год</w:t>
      </w:r>
      <w:r w:rsidRPr="007267CB">
        <w:rPr>
          <w:bCs/>
        </w:rPr>
        <w:t>а в 12 ч. 00 м</w:t>
      </w:r>
      <w:r w:rsidR="007F1EEB">
        <w:rPr>
          <w:bCs/>
        </w:rPr>
        <w:t>.</w:t>
      </w:r>
      <w:r w:rsidRPr="007267CB">
        <w:rPr>
          <w:bCs/>
        </w:rPr>
        <w:t xml:space="preserve"> и что крайним сроком представления докуме</w:t>
      </w:r>
      <w:r w:rsidRPr="007267CB">
        <w:rPr>
          <w:bCs/>
        </w:rPr>
        <w:t>н</w:t>
      </w:r>
      <w:r w:rsidRPr="007267CB">
        <w:rPr>
          <w:bCs/>
        </w:rPr>
        <w:t>тов для этой сессии является 30 октября 2015</w:t>
      </w:r>
      <w:r w:rsidR="005714DB">
        <w:rPr>
          <w:bCs/>
        </w:rPr>
        <w:t> год</w:t>
      </w:r>
      <w:r w:rsidRPr="007267CB">
        <w:rPr>
          <w:bCs/>
        </w:rPr>
        <w:t>а.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8412E1" w:rsidP="008412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VII.</w:t>
      </w:r>
      <w:r w:rsidR="007267CB" w:rsidRPr="007267CB">
        <w:tab/>
        <w:t>Прочие вопросы (пункт 6 повестки 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20.</w:t>
      </w:r>
      <w:r w:rsidRPr="007267CB">
        <w:rPr>
          <w:bCs/>
        </w:rPr>
        <w:tab/>
        <w:t>Никакие прочие вопросы не обсуждались.</w:t>
      </w: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8412E1" w:rsidP="008412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267CB" w:rsidRPr="007267CB">
        <w:t>VIII.</w:t>
      </w:r>
      <w:r w:rsidR="007267CB" w:rsidRPr="007267CB">
        <w:tab/>
        <w:t>Утверждение доклада (пункт 7 повестки дня)</w:t>
      </w: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Pr="00EB4DD6" w:rsidRDefault="00EB4DD6" w:rsidP="00EB4DD6">
      <w:pPr>
        <w:pStyle w:val="SingleTxt"/>
        <w:spacing w:after="0" w:line="120" w:lineRule="exact"/>
        <w:rPr>
          <w:bCs/>
          <w:sz w:val="10"/>
        </w:rPr>
      </w:pPr>
    </w:p>
    <w:p w:rsidR="00EB4DD6" w:rsidRDefault="007267CB" w:rsidP="007267CB">
      <w:pPr>
        <w:pStyle w:val="SingleTxt"/>
        <w:rPr>
          <w:bCs/>
        </w:rPr>
      </w:pPr>
      <w:r w:rsidRPr="007267CB">
        <w:rPr>
          <w:bCs/>
        </w:rPr>
        <w:t>21.</w:t>
      </w:r>
      <w:r w:rsidRPr="007267CB">
        <w:rPr>
          <w:bCs/>
        </w:rPr>
        <w:tab/>
        <w:t>Административный комитет утвердил доклад о работе своей пятнадцатой сессии на основе проекта, подготовленного секретариатом и разосланного учас</w:t>
      </w:r>
      <w:r w:rsidRPr="007267CB">
        <w:rPr>
          <w:bCs/>
        </w:rPr>
        <w:t>т</w:t>
      </w:r>
      <w:r w:rsidRPr="007267CB">
        <w:rPr>
          <w:bCs/>
        </w:rPr>
        <w:t>никам для одобрения после сессии.</w:t>
      </w:r>
    </w:p>
    <w:p w:rsidR="007267CB" w:rsidRPr="00FF0393" w:rsidRDefault="00EB4DD6" w:rsidP="008412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0393">
        <w:br w:type="page"/>
      </w:r>
      <w:r w:rsidR="007267CB" w:rsidRPr="00FF0393">
        <w:t>Приложение I</w:t>
      </w:r>
    </w:p>
    <w:p w:rsidR="00FF0393" w:rsidRPr="00FF0393" w:rsidRDefault="00FF0393" w:rsidP="00FF0393">
      <w:pPr>
        <w:pStyle w:val="SingleTxt"/>
        <w:spacing w:after="0" w:line="120" w:lineRule="exact"/>
        <w:rPr>
          <w:b/>
          <w:bCs/>
          <w:sz w:val="10"/>
        </w:rPr>
      </w:pPr>
    </w:p>
    <w:p w:rsidR="00FF0393" w:rsidRPr="00FF0393" w:rsidRDefault="00FF0393" w:rsidP="00FF0393">
      <w:pPr>
        <w:pStyle w:val="SingleTxt"/>
        <w:spacing w:after="0" w:line="120" w:lineRule="exact"/>
        <w:rPr>
          <w:b/>
          <w:bCs/>
          <w:sz w:val="10"/>
        </w:rPr>
      </w:pPr>
    </w:p>
    <w:p w:rsidR="00FF0393" w:rsidRPr="00FF0393" w:rsidRDefault="00FF0393" w:rsidP="00FF0393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7267CB" w:rsidP="008412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67CB">
        <w:tab/>
      </w:r>
      <w:r w:rsidR="008412E1">
        <w:tab/>
      </w:r>
      <w:r w:rsidRPr="007267CB">
        <w:t>Решение Административного комитета ВОПОГ в</w:t>
      </w:r>
      <w:r w:rsidR="008412E1">
        <w:t> </w:t>
      </w:r>
      <w:r w:rsidRPr="007267CB">
        <w:t xml:space="preserve">отношении танкера </w:t>
      </w:r>
      <w:r w:rsidR="005714DB">
        <w:t>«</w:t>
      </w:r>
      <w:r w:rsidRPr="007267CB">
        <w:t>Argos-GL</w:t>
      </w:r>
      <w:r w:rsidR="005714DB">
        <w:t>»</w:t>
      </w:r>
    </w:p>
    <w:p w:rsidR="00FF0393" w:rsidRPr="00FF0393" w:rsidRDefault="00FF0393" w:rsidP="00FF0393">
      <w:pPr>
        <w:pStyle w:val="SingleTxt"/>
        <w:spacing w:after="0" w:line="120" w:lineRule="exact"/>
        <w:rPr>
          <w:bCs/>
          <w:sz w:val="10"/>
        </w:rPr>
      </w:pPr>
    </w:p>
    <w:p w:rsidR="00FF0393" w:rsidRPr="00FF0393" w:rsidRDefault="00FF0393" w:rsidP="00FF0393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841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67CB">
        <w:tab/>
      </w:r>
      <w:r w:rsidR="008412E1">
        <w:tab/>
      </w:r>
      <w:r w:rsidRPr="007267CB">
        <w:t>Отступление № 1/2015 от 28 августа2015</w:t>
      </w:r>
      <w:r w:rsidR="005714DB">
        <w:t> год</w:t>
      </w:r>
      <w:r w:rsidRPr="007267CB">
        <w:t>а</w:t>
      </w:r>
    </w:p>
    <w:p w:rsidR="00FF0393" w:rsidRPr="00FF0393" w:rsidRDefault="00FF0393" w:rsidP="00FF0393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7267CB" w:rsidP="007267CB">
      <w:pPr>
        <w:pStyle w:val="SingleTxt"/>
        <w:rPr>
          <w:b/>
          <w:bCs/>
        </w:rPr>
      </w:pPr>
      <w:r w:rsidRPr="007267CB">
        <w:rPr>
          <w:b/>
          <w:bCs/>
        </w:rPr>
        <w:tab/>
      </w:r>
      <w:r w:rsidRPr="007267CB">
        <w:rPr>
          <w:bCs/>
        </w:rPr>
        <w:t>Компетентному органу Нидерландов разрешается выдать пробное свид</w:t>
      </w:r>
      <w:r w:rsidRPr="007267CB">
        <w:rPr>
          <w:bCs/>
        </w:rPr>
        <w:t>е</w:t>
      </w:r>
      <w:r w:rsidRPr="007267CB">
        <w:rPr>
          <w:bCs/>
        </w:rPr>
        <w:t xml:space="preserve">тельство о допущении для самоходного танкера </w:t>
      </w:r>
      <w:r w:rsidR="005714DB">
        <w:rPr>
          <w:bCs/>
        </w:rPr>
        <w:t>«</w:t>
      </w:r>
      <w:r w:rsidRPr="007267CB">
        <w:rPr>
          <w:bCs/>
        </w:rPr>
        <w:t>Argos-GL</w:t>
      </w:r>
      <w:r w:rsidR="005714DB">
        <w:rPr>
          <w:bCs/>
        </w:rPr>
        <w:t>»</w:t>
      </w:r>
      <w:r w:rsidR="008F257D">
        <w:rPr>
          <w:bCs/>
        </w:rPr>
        <w:t xml:space="preserve"> </w:t>
      </w:r>
      <w:r w:rsidRPr="007267CB">
        <w:rPr>
          <w:bCs/>
        </w:rPr>
        <w:t>(европейский иде</w:t>
      </w:r>
      <w:r w:rsidRPr="007267CB">
        <w:rPr>
          <w:bCs/>
        </w:rPr>
        <w:t>н</w:t>
      </w:r>
      <w:r w:rsidRPr="007267CB">
        <w:rPr>
          <w:bCs/>
        </w:rPr>
        <w:t>тификационный номер подлежит определению), позволяющее ему использовать в качестве топлива для двигательной установки сжиженный природный газ (СПГ).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ab/>
        <w:t>В соответствии с подразделом 1.5.3.2 Правил, прилагаемых к ВОПОГ, в</w:t>
      </w:r>
      <w:r w:rsidRPr="007267CB">
        <w:rPr>
          <w:bCs/>
        </w:rPr>
        <w:t>ы</w:t>
      </w:r>
      <w:r w:rsidRPr="007267CB">
        <w:rPr>
          <w:bCs/>
        </w:rPr>
        <w:t>шеупомянутое судно может отступать от требований пунктов 7.</w:t>
      </w:r>
      <w:r w:rsidR="00F30714">
        <w:rPr>
          <w:bCs/>
        </w:rPr>
        <w:t>1</w:t>
      </w:r>
      <w:r w:rsidRPr="007267CB">
        <w:rPr>
          <w:bCs/>
        </w:rPr>
        <w:t>.3.31 и 9.1.0.31.1 до 30 июня 2019</w:t>
      </w:r>
      <w:r w:rsidR="005714DB">
        <w:rPr>
          <w:bCs/>
        </w:rPr>
        <w:t> год</w:t>
      </w:r>
      <w:r w:rsidRPr="007267CB">
        <w:rPr>
          <w:bCs/>
        </w:rPr>
        <w:t>а. Административный комитет постановил, что использов</w:t>
      </w:r>
      <w:r w:rsidRPr="007267CB">
        <w:rPr>
          <w:bCs/>
        </w:rPr>
        <w:t>а</w:t>
      </w:r>
      <w:r w:rsidRPr="007267CB">
        <w:rPr>
          <w:bCs/>
        </w:rPr>
        <w:t>ние СПГ является достаточно безопасным при условии неизменного выполнения следующих требований:</w:t>
      </w:r>
    </w:p>
    <w:p w:rsidR="007267CB" w:rsidRPr="007267CB" w:rsidRDefault="007267CB" w:rsidP="006E411B">
      <w:pPr>
        <w:pStyle w:val="SingleTxt"/>
        <w:ind w:left="1742" w:hanging="475"/>
        <w:rPr>
          <w:bCs/>
        </w:rPr>
      </w:pPr>
      <w:r w:rsidRPr="007267CB">
        <w:rPr>
          <w:bCs/>
        </w:rPr>
        <w:t>1.</w:t>
      </w:r>
      <w:r w:rsidRPr="007267CB">
        <w:rPr>
          <w:bCs/>
        </w:rPr>
        <w:tab/>
        <w:t>Судно имеет действительное судовое свидетельство в соответствии с Пр</w:t>
      </w:r>
      <w:r w:rsidRPr="007267CB">
        <w:rPr>
          <w:bCs/>
        </w:rPr>
        <w:t>а</w:t>
      </w:r>
      <w:r w:rsidRPr="007267CB">
        <w:rPr>
          <w:bCs/>
        </w:rPr>
        <w:t>вилами освидетельствования судов на Рейне на основании рекоменд</w:t>
      </w:r>
      <w:r w:rsidRPr="007267CB">
        <w:rPr>
          <w:bCs/>
        </w:rPr>
        <w:t>а</w:t>
      </w:r>
      <w:r w:rsidRPr="007267CB">
        <w:rPr>
          <w:bCs/>
        </w:rPr>
        <w:t>ции</w:t>
      </w:r>
      <w:r w:rsidR="001C318A">
        <w:rPr>
          <w:bCs/>
        </w:rPr>
        <w:t> </w:t>
      </w:r>
      <w:r w:rsidRPr="007267CB">
        <w:rPr>
          <w:bCs/>
        </w:rPr>
        <w:t>19/2014 ЦКСР от 9 сентября 2014</w:t>
      </w:r>
      <w:r w:rsidR="005714DB">
        <w:rPr>
          <w:bCs/>
        </w:rPr>
        <w:t> год</w:t>
      </w:r>
      <w:r w:rsidRPr="007267CB">
        <w:rPr>
          <w:bCs/>
        </w:rPr>
        <w:t>а.</w:t>
      </w:r>
    </w:p>
    <w:p w:rsidR="007267CB" w:rsidRPr="007267CB" w:rsidRDefault="007267CB" w:rsidP="006E411B">
      <w:pPr>
        <w:pStyle w:val="SingleTxt"/>
        <w:ind w:left="1742" w:hanging="475"/>
        <w:rPr>
          <w:bCs/>
        </w:rPr>
      </w:pPr>
      <w:r w:rsidRPr="007267CB">
        <w:rPr>
          <w:bCs/>
        </w:rPr>
        <w:t>2.</w:t>
      </w:r>
      <w:r w:rsidRPr="007267CB">
        <w:rPr>
          <w:bCs/>
        </w:rPr>
        <w:tab/>
        <w:t>Исследование по выявлению факторов опасности, проведенное признанным классификационным обществом</w:t>
      </w:r>
      <w:r w:rsidR="00BE5D2C" w:rsidRPr="008D06A8">
        <w:rPr>
          <w:rStyle w:val="FootnoteReference"/>
          <w:bCs/>
          <w:vertAlign w:val="baseline"/>
        </w:rPr>
        <w:footnoteReference w:customMarkFollows="1" w:id="2"/>
        <w:t>*</w:t>
      </w:r>
      <w:r w:rsidRPr="007267CB">
        <w:rPr>
          <w:bCs/>
        </w:rPr>
        <w:t>, свидетельствует о том, что уровень бе</w:t>
      </w:r>
      <w:r w:rsidRPr="007267CB">
        <w:rPr>
          <w:bCs/>
        </w:rPr>
        <w:t>з</w:t>
      </w:r>
      <w:r w:rsidRPr="007267CB">
        <w:rPr>
          <w:bCs/>
        </w:rPr>
        <w:t>опасности двигателей на СПГ является достаточным. Это исследование охватывало, в частности, следующие аспекты:</w:t>
      </w:r>
    </w:p>
    <w:p w:rsidR="007267CB" w:rsidRPr="007267CB" w:rsidRDefault="007267CB" w:rsidP="003D13E5">
      <w:pPr>
        <w:pStyle w:val="Bullet2"/>
      </w:pPr>
      <w:r w:rsidRPr="007267CB">
        <w:t>взаимодействие между грузом и СПГ;</w:t>
      </w:r>
    </w:p>
    <w:p w:rsidR="007267CB" w:rsidRPr="007267CB" w:rsidRDefault="007267CB" w:rsidP="003D13E5">
      <w:pPr>
        <w:pStyle w:val="Bullet2"/>
      </w:pPr>
      <w:r w:rsidRPr="007267CB">
        <w:t>воздействие утечки СПГ на конструкцию;</w:t>
      </w:r>
    </w:p>
    <w:p w:rsidR="007267CB" w:rsidRPr="007267CB" w:rsidRDefault="007267CB" w:rsidP="003D13E5">
      <w:pPr>
        <w:pStyle w:val="Bullet2"/>
      </w:pPr>
      <w:r w:rsidRPr="007267CB">
        <w:t>воздействие возгорания груза на систему СПГ;</w:t>
      </w:r>
    </w:p>
    <w:p w:rsidR="007267CB" w:rsidRPr="007267CB" w:rsidRDefault="007267CB" w:rsidP="003D13E5">
      <w:pPr>
        <w:pStyle w:val="Bullet2"/>
      </w:pPr>
      <w:r w:rsidRPr="007267CB">
        <w:t>различные типы опасности, возникающие при использовании в кач</w:t>
      </w:r>
      <w:r w:rsidRPr="007267CB">
        <w:t>е</w:t>
      </w:r>
      <w:r w:rsidRPr="007267CB">
        <w:t>стве топлива СПГ и дизельного топлива;</w:t>
      </w:r>
    </w:p>
    <w:p w:rsidR="007267CB" w:rsidRPr="007267CB" w:rsidRDefault="007267CB" w:rsidP="003D13E5">
      <w:pPr>
        <w:pStyle w:val="Bullet2"/>
      </w:pPr>
      <w:r w:rsidRPr="007267CB">
        <w:t>допустимое безопасное расстояние в ходе бункеровочных операций.</w:t>
      </w:r>
    </w:p>
    <w:p w:rsidR="007267CB" w:rsidRPr="007267CB" w:rsidRDefault="007267CB" w:rsidP="00024253">
      <w:pPr>
        <w:pStyle w:val="SingleTxt"/>
        <w:ind w:left="1742" w:hanging="475"/>
        <w:rPr>
          <w:bCs/>
        </w:rPr>
      </w:pPr>
      <w:r w:rsidRPr="007267CB">
        <w:rPr>
          <w:bCs/>
        </w:rPr>
        <w:t>3.</w:t>
      </w:r>
      <w:r w:rsidRPr="007267CB">
        <w:rPr>
          <w:bCs/>
        </w:rPr>
        <w:tab/>
        <w:t>Информация о том, что в качестве топлива используется СПГ, должна с</w:t>
      </w:r>
      <w:r w:rsidRPr="007267CB">
        <w:rPr>
          <w:bCs/>
        </w:rPr>
        <w:t>о</w:t>
      </w:r>
      <w:r w:rsidRPr="007267CB">
        <w:rPr>
          <w:bCs/>
        </w:rPr>
        <w:t>держаться в отчете об опасных грузах, предоставляемом в службу управл</w:t>
      </w:r>
      <w:r w:rsidRPr="007267CB">
        <w:rPr>
          <w:bCs/>
        </w:rPr>
        <w:t>е</w:t>
      </w:r>
      <w:r w:rsidRPr="007267CB">
        <w:rPr>
          <w:bCs/>
        </w:rPr>
        <w:t>ния движением судов, и в оповещениях при чрезвычайных ситуациях.</w:t>
      </w:r>
    </w:p>
    <w:p w:rsidR="007267CB" w:rsidRPr="007267CB" w:rsidRDefault="007267CB" w:rsidP="00024253">
      <w:pPr>
        <w:pStyle w:val="SingleTxt"/>
        <w:ind w:left="1742" w:hanging="475"/>
        <w:rPr>
          <w:bCs/>
        </w:rPr>
      </w:pPr>
      <w:r w:rsidRPr="007267CB">
        <w:rPr>
          <w:bCs/>
        </w:rPr>
        <w:t>4.</w:t>
      </w:r>
      <w:r w:rsidRPr="007267CB">
        <w:rPr>
          <w:bCs/>
        </w:rPr>
        <w:tab/>
        <w:t>Вся информация, связанная с использованием двигателей на СПГ, должна собираться перевозчиком. Эта информация должна по запросу направляться в соответствующий компетентный орган.</w:t>
      </w:r>
    </w:p>
    <w:p w:rsidR="007267CB" w:rsidRPr="007267CB" w:rsidRDefault="007267CB" w:rsidP="00024253">
      <w:pPr>
        <w:pStyle w:val="SingleTxt"/>
        <w:spacing w:line="360" w:lineRule="auto"/>
        <w:rPr>
          <w:bCs/>
        </w:rPr>
      </w:pPr>
      <w:r w:rsidRPr="007267CB">
        <w:rPr>
          <w:bCs/>
        </w:rPr>
        <w:t>5.</w:t>
      </w:r>
      <w:r w:rsidRPr="007267CB">
        <w:rPr>
          <w:bCs/>
        </w:rPr>
        <w:tab/>
        <w:t>В секретариат ЕЭК ООН должен направляться ежегодный доклад об оценке для информирования Административного комитета. В этом докладе об оценке должна содержаться по крайней мере следующая информация:</w:t>
      </w:r>
    </w:p>
    <w:p w:rsidR="007267CB" w:rsidRPr="007267CB" w:rsidRDefault="007267CB" w:rsidP="002605FB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a)</w:t>
      </w:r>
      <w:r w:rsidRPr="007267CB">
        <w:rPr>
          <w:bCs/>
        </w:rPr>
        <w:tab/>
        <w:t>сбои системы;</w:t>
      </w:r>
    </w:p>
    <w:p w:rsidR="007267CB" w:rsidRPr="007267CB" w:rsidRDefault="007267CB" w:rsidP="002605FB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b)</w:t>
      </w:r>
      <w:r w:rsidRPr="007267CB">
        <w:rPr>
          <w:bCs/>
        </w:rPr>
        <w:tab/>
        <w:t>утечки;</w:t>
      </w:r>
    </w:p>
    <w:p w:rsidR="007267CB" w:rsidRPr="007267CB" w:rsidRDefault="007267CB" w:rsidP="002605FB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с)</w:t>
      </w:r>
      <w:r w:rsidRPr="007267CB">
        <w:rPr>
          <w:bCs/>
        </w:rPr>
        <w:tab/>
        <w:t>бункеровочные данные (СПГ);</w:t>
      </w:r>
    </w:p>
    <w:p w:rsidR="007267CB" w:rsidRPr="007267CB" w:rsidRDefault="007267CB" w:rsidP="002605FB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d)</w:t>
      </w:r>
      <w:r w:rsidRPr="007267CB">
        <w:rPr>
          <w:bCs/>
        </w:rPr>
        <w:tab/>
        <w:t>данные о давлении;</w:t>
      </w:r>
    </w:p>
    <w:p w:rsidR="007267CB" w:rsidRPr="007267CB" w:rsidRDefault="007267CB" w:rsidP="00024253">
      <w:pPr>
        <w:pStyle w:val="SingleTxt"/>
        <w:ind w:left="2218" w:hanging="951"/>
        <w:rPr>
          <w:bCs/>
        </w:rPr>
      </w:pPr>
      <w:r w:rsidRPr="007267CB">
        <w:rPr>
          <w:bCs/>
        </w:rPr>
        <w:tab/>
        <w:t>e)</w:t>
      </w:r>
      <w:r w:rsidRPr="007267CB">
        <w:rPr>
          <w:bCs/>
        </w:rPr>
        <w:tab/>
        <w:t>внештатные ситуации, ремонтные работы и модифик</w:t>
      </w:r>
      <w:r w:rsidR="00826864">
        <w:rPr>
          <w:bCs/>
        </w:rPr>
        <w:t>ации, связанные с</w:t>
      </w:r>
      <w:r w:rsidR="00024253">
        <w:rPr>
          <w:bCs/>
        </w:rPr>
        <w:t> </w:t>
      </w:r>
      <w:r w:rsidR="00826864">
        <w:rPr>
          <w:bCs/>
        </w:rPr>
        <w:t>системой СПГ,</w:t>
      </w:r>
      <w:r w:rsidR="00826864" w:rsidRPr="00826864">
        <w:rPr>
          <w:bCs/>
        </w:rPr>
        <w:t xml:space="preserve"> </w:t>
      </w:r>
      <w:r w:rsidRPr="007267CB">
        <w:rPr>
          <w:bCs/>
        </w:rPr>
        <w:t>включая цистерну;</w:t>
      </w:r>
    </w:p>
    <w:p w:rsidR="007267CB" w:rsidRPr="007267CB" w:rsidRDefault="007267CB" w:rsidP="002605FB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f)</w:t>
      </w:r>
      <w:r w:rsidRPr="007267CB">
        <w:rPr>
          <w:bCs/>
        </w:rPr>
        <w:tab/>
        <w:t>данные о работе системы;</w:t>
      </w:r>
    </w:p>
    <w:p w:rsidR="007267CB" w:rsidRPr="007267CB" w:rsidRDefault="007267CB" w:rsidP="00024253">
      <w:pPr>
        <w:pStyle w:val="SingleTxt"/>
        <w:ind w:left="2218" w:hanging="951"/>
        <w:rPr>
          <w:bCs/>
        </w:rPr>
      </w:pPr>
      <w:r w:rsidRPr="007267CB">
        <w:rPr>
          <w:bCs/>
        </w:rPr>
        <w:tab/>
        <w:t>g)</w:t>
      </w:r>
      <w:r w:rsidRPr="007267CB">
        <w:rPr>
          <w:bCs/>
        </w:rPr>
        <w:tab/>
        <w:t>отчет об осмотре, представленный классификационным обществом, которое классифицировало судно.</w:t>
      </w:r>
    </w:p>
    <w:p w:rsidR="007267CB" w:rsidRPr="007267CB" w:rsidRDefault="00826864" w:rsidP="008412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267CB" w:rsidRPr="007267CB">
        <w:t>Приложение II</w:t>
      </w:r>
    </w:p>
    <w:p w:rsidR="000B65BB" w:rsidRPr="000B65BB" w:rsidRDefault="000B65BB" w:rsidP="000B65BB">
      <w:pPr>
        <w:pStyle w:val="SingleTxt"/>
        <w:spacing w:after="0" w:line="120" w:lineRule="exact"/>
        <w:rPr>
          <w:b/>
          <w:bCs/>
          <w:sz w:val="10"/>
        </w:rPr>
      </w:pPr>
    </w:p>
    <w:p w:rsidR="000B65BB" w:rsidRPr="000B65BB" w:rsidRDefault="000B65BB" w:rsidP="000B65BB">
      <w:pPr>
        <w:pStyle w:val="SingleTxt"/>
        <w:spacing w:after="0" w:line="120" w:lineRule="exact"/>
        <w:rPr>
          <w:b/>
          <w:bCs/>
          <w:sz w:val="10"/>
        </w:rPr>
      </w:pPr>
    </w:p>
    <w:p w:rsidR="000B65BB" w:rsidRPr="000B65BB" w:rsidRDefault="000B65BB" w:rsidP="000B65BB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7267CB" w:rsidP="008412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67CB">
        <w:tab/>
      </w:r>
      <w:r w:rsidR="008412E1">
        <w:tab/>
      </w:r>
      <w:r w:rsidRPr="007267CB">
        <w:t>Решение Административного комитета ВОПОГ в</w:t>
      </w:r>
      <w:r w:rsidR="008412E1">
        <w:t> </w:t>
      </w:r>
      <w:r w:rsidRPr="007267CB">
        <w:t>отношении использования мембранных танков для</w:t>
      </w:r>
      <w:r w:rsidR="008412E1">
        <w:t> </w:t>
      </w:r>
      <w:r w:rsidRPr="007267CB">
        <w:t>перевозки сжиженного природного газа (СПГ) на</w:t>
      </w:r>
      <w:r w:rsidR="008412E1">
        <w:t> </w:t>
      </w:r>
      <w:r w:rsidRPr="007267CB">
        <w:t xml:space="preserve">танкере </w:t>
      </w:r>
      <w:r w:rsidR="005714DB">
        <w:t>«</w:t>
      </w:r>
      <w:r w:rsidRPr="007267CB">
        <w:t>Argos-GL</w:t>
      </w:r>
      <w:r w:rsidR="005714DB">
        <w:t>»</w:t>
      </w:r>
    </w:p>
    <w:p w:rsidR="000B65BB" w:rsidRPr="000B65BB" w:rsidRDefault="000B65BB" w:rsidP="000B65BB">
      <w:pPr>
        <w:pStyle w:val="SingleTxt"/>
        <w:spacing w:after="0" w:line="120" w:lineRule="exact"/>
        <w:rPr>
          <w:bCs/>
          <w:sz w:val="10"/>
        </w:rPr>
      </w:pPr>
    </w:p>
    <w:p w:rsidR="000B65BB" w:rsidRPr="000B65BB" w:rsidRDefault="000B65BB" w:rsidP="000B65BB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8412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267CB">
        <w:tab/>
      </w:r>
      <w:r w:rsidR="008412E1">
        <w:tab/>
      </w:r>
      <w:r w:rsidRPr="007267CB">
        <w:t>Отступление № 2/2015 от 28 августа2015</w:t>
      </w:r>
      <w:r w:rsidR="005714DB">
        <w:t> год</w:t>
      </w:r>
      <w:r w:rsidRPr="007267CB">
        <w:t>а</w:t>
      </w:r>
    </w:p>
    <w:p w:rsidR="000B65BB" w:rsidRPr="000B65BB" w:rsidRDefault="000B65BB" w:rsidP="000B65BB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7267CB" w:rsidP="007267CB">
      <w:pPr>
        <w:pStyle w:val="SingleTxt"/>
        <w:rPr>
          <w:b/>
          <w:bCs/>
        </w:rPr>
      </w:pPr>
      <w:r w:rsidRPr="007267CB">
        <w:rPr>
          <w:b/>
          <w:bCs/>
        </w:rPr>
        <w:tab/>
      </w:r>
      <w:r w:rsidRPr="007267CB">
        <w:rPr>
          <w:bCs/>
        </w:rPr>
        <w:t>Компетентному органу Нидерландов разрешается выдать пробное свид</w:t>
      </w:r>
      <w:r w:rsidRPr="007267CB">
        <w:rPr>
          <w:bCs/>
        </w:rPr>
        <w:t>е</w:t>
      </w:r>
      <w:r w:rsidRPr="007267CB">
        <w:rPr>
          <w:bCs/>
        </w:rPr>
        <w:t xml:space="preserve">тельство о допущении для  танкера </w:t>
      </w:r>
      <w:r w:rsidR="005714DB">
        <w:rPr>
          <w:bCs/>
        </w:rPr>
        <w:t>«</w:t>
      </w:r>
      <w:r w:rsidRPr="007267CB">
        <w:rPr>
          <w:bCs/>
        </w:rPr>
        <w:t>Argos-GL</w:t>
      </w:r>
      <w:r w:rsidR="005714DB">
        <w:rPr>
          <w:bCs/>
        </w:rPr>
        <w:t>»</w:t>
      </w:r>
      <w:r w:rsidRPr="007267CB">
        <w:rPr>
          <w:bCs/>
        </w:rPr>
        <w:t xml:space="preserve"> (заводской номер подлежит определению, танкер типа </w:t>
      </w:r>
      <w:r w:rsidRPr="007267CB">
        <w:rPr>
          <w:bCs/>
          <w:lang w:val="en-US"/>
        </w:rPr>
        <w:t>G</w:t>
      </w:r>
      <w:r w:rsidRPr="007267CB">
        <w:rPr>
          <w:bCs/>
        </w:rPr>
        <w:t xml:space="preserve"> согласно ВОПОГ), позволяющее ему использовать мембранные танки для перевозки сжиженного природного газа (СПГ).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ab/>
        <w:t>В соответствии с подразделом 1.5.3.2 Правил, прилагаемых к ВОПОГ, в</w:t>
      </w:r>
      <w:r w:rsidRPr="007267CB">
        <w:rPr>
          <w:bCs/>
        </w:rPr>
        <w:t>ы</w:t>
      </w:r>
      <w:r w:rsidRPr="007267CB">
        <w:rPr>
          <w:bCs/>
        </w:rPr>
        <w:t>шеупомянутое судно может до 31 августа 2020</w:t>
      </w:r>
      <w:r w:rsidR="005714DB">
        <w:rPr>
          <w:bCs/>
        </w:rPr>
        <w:t> год</w:t>
      </w:r>
      <w:r w:rsidRPr="007267CB">
        <w:rPr>
          <w:bCs/>
        </w:rPr>
        <w:t>а отступать от следующих тр</w:t>
      </w:r>
      <w:r w:rsidRPr="007267CB">
        <w:rPr>
          <w:bCs/>
        </w:rPr>
        <w:t>е</w:t>
      </w:r>
      <w:r w:rsidRPr="007267CB">
        <w:rPr>
          <w:bCs/>
        </w:rPr>
        <w:t>бований: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 xml:space="preserve">1. </w:t>
      </w:r>
      <w:r w:rsidRPr="007267CB">
        <w:rPr>
          <w:bCs/>
          <w:i/>
          <w:iCs/>
        </w:rPr>
        <w:t xml:space="preserve">Таблица </w:t>
      </w:r>
      <w:r w:rsidRPr="007267CB">
        <w:rPr>
          <w:bCs/>
          <w:i/>
          <w:iCs/>
          <w:lang w:val="en-US"/>
        </w:rPr>
        <w:t>C</w:t>
      </w:r>
      <w:r w:rsidRPr="007267CB">
        <w:rPr>
          <w:bCs/>
          <w:i/>
          <w:iCs/>
        </w:rPr>
        <w:t>, № ООН 1972 (СПГ), колонка 7, конструкция грузового та</w:t>
      </w:r>
      <w:r w:rsidRPr="007267CB">
        <w:rPr>
          <w:bCs/>
          <w:i/>
          <w:iCs/>
        </w:rPr>
        <w:t>н</w:t>
      </w:r>
      <w:r w:rsidRPr="007267CB">
        <w:rPr>
          <w:bCs/>
          <w:i/>
          <w:iCs/>
        </w:rPr>
        <w:t>ка:</w:t>
      </w:r>
      <w:r w:rsidR="00BF5542">
        <w:rPr>
          <w:bCs/>
          <w:i/>
          <w:iCs/>
        </w:rPr>
        <w:t> </w:t>
      </w:r>
      <w:r w:rsidRPr="007267CB">
        <w:rPr>
          <w:bCs/>
        </w:rPr>
        <w:t>1 (танк высокого</w:t>
      </w:r>
      <w:r w:rsidR="00661F67">
        <w:rPr>
          <w:bCs/>
        </w:rPr>
        <w:t xml:space="preserve"> </w:t>
      </w:r>
      <w:r w:rsidRPr="007267CB">
        <w:rPr>
          <w:bCs/>
        </w:rPr>
        <w:t>давления).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Хотя мембранный танк находится под давлением (70 кПа), он не соотве</w:t>
      </w:r>
      <w:r w:rsidRPr="007267CB">
        <w:rPr>
          <w:bCs/>
        </w:rPr>
        <w:t>т</w:t>
      </w:r>
      <w:r w:rsidRPr="007267CB">
        <w:rPr>
          <w:bCs/>
        </w:rPr>
        <w:t>ствует определению танка высокого давления согласно ВОПОГ (400 кПа).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Для регулирования давления в грузовых танках пары конденсируются с п</w:t>
      </w:r>
      <w:r w:rsidRPr="007267CB">
        <w:rPr>
          <w:bCs/>
        </w:rPr>
        <w:t>о</w:t>
      </w:r>
      <w:r w:rsidRPr="007267CB">
        <w:rPr>
          <w:bCs/>
        </w:rPr>
        <w:t>мощью установок повторного сжижения газов. В результате внутреннее давление в танке поддерживается на уровне, близком к атмосферному да</w:t>
      </w:r>
      <w:r w:rsidRPr="007267CB">
        <w:rPr>
          <w:bCs/>
        </w:rPr>
        <w:t>в</w:t>
      </w:r>
      <w:r w:rsidRPr="007267CB">
        <w:rPr>
          <w:bCs/>
        </w:rPr>
        <w:t xml:space="preserve">лению (см. раздел 4.6 доклада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 02</w:t>
      </w:r>
      <w:r w:rsidR="00A320E9" w:rsidRPr="00BD32CB">
        <w:rPr>
          <w:rStyle w:val="FootnoteReference"/>
          <w:bCs/>
          <w:vertAlign w:val="baseline"/>
        </w:rPr>
        <w:footnoteReference w:customMarkFollows="1" w:id="3"/>
        <w:t>*</w:t>
      </w:r>
      <w:r w:rsidRPr="007267CB">
        <w:rPr>
          <w:bCs/>
        </w:rPr>
        <w:t>).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 xml:space="preserve">2. </w:t>
      </w:r>
      <w:r w:rsidRPr="007267CB">
        <w:rPr>
          <w:bCs/>
          <w:i/>
          <w:iCs/>
        </w:rPr>
        <w:t xml:space="preserve">Таблица </w:t>
      </w:r>
      <w:r w:rsidRPr="007267CB">
        <w:rPr>
          <w:bCs/>
          <w:i/>
          <w:iCs/>
          <w:lang w:val="en-US"/>
        </w:rPr>
        <w:t>C</w:t>
      </w:r>
      <w:r w:rsidRPr="007267CB">
        <w:rPr>
          <w:bCs/>
          <w:i/>
          <w:iCs/>
        </w:rPr>
        <w:t>, № ООН 1972 (СПГ), колонка 8, тип грузового та</w:t>
      </w:r>
      <w:r w:rsidRPr="007267CB">
        <w:rPr>
          <w:bCs/>
          <w:i/>
          <w:iCs/>
        </w:rPr>
        <w:t>н</w:t>
      </w:r>
      <w:r w:rsidRPr="007267CB">
        <w:rPr>
          <w:bCs/>
          <w:i/>
          <w:iCs/>
        </w:rPr>
        <w:t>ка:</w:t>
      </w:r>
      <w:r w:rsidR="00BF5542">
        <w:rPr>
          <w:bCs/>
          <w:i/>
          <w:iCs/>
        </w:rPr>
        <w:t> </w:t>
      </w:r>
      <w:r w:rsidRPr="007267CB">
        <w:rPr>
          <w:bCs/>
        </w:rPr>
        <w:t>1</w:t>
      </w:r>
      <w:r w:rsidR="00BF5542">
        <w:rPr>
          <w:bCs/>
        </w:rPr>
        <w:t> </w:t>
      </w:r>
      <w:r w:rsidRPr="007267CB">
        <w:rPr>
          <w:bCs/>
        </w:rPr>
        <w:t>(вкладной грузовой танк).</w:t>
      </w:r>
      <w:r w:rsidR="00D10486">
        <w:rPr>
          <w:bCs/>
        </w:rPr>
        <w:t xml:space="preserve"> </w:t>
      </w:r>
      <w:r w:rsidRPr="007267CB">
        <w:rPr>
          <w:bCs/>
        </w:rPr>
        <w:t>Хотя данный танк не является частью ко</w:t>
      </w:r>
      <w:r w:rsidRPr="007267CB">
        <w:rPr>
          <w:bCs/>
        </w:rPr>
        <w:t>н</w:t>
      </w:r>
      <w:r w:rsidRPr="007267CB">
        <w:rPr>
          <w:bCs/>
        </w:rPr>
        <w:t>струкции судна в плане температуры, в структурном отношении он является таковой.</w:t>
      </w:r>
    </w:p>
    <w:p w:rsidR="007267CB" w:rsidRPr="007267CB" w:rsidRDefault="007267CB" w:rsidP="00FD7AA3">
      <w:pPr>
        <w:pStyle w:val="SingleTxt"/>
        <w:ind w:left="1742" w:hanging="475"/>
        <w:rPr>
          <w:bCs/>
          <w:lang w:val="en-US"/>
        </w:rPr>
      </w:pPr>
      <w:r w:rsidRPr="007267CB">
        <w:rPr>
          <w:bCs/>
        </w:rPr>
        <w:tab/>
        <w:t>Мембранные танки поддерживаются внутренней конструкцией судна. Судно имеет двойное дно, двойную палубу и ударопрочный двойной корпус. П</w:t>
      </w:r>
      <w:r w:rsidRPr="007267CB">
        <w:rPr>
          <w:bCs/>
        </w:rPr>
        <w:t>е</w:t>
      </w:r>
      <w:r w:rsidRPr="007267CB">
        <w:rPr>
          <w:bCs/>
        </w:rPr>
        <w:t>редачи холода от груза к конструкции судна не происходит. Защита груза СПГ обеспечивается четырьмя (4) барьерами (наружный и внутренний ко</w:t>
      </w:r>
      <w:r w:rsidRPr="007267CB">
        <w:rPr>
          <w:bCs/>
        </w:rPr>
        <w:t>р</w:t>
      </w:r>
      <w:r w:rsidRPr="007267CB">
        <w:rPr>
          <w:bCs/>
        </w:rPr>
        <w:t xml:space="preserve">пуса судна, а также первичная и вторичная мембраны) (см. </w:t>
      </w:r>
      <w:r w:rsidRPr="007267CB">
        <w:rPr>
          <w:bCs/>
          <w:lang w:val="en-US"/>
        </w:rPr>
        <w:t>Appendix 1, Ge</w:t>
      </w:r>
      <w:r w:rsidRPr="007267CB">
        <w:rPr>
          <w:bCs/>
          <w:lang w:val="en-US"/>
        </w:rPr>
        <w:t>n</w:t>
      </w:r>
      <w:r w:rsidRPr="007267CB">
        <w:rPr>
          <w:bCs/>
          <w:lang w:val="en-US"/>
        </w:rPr>
        <w:t>eral Arrangement in the GTT Report, Revision: 02*).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  <w:lang w:val="en-US"/>
        </w:rPr>
        <w:tab/>
        <w:t>3.</w:t>
      </w:r>
      <w:r w:rsidRPr="007267CB">
        <w:rPr>
          <w:bCs/>
          <w:i/>
          <w:iCs/>
          <w:lang w:val="en-US"/>
        </w:rPr>
        <w:t xml:space="preserve"> </w:t>
      </w:r>
      <w:r w:rsidRPr="007267CB">
        <w:rPr>
          <w:bCs/>
          <w:i/>
          <w:iCs/>
        </w:rPr>
        <w:t>Пункт</w:t>
      </w:r>
      <w:r w:rsidRPr="007267CB">
        <w:rPr>
          <w:bCs/>
          <w:i/>
          <w:iCs/>
          <w:lang w:val="en-US"/>
        </w:rPr>
        <w:t xml:space="preserve"> 9.3.1.0.1 </w:t>
      </w:r>
      <w:r w:rsidRPr="007267CB">
        <w:rPr>
          <w:bCs/>
          <w:i/>
          <w:iCs/>
        </w:rPr>
        <w:t>Материалы</w:t>
      </w:r>
      <w:r w:rsidRPr="007267CB">
        <w:rPr>
          <w:bCs/>
          <w:i/>
          <w:iCs/>
          <w:lang w:val="en-US"/>
        </w:rPr>
        <w:t xml:space="preserve"> </w:t>
      </w:r>
      <w:r w:rsidRPr="007267CB">
        <w:rPr>
          <w:bCs/>
          <w:i/>
          <w:iCs/>
        </w:rPr>
        <w:t>танков</w:t>
      </w:r>
      <w:r w:rsidRPr="007267CB">
        <w:rPr>
          <w:bCs/>
          <w:lang w:val="en-US"/>
        </w:rPr>
        <w:t xml:space="preserve">. </w:t>
      </w:r>
      <w:r w:rsidRPr="007267CB">
        <w:rPr>
          <w:bCs/>
        </w:rPr>
        <w:t>Мембранные танки изготавливаются из фанеры, пенополиуретана, алюминиевой фольги и нержавеющей стали.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>Первичная мембрана, находящаяся в соприкосновении с криогенной жидк</w:t>
      </w:r>
      <w:r w:rsidRPr="007267CB">
        <w:rPr>
          <w:bCs/>
        </w:rPr>
        <w:t>о</w:t>
      </w:r>
      <w:r w:rsidRPr="007267CB">
        <w:rPr>
          <w:bCs/>
        </w:rPr>
        <w:t xml:space="preserve">стью </w:t>
      </w:r>
      <w:r w:rsidR="00F937B0">
        <w:rPr>
          <w:bCs/>
        </w:rPr>
        <w:t>–</w:t>
      </w:r>
      <w:r w:rsidRPr="007267CB">
        <w:rPr>
          <w:bCs/>
        </w:rPr>
        <w:t xml:space="preserve"> СПГ, изготавливается из нержавеющей стали. Остальные материалы используются только для целей изоляции и не соприкасаются с СПГ (см.</w:t>
      </w:r>
      <w:r w:rsidR="001C318A">
        <w:rPr>
          <w:bCs/>
        </w:rPr>
        <w:t> </w:t>
      </w:r>
      <w:r w:rsidRPr="007267CB">
        <w:rPr>
          <w:bCs/>
        </w:rPr>
        <w:t xml:space="preserve">раздел 4.4 доклада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 02*).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 xml:space="preserve">4. </w:t>
      </w:r>
      <w:r w:rsidRPr="007267CB">
        <w:rPr>
          <w:bCs/>
          <w:i/>
          <w:iCs/>
        </w:rPr>
        <w:t>Пункт 9.3.1.0.2 Использование дерева, алюминия и пластмасс в грузовом пространстве</w:t>
      </w:r>
      <w:r w:rsidRPr="007267CB">
        <w:rPr>
          <w:bCs/>
        </w:rPr>
        <w:t>. Мембранные танки изготавливаются из фанеры, пенопол</w:t>
      </w:r>
      <w:r w:rsidRPr="007267CB">
        <w:rPr>
          <w:bCs/>
        </w:rPr>
        <w:t>и</w:t>
      </w:r>
      <w:r w:rsidRPr="007267CB">
        <w:rPr>
          <w:bCs/>
        </w:rPr>
        <w:t>уретана, алюминиевой фольги и нержавеющей стали.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 xml:space="preserve">Риск возгорания и горения в изоляции защитной оболочки СПГ устраняется путем создания в соответствующих частях танков инертной атмосферы на основе азота (см. раздел 3.3 доклада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 02*).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 xml:space="preserve">5. </w:t>
      </w:r>
      <w:r w:rsidRPr="007267CB">
        <w:rPr>
          <w:bCs/>
          <w:i/>
          <w:iCs/>
        </w:rPr>
        <w:t>Пункт 9.3.1.23.1 Грузовые танки должны отвечать предписаниям кла</w:t>
      </w:r>
      <w:r w:rsidRPr="007267CB">
        <w:rPr>
          <w:bCs/>
          <w:i/>
          <w:iCs/>
        </w:rPr>
        <w:t>с</w:t>
      </w:r>
      <w:r w:rsidRPr="007267CB">
        <w:rPr>
          <w:bCs/>
          <w:i/>
          <w:iCs/>
        </w:rPr>
        <w:t xml:space="preserve">сификационного общества в отношении резервуаров высокого давления. </w:t>
      </w:r>
      <w:r w:rsidRPr="007267CB">
        <w:rPr>
          <w:bCs/>
        </w:rPr>
        <w:t>Поскольку танки не считаются сосудами высокого давления, данные пре</w:t>
      </w:r>
      <w:r w:rsidRPr="007267CB">
        <w:rPr>
          <w:bCs/>
        </w:rPr>
        <w:t>д</w:t>
      </w:r>
      <w:r w:rsidRPr="007267CB">
        <w:rPr>
          <w:bCs/>
        </w:rPr>
        <w:t>писания не применяются. Однако тип мембранных танков утверждается классификационным обществом, которое классифицирует судно (Р</w:t>
      </w:r>
      <w:r w:rsidRPr="007267CB">
        <w:rPr>
          <w:bCs/>
        </w:rPr>
        <w:t>е</w:t>
      </w:r>
      <w:r w:rsidRPr="007267CB">
        <w:rPr>
          <w:bCs/>
        </w:rPr>
        <w:t>гистр</w:t>
      </w:r>
      <w:r w:rsidR="00D820AF">
        <w:rPr>
          <w:bCs/>
        </w:rPr>
        <w:t> </w:t>
      </w:r>
      <w:r w:rsidRPr="007267CB">
        <w:rPr>
          <w:bCs/>
        </w:rPr>
        <w:t>Ллойда) и другими признанными классификационными обществами (см.</w:t>
      </w:r>
      <w:r w:rsidR="001C318A">
        <w:rPr>
          <w:bCs/>
        </w:rPr>
        <w:t> </w:t>
      </w:r>
      <w:r w:rsidRPr="007267CB">
        <w:rPr>
          <w:bCs/>
          <w:lang w:val="en-US"/>
        </w:rPr>
        <w:t>section</w:t>
      </w:r>
      <w:r w:rsidRPr="007267CB">
        <w:rPr>
          <w:bCs/>
        </w:rPr>
        <w:t xml:space="preserve"> 3 </w:t>
      </w:r>
      <w:r w:rsidRPr="007267CB">
        <w:rPr>
          <w:bCs/>
          <w:lang w:val="en-US"/>
        </w:rPr>
        <w:t>of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the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 02*).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Помимо вышеупомянутых аспектов, связанных с мембранными танками, судно может также отступать от следующих требований:</w:t>
      </w:r>
    </w:p>
    <w:p w:rsidR="007267CB" w:rsidRPr="007267CB" w:rsidRDefault="007267CB" w:rsidP="00FD7AA3">
      <w:pPr>
        <w:pStyle w:val="SingleTxt"/>
        <w:ind w:left="1742" w:hanging="475"/>
        <w:rPr>
          <w:bCs/>
        </w:rPr>
      </w:pPr>
      <w:r w:rsidRPr="007267CB">
        <w:rPr>
          <w:bCs/>
        </w:rPr>
        <w:tab/>
        <w:t xml:space="preserve">6. </w:t>
      </w:r>
      <w:r w:rsidRPr="007267CB">
        <w:rPr>
          <w:bCs/>
          <w:i/>
          <w:iCs/>
        </w:rPr>
        <w:t xml:space="preserve">Раздел 1.2.1 Танки, установленные на танкерах типа </w:t>
      </w:r>
      <w:r w:rsidRPr="007267CB">
        <w:rPr>
          <w:bCs/>
          <w:i/>
          <w:iCs/>
          <w:lang w:val="en-US"/>
        </w:rPr>
        <w:t>G</w:t>
      </w:r>
      <w:r w:rsidRPr="007267CB">
        <w:rPr>
          <w:bCs/>
        </w:rPr>
        <w:t>. Танкеры типа</w:t>
      </w:r>
      <w:r w:rsidR="001C318A">
        <w:rPr>
          <w:bCs/>
        </w:rPr>
        <w:t> </w:t>
      </w:r>
      <w:r w:rsidRPr="007267CB">
        <w:rPr>
          <w:bCs/>
          <w:lang w:val="en-US"/>
        </w:rPr>
        <w:t>G</w:t>
      </w:r>
      <w:r w:rsidRPr="007267CB">
        <w:rPr>
          <w:bCs/>
        </w:rPr>
        <w:t xml:space="preserve"> определяются как суда с вкладными танками. Помимо мембранных танков, данное судно также имеет 4 танка для перевозки нефтепродуктов. Эти танки встроены в конструкцию судна и отделены от других частей судна попере</w:t>
      </w:r>
      <w:r w:rsidRPr="007267CB">
        <w:rPr>
          <w:bCs/>
        </w:rPr>
        <w:t>ч</w:t>
      </w:r>
      <w:r w:rsidRPr="007267CB">
        <w:rPr>
          <w:bCs/>
        </w:rPr>
        <w:t xml:space="preserve">ными коффердамами (см. </w:t>
      </w:r>
      <w:r w:rsidRPr="007267CB">
        <w:rPr>
          <w:bCs/>
          <w:lang w:val="en-US"/>
        </w:rPr>
        <w:t>Appendix</w:t>
      </w:r>
      <w:r w:rsidRPr="007267CB">
        <w:rPr>
          <w:bCs/>
        </w:rPr>
        <w:t xml:space="preserve"> 1, </w:t>
      </w:r>
      <w:r w:rsidRPr="007267CB">
        <w:rPr>
          <w:bCs/>
          <w:lang w:val="en-US"/>
        </w:rPr>
        <w:t>General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Arrangement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in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the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 02*).</w:t>
      </w:r>
    </w:p>
    <w:p w:rsidR="004E6D02" w:rsidRPr="004E6D02" w:rsidRDefault="004E6D02" w:rsidP="004E6D02">
      <w:pPr>
        <w:pStyle w:val="SingleTxt"/>
        <w:spacing w:after="0" w:line="120" w:lineRule="exact"/>
        <w:rPr>
          <w:b/>
          <w:bCs/>
          <w:sz w:val="10"/>
        </w:rPr>
      </w:pPr>
    </w:p>
    <w:p w:rsidR="007267CB" w:rsidRPr="007267CB" w:rsidRDefault="004E6D02" w:rsidP="004E6D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7267CB" w:rsidRPr="007267CB">
        <w:t>Условия</w:t>
      </w:r>
    </w:p>
    <w:p w:rsidR="004E6D02" w:rsidRPr="004E6D02" w:rsidRDefault="004E6D02" w:rsidP="004E6D02">
      <w:pPr>
        <w:pStyle w:val="SingleTxt"/>
        <w:spacing w:after="0" w:line="120" w:lineRule="exact"/>
        <w:rPr>
          <w:bCs/>
          <w:sz w:val="10"/>
        </w:rPr>
      </w:pP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Административный комитет постановил, что использование мембранных танков является достаточно безопасным при неизменном выполнении следующих усл</w:t>
      </w:r>
      <w:r w:rsidRPr="007267CB">
        <w:rPr>
          <w:bCs/>
        </w:rPr>
        <w:t>о</w:t>
      </w:r>
      <w:r w:rsidRPr="007267CB">
        <w:rPr>
          <w:bCs/>
        </w:rPr>
        <w:t>вий: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1.</w:t>
      </w:r>
      <w:r w:rsidRPr="007267CB">
        <w:rPr>
          <w:bCs/>
        </w:rPr>
        <w:tab/>
        <w:t>Судно должно эксплуатироваться только в районе Амстердама</w:t>
      </w:r>
      <w:r w:rsidR="00F937B0">
        <w:rPr>
          <w:bCs/>
        </w:rPr>
        <w:t>–</w:t>
      </w:r>
      <w:r w:rsidRPr="007267CB">
        <w:rPr>
          <w:bCs/>
        </w:rPr>
        <w:t>Роттердама</w:t>
      </w:r>
      <w:r w:rsidR="00F937B0">
        <w:rPr>
          <w:bCs/>
        </w:rPr>
        <w:t>–</w:t>
      </w:r>
      <w:r w:rsidRPr="007267CB">
        <w:rPr>
          <w:bCs/>
        </w:rPr>
        <w:t>Антверпена.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2.</w:t>
      </w:r>
      <w:r w:rsidRPr="007267CB">
        <w:rPr>
          <w:bCs/>
        </w:rPr>
        <w:tab/>
        <w:t>Грузовые танки судна, предназначенные для СПГ, должны загружаться только в порту Роттердам, где это разрешено портовой администрацией. Должны использоваться признанные процедуры погрузки Международной ассоциации портов и гаваней (МАСПОГ).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3.</w:t>
      </w:r>
      <w:r w:rsidRPr="007267CB">
        <w:rPr>
          <w:bCs/>
        </w:rPr>
        <w:tab/>
        <w:t>Судно должно также соблюдать Правила и технические нормы классифик</w:t>
      </w:r>
      <w:r w:rsidRPr="007267CB">
        <w:rPr>
          <w:bCs/>
        </w:rPr>
        <w:t>а</w:t>
      </w:r>
      <w:r w:rsidRPr="007267CB">
        <w:rPr>
          <w:bCs/>
        </w:rPr>
        <w:t>ции судов внутреннего плавания Регистра Ллойда.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4.</w:t>
      </w:r>
      <w:r w:rsidRPr="007267CB">
        <w:rPr>
          <w:bCs/>
        </w:rPr>
        <w:tab/>
        <w:t>Помимо соблюдения данных нормативно закрепленных требований и тр</w:t>
      </w:r>
      <w:r w:rsidRPr="007267CB">
        <w:rPr>
          <w:bCs/>
        </w:rPr>
        <w:t>е</w:t>
      </w:r>
      <w:r w:rsidRPr="007267CB">
        <w:rPr>
          <w:bCs/>
        </w:rPr>
        <w:t>бований в отношении класса, на судне должны быть предусмотрены дополн</w:t>
      </w:r>
      <w:r w:rsidRPr="007267CB">
        <w:rPr>
          <w:bCs/>
        </w:rPr>
        <w:t>и</w:t>
      </w:r>
      <w:r w:rsidRPr="007267CB">
        <w:rPr>
          <w:bCs/>
        </w:rPr>
        <w:t xml:space="preserve">тельные меры безопасности, описываемые в докладе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</w:t>
      </w:r>
      <w:r w:rsidR="001C318A">
        <w:rPr>
          <w:bCs/>
        </w:rPr>
        <w:t> </w:t>
      </w:r>
      <w:r w:rsidRPr="007267CB">
        <w:rPr>
          <w:bCs/>
        </w:rPr>
        <w:t>02*. К ним относятся:</w:t>
      </w:r>
    </w:p>
    <w:p w:rsidR="007267CB" w:rsidRPr="007267CB" w:rsidRDefault="008D06A8" w:rsidP="007267CB">
      <w:pPr>
        <w:pStyle w:val="SingleTxt"/>
        <w:rPr>
          <w:bCs/>
        </w:rPr>
      </w:pPr>
      <w:r>
        <w:rPr>
          <w:bCs/>
        </w:rPr>
        <w:tab/>
      </w:r>
      <w:r w:rsidR="007267CB" w:rsidRPr="007267CB">
        <w:rPr>
          <w:bCs/>
          <w:lang w:val="en-US"/>
        </w:rPr>
        <w:t>a</w:t>
      </w:r>
      <w:r w:rsidR="007267CB" w:rsidRPr="007267CB">
        <w:rPr>
          <w:bCs/>
        </w:rPr>
        <w:t>)</w:t>
      </w:r>
      <w:r w:rsidR="007267CB" w:rsidRPr="007267CB">
        <w:rPr>
          <w:bCs/>
        </w:rPr>
        <w:tab/>
        <w:t>наличие коффердамов между всеми грузовыми танками;</w:t>
      </w:r>
    </w:p>
    <w:p w:rsidR="007267CB" w:rsidRPr="007267CB" w:rsidRDefault="008D06A8" w:rsidP="007267CB">
      <w:pPr>
        <w:pStyle w:val="SingleTxt"/>
        <w:rPr>
          <w:bCs/>
        </w:rPr>
      </w:pPr>
      <w:r>
        <w:rPr>
          <w:bCs/>
        </w:rPr>
        <w:tab/>
      </w:r>
      <w:r w:rsidR="007267CB" w:rsidRPr="007267CB">
        <w:rPr>
          <w:bCs/>
          <w:lang w:val="en-US"/>
        </w:rPr>
        <w:t>b</w:t>
      </w:r>
      <w:r w:rsidR="007267CB" w:rsidRPr="007267CB">
        <w:rPr>
          <w:bCs/>
        </w:rPr>
        <w:t>)</w:t>
      </w:r>
      <w:r w:rsidR="007267CB" w:rsidRPr="007267CB">
        <w:rPr>
          <w:bCs/>
        </w:rPr>
        <w:tab/>
        <w:t>возможность создания инертной атмосферы в танках для нефтепроду</w:t>
      </w:r>
      <w:r w:rsidR="007267CB" w:rsidRPr="007267CB">
        <w:rPr>
          <w:bCs/>
        </w:rPr>
        <w:t>к</w:t>
      </w:r>
      <w:r w:rsidR="007267CB" w:rsidRPr="007267CB">
        <w:rPr>
          <w:bCs/>
        </w:rPr>
        <w:t>тов;</w:t>
      </w:r>
    </w:p>
    <w:p w:rsidR="007267CB" w:rsidRPr="007267CB" w:rsidRDefault="008D06A8" w:rsidP="007267CB">
      <w:pPr>
        <w:pStyle w:val="SingleTxt"/>
        <w:rPr>
          <w:bCs/>
        </w:rPr>
      </w:pPr>
      <w:r>
        <w:rPr>
          <w:bCs/>
        </w:rPr>
        <w:tab/>
      </w:r>
      <w:r w:rsidR="007267CB" w:rsidRPr="007267CB">
        <w:rPr>
          <w:bCs/>
          <w:lang w:val="en-US"/>
        </w:rPr>
        <w:t>c</w:t>
      </w:r>
      <w:r w:rsidR="007267CB" w:rsidRPr="007267CB">
        <w:rPr>
          <w:bCs/>
        </w:rPr>
        <w:t>)</w:t>
      </w:r>
      <w:r w:rsidR="007267CB" w:rsidRPr="007267CB">
        <w:rPr>
          <w:bCs/>
        </w:rPr>
        <w:tab/>
        <w:t>все предохранительные устройства должны иметь дублирующие устройства;</w:t>
      </w:r>
    </w:p>
    <w:p w:rsidR="007267CB" w:rsidRPr="007267CB" w:rsidRDefault="008D06A8" w:rsidP="007267CB">
      <w:pPr>
        <w:pStyle w:val="SingleTxt"/>
        <w:rPr>
          <w:bCs/>
        </w:rPr>
      </w:pPr>
      <w:r>
        <w:rPr>
          <w:bCs/>
        </w:rPr>
        <w:tab/>
      </w:r>
      <w:r w:rsidR="007267CB" w:rsidRPr="007267CB">
        <w:rPr>
          <w:bCs/>
          <w:lang w:val="en-US"/>
        </w:rPr>
        <w:t>d</w:t>
      </w:r>
      <w:r w:rsidR="007267CB" w:rsidRPr="007267CB">
        <w:rPr>
          <w:bCs/>
        </w:rPr>
        <w:t>)</w:t>
      </w:r>
      <w:r w:rsidR="007267CB" w:rsidRPr="007267CB">
        <w:rPr>
          <w:bCs/>
        </w:rPr>
        <w:tab/>
        <w:t>клапаны сброса давления должны быть калиброваны на возможный случай возгорания в смежных помещениях.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5.</w:t>
      </w:r>
      <w:r w:rsidRPr="007267CB">
        <w:rPr>
          <w:bCs/>
        </w:rPr>
        <w:tab/>
        <w:t>Использование системы защитной оболочки низкого давления (70</w:t>
      </w:r>
      <w:r w:rsidR="001C318A">
        <w:rPr>
          <w:bCs/>
        </w:rPr>
        <w:t> </w:t>
      </w:r>
      <w:r w:rsidRPr="007267CB">
        <w:rPr>
          <w:bCs/>
        </w:rPr>
        <w:t>кПа) предполагает:</w:t>
      </w:r>
    </w:p>
    <w:p w:rsidR="007267CB" w:rsidRPr="007267CB" w:rsidRDefault="008D06A8" w:rsidP="007267CB">
      <w:pPr>
        <w:pStyle w:val="SingleTxt"/>
        <w:rPr>
          <w:bCs/>
        </w:rPr>
      </w:pPr>
      <w:r>
        <w:rPr>
          <w:bCs/>
        </w:rPr>
        <w:tab/>
      </w:r>
      <w:r w:rsidR="007267CB" w:rsidRPr="007267CB">
        <w:rPr>
          <w:bCs/>
          <w:lang w:val="en-US"/>
        </w:rPr>
        <w:t>a</w:t>
      </w:r>
      <w:r w:rsidR="007267CB" w:rsidRPr="007267CB">
        <w:rPr>
          <w:bCs/>
        </w:rPr>
        <w:t>)</w:t>
      </w:r>
      <w:r w:rsidR="007267CB" w:rsidRPr="007267CB">
        <w:rPr>
          <w:bCs/>
        </w:rPr>
        <w:tab/>
        <w:t xml:space="preserve">отсутствие возможности </w:t>
      </w:r>
      <w:r w:rsidR="007267CB" w:rsidRPr="007267CB">
        <w:rPr>
          <w:bCs/>
          <w:lang w:val="en-US"/>
        </w:rPr>
        <w:t>BLEVE</w:t>
      </w:r>
      <w:r w:rsidR="007267CB" w:rsidRPr="007267CB">
        <w:rPr>
          <w:bCs/>
        </w:rPr>
        <w:t xml:space="preserve"> (см. раздел 3.2 доклада </w:t>
      </w:r>
      <w:r w:rsidR="007267CB" w:rsidRPr="007267CB">
        <w:rPr>
          <w:bCs/>
          <w:lang w:val="en-US"/>
        </w:rPr>
        <w:t>GTT</w:t>
      </w:r>
      <w:r w:rsidR="007267CB" w:rsidRPr="007267CB">
        <w:rPr>
          <w:bCs/>
        </w:rPr>
        <w:t xml:space="preserve"> </w:t>
      </w:r>
      <w:r w:rsidR="007267CB" w:rsidRPr="007267CB">
        <w:rPr>
          <w:bCs/>
          <w:lang w:val="en-US"/>
        </w:rPr>
        <w:t>Report</w:t>
      </w:r>
      <w:r w:rsidR="007267CB" w:rsidRPr="007267CB">
        <w:rPr>
          <w:bCs/>
        </w:rPr>
        <w:t xml:space="preserve">, </w:t>
      </w:r>
      <w:r w:rsidR="007267CB" w:rsidRPr="007267CB">
        <w:rPr>
          <w:bCs/>
          <w:lang w:val="en-US"/>
        </w:rPr>
        <w:t>Revision</w:t>
      </w:r>
      <w:r w:rsidR="007267CB" w:rsidRPr="007267CB">
        <w:rPr>
          <w:bCs/>
        </w:rPr>
        <w:t>: 02*);</w:t>
      </w:r>
    </w:p>
    <w:p w:rsidR="007267CB" w:rsidRPr="007267CB" w:rsidRDefault="008D06A8" w:rsidP="007267CB">
      <w:pPr>
        <w:pStyle w:val="SingleTxt"/>
        <w:rPr>
          <w:bCs/>
        </w:rPr>
      </w:pPr>
      <w:r>
        <w:rPr>
          <w:bCs/>
        </w:rPr>
        <w:tab/>
      </w:r>
      <w:r w:rsidR="007267CB" w:rsidRPr="007267CB">
        <w:rPr>
          <w:bCs/>
          <w:lang w:val="en-US"/>
        </w:rPr>
        <w:t>b</w:t>
      </w:r>
      <w:r w:rsidR="007267CB" w:rsidRPr="007267CB">
        <w:rPr>
          <w:bCs/>
        </w:rPr>
        <w:t>)</w:t>
      </w:r>
      <w:r w:rsidR="007267CB" w:rsidRPr="007267CB">
        <w:rPr>
          <w:bCs/>
        </w:rPr>
        <w:tab/>
        <w:t>появление ограниченного газового облака, которое будет быстро ра</w:t>
      </w:r>
      <w:r w:rsidR="007267CB" w:rsidRPr="007267CB">
        <w:rPr>
          <w:bCs/>
        </w:rPr>
        <w:t>з</w:t>
      </w:r>
      <w:r w:rsidR="007267CB" w:rsidRPr="007267CB">
        <w:rPr>
          <w:bCs/>
        </w:rPr>
        <w:t>бавлено воздухом до уровня ниже нижнего предела взрываемости (5%).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6.</w:t>
      </w:r>
      <w:r w:rsidRPr="007267CB">
        <w:rPr>
          <w:bCs/>
        </w:rPr>
        <w:tab/>
        <w:t>Судно должно быть сертифицировано и классифицировано как танкер типа</w:t>
      </w:r>
      <w:r w:rsidR="004A58AA">
        <w:rPr>
          <w:bCs/>
        </w:rPr>
        <w:t> </w:t>
      </w:r>
      <w:r w:rsidRPr="007267CB">
        <w:rPr>
          <w:bCs/>
          <w:lang w:val="en-US"/>
        </w:rPr>
        <w:t>G</w:t>
      </w:r>
      <w:r w:rsidRPr="007267CB">
        <w:rPr>
          <w:bCs/>
        </w:rPr>
        <w:t xml:space="preserve">. В ВОПОГ требования к танкерам типа </w:t>
      </w:r>
      <w:r w:rsidRPr="007267CB">
        <w:rPr>
          <w:bCs/>
          <w:lang w:val="en-US"/>
        </w:rPr>
        <w:t>G</w:t>
      </w:r>
      <w:r w:rsidRPr="007267CB">
        <w:rPr>
          <w:bCs/>
        </w:rPr>
        <w:t xml:space="preserve"> предполагают, что в качестве грузовых танков используются танки цилиндрической формы. Требования к остойчивости и соответствующие расчеты остойчивости также основаны на х</w:t>
      </w:r>
      <w:r w:rsidRPr="007267CB">
        <w:rPr>
          <w:bCs/>
        </w:rPr>
        <w:t>а</w:t>
      </w:r>
      <w:r w:rsidRPr="007267CB">
        <w:rPr>
          <w:bCs/>
        </w:rPr>
        <w:t>рактеристиках судов с танками цилиндрической формы. Однако рассматриваемое судно имеет грузовые танки прямоугольной формы, и поэтому расчеты, пред</w:t>
      </w:r>
      <w:r w:rsidRPr="007267CB">
        <w:rPr>
          <w:bCs/>
        </w:rPr>
        <w:t>у</w:t>
      </w:r>
      <w:r w:rsidRPr="007267CB">
        <w:rPr>
          <w:bCs/>
        </w:rPr>
        <w:t xml:space="preserve">смотренные ВОПОГ для танкеров типа </w:t>
      </w:r>
      <w:r w:rsidRPr="007267CB">
        <w:rPr>
          <w:bCs/>
          <w:lang w:val="en-US"/>
        </w:rPr>
        <w:t>G</w:t>
      </w:r>
      <w:r w:rsidRPr="007267CB">
        <w:rPr>
          <w:bCs/>
        </w:rPr>
        <w:t>, не могут использоваться. Ввиду формы танков расчеты остойчивости должны производиться исходя из того предпол</w:t>
      </w:r>
      <w:r w:rsidRPr="007267CB">
        <w:rPr>
          <w:bCs/>
        </w:rPr>
        <w:t>о</w:t>
      </w:r>
      <w:r w:rsidRPr="007267CB">
        <w:rPr>
          <w:bCs/>
        </w:rPr>
        <w:t xml:space="preserve">жения, что судно является танкером типа </w:t>
      </w:r>
      <w:r w:rsidRPr="007267CB">
        <w:rPr>
          <w:bCs/>
          <w:lang w:val="en-US"/>
        </w:rPr>
        <w:t>C</w:t>
      </w:r>
      <w:r w:rsidRPr="007267CB">
        <w:rPr>
          <w:bCs/>
        </w:rPr>
        <w:t>. Поскольку требования к остойчив</w:t>
      </w:r>
      <w:r w:rsidRPr="007267CB">
        <w:rPr>
          <w:bCs/>
        </w:rPr>
        <w:t>о</w:t>
      </w:r>
      <w:r w:rsidRPr="007267CB">
        <w:rPr>
          <w:bCs/>
        </w:rPr>
        <w:t xml:space="preserve">сти для танкеров типа </w:t>
      </w:r>
      <w:r w:rsidRPr="007267CB">
        <w:rPr>
          <w:bCs/>
          <w:lang w:val="en-US"/>
        </w:rPr>
        <w:t>G</w:t>
      </w:r>
      <w:r w:rsidRPr="007267CB">
        <w:rPr>
          <w:bCs/>
        </w:rPr>
        <w:t xml:space="preserve"> являются менее жесткими, чем для танкеров типа</w:t>
      </w:r>
      <w:r w:rsidR="005C52FB">
        <w:rPr>
          <w:bCs/>
        </w:rPr>
        <w:t> </w:t>
      </w:r>
      <w:r w:rsidRPr="007267CB">
        <w:rPr>
          <w:bCs/>
          <w:lang w:val="en-US"/>
        </w:rPr>
        <w:t>C</w:t>
      </w:r>
      <w:r w:rsidRPr="007267CB">
        <w:rPr>
          <w:bCs/>
        </w:rPr>
        <w:t>, данное предположение не ведет к снижению норм остойчивости.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7.</w:t>
      </w:r>
      <w:r w:rsidRPr="007267CB">
        <w:rPr>
          <w:bCs/>
        </w:rPr>
        <w:tab/>
        <w:t>Расчеты ударопрочности в соответствии с разделом 9.3.4 ВОПОГ также должны производиться исходя из того предположения, что в силу формы груз</w:t>
      </w:r>
      <w:r w:rsidRPr="007267CB">
        <w:rPr>
          <w:bCs/>
        </w:rPr>
        <w:t>о</w:t>
      </w:r>
      <w:r w:rsidRPr="007267CB">
        <w:rPr>
          <w:bCs/>
        </w:rPr>
        <w:t xml:space="preserve">вых танков судно является танкером типа </w:t>
      </w:r>
      <w:r w:rsidRPr="007267CB">
        <w:rPr>
          <w:bCs/>
          <w:lang w:val="en-US"/>
        </w:rPr>
        <w:t>C</w:t>
      </w:r>
      <w:r w:rsidRPr="007267CB">
        <w:rPr>
          <w:bCs/>
        </w:rPr>
        <w:t>. Данное предположение ведет к б</w:t>
      </w:r>
      <w:r w:rsidRPr="007267CB">
        <w:rPr>
          <w:bCs/>
        </w:rPr>
        <w:t>о</w:t>
      </w:r>
      <w:r w:rsidRPr="007267CB">
        <w:rPr>
          <w:bCs/>
        </w:rPr>
        <w:t>лее  всесторонним расчетам ударопрочности по сравнению с расчетами прим</w:t>
      </w:r>
      <w:r w:rsidRPr="007267CB">
        <w:rPr>
          <w:bCs/>
        </w:rPr>
        <w:t>е</w:t>
      </w:r>
      <w:r w:rsidRPr="007267CB">
        <w:rPr>
          <w:bCs/>
        </w:rPr>
        <w:t xml:space="preserve">нительно к судну, рассматриваемому как танкер типа </w:t>
      </w:r>
      <w:r w:rsidRPr="007267CB">
        <w:rPr>
          <w:bCs/>
          <w:lang w:val="en-US"/>
        </w:rPr>
        <w:t>G</w:t>
      </w:r>
      <w:r w:rsidRPr="007267CB">
        <w:rPr>
          <w:bCs/>
        </w:rPr>
        <w:t xml:space="preserve"> (см. раздел 4.4 доклада </w:t>
      </w:r>
      <w:r w:rsidRPr="007267CB">
        <w:rPr>
          <w:bCs/>
          <w:lang w:val="en-US"/>
        </w:rPr>
        <w:t>GTT</w:t>
      </w:r>
      <w:r w:rsidRPr="007267CB">
        <w:rPr>
          <w:bCs/>
        </w:rPr>
        <w:t xml:space="preserve"> </w:t>
      </w:r>
      <w:r w:rsidRPr="007267CB">
        <w:rPr>
          <w:bCs/>
          <w:lang w:val="en-US"/>
        </w:rPr>
        <w:t>Report</w:t>
      </w:r>
      <w:r w:rsidRPr="007267CB">
        <w:rPr>
          <w:bCs/>
        </w:rPr>
        <w:t xml:space="preserve">, </w:t>
      </w:r>
      <w:r w:rsidRPr="007267CB">
        <w:rPr>
          <w:bCs/>
          <w:lang w:val="en-US"/>
        </w:rPr>
        <w:t>Revision</w:t>
      </w:r>
      <w:r w:rsidRPr="007267CB">
        <w:rPr>
          <w:bCs/>
        </w:rPr>
        <w:t>: 02*).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8.</w:t>
      </w:r>
      <w:r w:rsidRPr="007267CB">
        <w:rPr>
          <w:bCs/>
        </w:rPr>
        <w:tab/>
        <w:t>В секретариат ЕЭК ООН должен направляться ежегодный доклад об оценке для информирования Административного комитета. В этом докладе об оценке должна содержаться по крайней мере следующая информация: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ab/>
      </w:r>
      <w:r w:rsidRPr="007267CB">
        <w:rPr>
          <w:bCs/>
          <w:lang w:val="en-US"/>
        </w:rPr>
        <w:t>a</w:t>
      </w:r>
      <w:r w:rsidRPr="007267CB">
        <w:rPr>
          <w:bCs/>
        </w:rPr>
        <w:t>)</w:t>
      </w:r>
      <w:r w:rsidRPr="007267CB">
        <w:rPr>
          <w:bCs/>
        </w:rPr>
        <w:tab/>
        <w:t>данные о работе системы (например, температура и давление в танке);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ab/>
      </w:r>
      <w:r w:rsidRPr="007267CB">
        <w:rPr>
          <w:bCs/>
          <w:lang w:val="en-US"/>
        </w:rPr>
        <w:t>b</w:t>
      </w:r>
      <w:r w:rsidRPr="007267CB">
        <w:rPr>
          <w:bCs/>
        </w:rPr>
        <w:t>)</w:t>
      </w:r>
      <w:r w:rsidRPr="007267CB">
        <w:rPr>
          <w:bCs/>
        </w:rPr>
        <w:tab/>
        <w:t>внештатные ситуации, ремонтные работы и модификации, связанные с танком;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ab/>
        <w:t>с)</w:t>
      </w:r>
      <w:r w:rsidRPr="007267CB">
        <w:rPr>
          <w:bCs/>
        </w:rPr>
        <w:tab/>
        <w:t>отчет об осмотре, представленный классификационным обществом, которое классифицировало судно;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ab/>
      </w:r>
      <w:r w:rsidRPr="007267CB">
        <w:rPr>
          <w:bCs/>
          <w:lang w:val="en-US"/>
        </w:rPr>
        <w:t>d</w:t>
      </w:r>
      <w:r w:rsidRPr="007267CB">
        <w:rPr>
          <w:bCs/>
        </w:rPr>
        <w:t>)</w:t>
      </w:r>
      <w:r w:rsidRPr="007267CB">
        <w:rPr>
          <w:bCs/>
        </w:rPr>
        <w:tab/>
        <w:t>информация должна по запросу направляться в соответствующий ко</w:t>
      </w:r>
      <w:r w:rsidRPr="007267CB">
        <w:rPr>
          <w:bCs/>
        </w:rPr>
        <w:t>м</w:t>
      </w:r>
      <w:r w:rsidRPr="007267CB">
        <w:rPr>
          <w:bCs/>
        </w:rPr>
        <w:t>петентный орган.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9.</w:t>
      </w:r>
      <w:r w:rsidRPr="007267CB">
        <w:rPr>
          <w:bCs/>
        </w:rPr>
        <w:tab/>
        <w:t>После завершения постройки судна в секретариат ООН должен быть пр</w:t>
      </w:r>
      <w:r w:rsidRPr="007267CB">
        <w:rPr>
          <w:bCs/>
        </w:rPr>
        <w:t>и</w:t>
      </w:r>
      <w:r w:rsidRPr="007267CB">
        <w:rPr>
          <w:bCs/>
        </w:rPr>
        <w:t>слан окончательный утвержденный расчет остойчивости. Это должно быть по</w:t>
      </w:r>
      <w:r w:rsidRPr="007267CB">
        <w:rPr>
          <w:bCs/>
        </w:rPr>
        <w:t>д</w:t>
      </w:r>
      <w:r w:rsidRPr="007267CB">
        <w:rPr>
          <w:bCs/>
        </w:rPr>
        <w:t>тверждено до ввода судна в эксплуатацию.</w:t>
      </w:r>
    </w:p>
    <w:p w:rsidR="007267CB" w:rsidRPr="007267CB" w:rsidRDefault="007267CB" w:rsidP="007267CB">
      <w:pPr>
        <w:pStyle w:val="SingleTxt"/>
        <w:rPr>
          <w:bCs/>
        </w:rPr>
      </w:pPr>
      <w:r w:rsidRPr="007267CB">
        <w:rPr>
          <w:bCs/>
        </w:rPr>
        <w:t>10.</w:t>
      </w:r>
      <w:r w:rsidRPr="007267CB">
        <w:rPr>
          <w:bCs/>
        </w:rPr>
        <w:tab/>
        <w:t>Перечень веществ, допущенных к перевозке судном, согласно пун</w:t>
      </w:r>
      <w:r w:rsidRPr="007267CB">
        <w:rPr>
          <w:bCs/>
        </w:rPr>
        <w:t>к</w:t>
      </w:r>
      <w:r w:rsidRPr="007267CB">
        <w:rPr>
          <w:bCs/>
        </w:rPr>
        <w:t>ту</w:t>
      </w:r>
      <w:r w:rsidR="001965C8">
        <w:rPr>
          <w:bCs/>
        </w:rPr>
        <w:t> </w:t>
      </w:r>
      <w:r w:rsidRPr="007267CB">
        <w:rPr>
          <w:bCs/>
        </w:rPr>
        <w:t>1.16.1.2.5 ВОПОГ, должен предусматривать перевозку только СПГ (№</w:t>
      </w:r>
      <w:r w:rsidR="001C318A">
        <w:rPr>
          <w:bCs/>
        </w:rPr>
        <w:t> </w:t>
      </w:r>
      <w:r w:rsidRPr="007267CB">
        <w:rPr>
          <w:bCs/>
        </w:rPr>
        <w:t>ООН</w:t>
      </w:r>
      <w:r w:rsidR="001C318A">
        <w:rPr>
          <w:bCs/>
        </w:rPr>
        <w:t> </w:t>
      </w:r>
      <w:r w:rsidRPr="007267CB">
        <w:rPr>
          <w:bCs/>
        </w:rPr>
        <w:t>1972) и газойля (№ ООН 1202).</w:t>
      </w:r>
    </w:p>
    <w:p w:rsidR="007267CB" w:rsidRDefault="007267CB" w:rsidP="007267CB">
      <w:pPr>
        <w:pStyle w:val="SingleTxt"/>
        <w:rPr>
          <w:bCs/>
        </w:rPr>
      </w:pPr>
      <w:r w:rsidRPr="007267CB">
        <w:rPr>
          <w:bCs/>
        </w:rPr>
        <w:t xml:space="preserve">Приложение 2 к неофициальному документу </w:t>
      </w:r>
      <w:r w:rsidRPr="007267CB">
        <w:rPr>
          <w:bCs/>
          <w:lang w:val="en-US"/>
        </w:rPr>
        <w:t>INF</w:t>
      </w:r>
      <w:r w:rsidRPr="007267CB">
        <w:rPr>
          <w:bCs/>
        </w:rPr>
        <w:t>.6, представленному на дв</w:t>
      </w:r>
      <w:r w:rsidRPr="007267CB">
        <w:rPr>
          <w:bCs/>
        </w:rPr>
        <w:t>а</w:t>
      </w:r>
      <w:r w:rsidRPr="007267CB">
        <w:rPr>
          <w:bCs/>
        </w:rPr>
        <w:t>дцать</w:t>
      </w:r>
      <w:r w:rsidR="001965C8">
        <w:rPr>
          <w:bCs/>
        </w:rPr>
        <w:t> </w:t>
      </w:r>
      <w:r w:rsidRPr="007267CB">
        <w:rPr>
          <w:bCs/>
        </w:rPr>
        <w:t>седьмой сессии Комитета по вопросам безопасности ВОПОГ, является с</w:t>
      </w:r>
      <w:r w:rsidRPr="007267CB">
        <w:rPr>
          <w:bCs/>
        </w:rPr>
        <w:t>о</w:t>
      </w:r>
      <w:r w:rsidRPr="007267CB">
        <w:rPr>
          <w:bCs/>
        </w:rPr>
        <w:t>ставной частью настоящего отступления</w:t>
      </w:r>
      <w:r w:rsidR="008D06A8" w:rsidRPr="0070700F">
        <w:rPr>
          <w:rStyle w:val="FootnoteReference"/>
          <w:bCs/>
          <w:vertAlign w:val="baseline"/>
        </w:rPr>
        <w:footnoteReference w:customMarkFollows="1" w:id="4"/>
        <w:t>**</w:t>
      </w:r>
      <w:r w:rsidRPr="007267CB">
        <w:rPr>
          <w:bCs/>
        </w:rPr>
        <w:t>.</w:t>
      </w:r>
    </w:p>
    <w:p w:rsidR="00CE57DA" w:rsidRPr="00CE57DA" w:rsidRDefault="00CE57DA" w:rsidP="00CE57DA">
      <w:pPr>
        <w:pStyle w:val="SingleTxt"/>
        <w:spacing w:after="0" w:line="240" w:lineRule="auto"/>
        <w:rPr>
          <w:bCs/>
        </w:rPr>
      </w:pPr>
      <w:r>
        <w:rPr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E57DA" w:rsidRPr="00CE57DA" w:rsidSect="0058515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DD" w:rsidRDefault="002D3EDD" w:rsidP="008A1A7A">
      <w:pPr>
        <w:spacing w:line="240" w:lineRule="auto"/>
      </w:pPr>
      <w:r>
        <w:separator/>
      </w:r>
    </w:p>
  </w:endnote>
  <w:endnote w:type="continuationSeparator" w:id="0">
    <w:p w:rsidR="002D3EDD" w:rsidRDefault="002D3ED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8515C" w:rsidTr="0058515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8515C" w:rsidRPr="0058515C" w:rsidRDefault="0058515C" w:rsidP="0058515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81EC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81ECB">
              <w:rPr>
                <w:noProof/>
              </w:rPr>
              <w:t>11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8515C" w:rsidRPr="0058515C" w:rsidRDefault="0058515C" w:rsidP="0058515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93FF4">
            <w:rPr>
              <w:b w:val="0"/>
              <w:color w:val="000000"/>
              <w:sz w:val="14"/>
            </w:rPr>
            <w:t>GE.15-15572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8515C" w:rsidRPr="0058515C" w:rsidRDefault="0058515C" w:rsidP="00585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8515C" w:rsidTr="0058515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8515C" w:rsidRPr="0058515C" w:rsidRDefault="0058515C" w:rsidP="0058515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93FF4">
            <w:rPr>
              <w:b w:val="0"/>
              <w:color w:val="000000"/>
              <w:sz w:val="14"/>
            </w:rPr>
            <w:t>GE.15-15572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515C" w:rsidRPr="0058515C" w:rsidRDefault="0058515C" w:rsidP="0058515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81ECB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D81ECB">
              <w:rPr>
                <w:noProof/>
              </w:rPr>
              <w:t>11</w:t>
            </w:r>
          </w:fldSimple>
        </w:p>
      </w:tc>
    </w:tr>
  </w:tbl>
  <w:p w:rsidR="0058515C" w:rsidRPr="0058515C" w:rsidRDefault="0058515C" w:rsidP="00585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8515C" w:rsidTr="0058515C">
      <w:tc>
        <w:tcPr>
          <w:tcW w:w="3873" w:type="dxa"/>
        </w:tcPr>
        <w:p w:rsidR="0058515C" w:rsidRDefault="0058515C" w:rsidP="0058515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702EBE0" wp14:editId="461FD96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ADN/3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ADN/3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GE.15-15572 (R)</w:t>
          </w:r>
          <w:r>
            <w:rPr>
              <w:color w:val="010000"/>
            </w:rPr>
            <w:t xml:space="preserve">    0</w:t>
          </w:r>
          <w:r w:rsidR="00AE0877">
            <w:rPr>
              <w:color w:val="010000"/>
            </w:rPr>
            <w:t>5</w:t>
          </w:r>
          <w:r>
            <w:rPr>
              <w:color w:val="010000"/>
            </w:rPr>
            <w:t>1115    061115</w:t>
          </w:r>
        </w:p>
        <w:p w:rsidR="0058515C" w:rsidRPr="0058515C" w:rsidRDefault="0058515C" w:rsidP="0058515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*1515572*</w:t>
          </w:r>
        </w:p>
      </w:tc>
      <w:tc>
        <w:tcPr>
          <w:tcW w:w="5127" w:type="dxa"/>
        </w:tcPr>
        <w:p w:rsidR="0058515C" w:rsidRDefault="0058515C" w:rsidP="0058515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EE4F766" wp14:editId="40F3E4D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515C" w:rsidRPr="0058515C" w:rsidRDefault="0058515C" w:rsidP="0058515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DD" w:rsidRPr="008D06A8" w:rsidRDefault="008D06A8" w:rsidP="008D06A8">
      <w:pPr>
        <w:pStyle w:val="Footer"/>
        <w:spacing w:after="80"/>
        <w:ind w:left="792"/>
        <w:rPr>
          <w:sz w:val="16"/>
        </w:rPr>
      </w:pPr>
      <w:r w:rsidRPr="008D06A8">
        <w:rPr>
          <w:sz w:val="16"/>
        </w:rPr>
        <w:t>__________________</w:t>
      </w:r>
    </w:p>
  </w:footnote>
  <w:footnote w:type="continuationSeparator" w:id="0">
    <w:p w:rsidR="002D3EDD" w:rsidRPr="008D06A8" w:rsidRDefault="008D06A8" w:rsidP="008D06A8">
      <w:pPr>
        <w:pStyle w:val="Footer"/>
        <w:spacing w:after="80"/>
        <w:ind w:left="792"/>
        <w:rPr>
          <w:sz w:val="16"/>
        </w:rPr>
      </w:pPr>
      <w:r w:rsidRPr="008D06A8">
        <w:rPr>
          <w:sz w:val="16"/>
        </w:rPr>
        <w:t>__________________</w:t>
      </w:r>
    </w:p>
  </w:footnote>
  <w:footnote w:id="1">
    <w:p w:rsidR="007F3705" w:rsidRPr="007F3705" w:rsidRDefault="007F3705" w:rsidP="008D06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7F3705">
        <w:rPr>
          <w:rStyle w:val="FootnoteReference"/>
          <w:vertAlign w:val="baseline"/>
        </w:rPr>
        <w:t>*</w:t>
      </w:r>
      <w:r w:rsidRPr="007F3705">
        <w:rPr>
          <w:rStyle w:val="FootnoteReference"/>
          <w:vertAlign w:val="baseline"/>
        </w:rPr>
        <w:tab/>
      </w:r>
      <w:r w:rsidRPr="007F3705">
        <w:t>Распространен на немецком языке Центральной комиссией судоходства по Рейну под условным обозначением CCNR-ZKR/ADN/33.</w:t>
      </w:r>
    </w:p>
  </w:footnote>
  <w:footnote w:id="2">
    <w:p w:rsidR="00BE5D2C" w:rsidRPr="00BE5D2C" w:rsidRDefault="00BE5D2C" w:rsidP="008D06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E5D2C">
        <w:rPr>
          <w:rStyle w:val="FootnoteReference"/>
          <w:vertAlign w:val="baseline"/>
        </w:rPr>
        <w:t>*</w:t>
      </w:r>
      <w:r>
        <w:rPr>
          <w:rStyle w:val="FootnoteReference"/>
          <w:vertAlign w:val="baseline"/>
        </w:rPr>
        <w:tab/>
      </w:r>
      <w:r w:rsidRPr="00BE5D2C">
        <w:rPr>
          <w:bCs/>
          <w:w w:val="103"/>
        </w:rPr>
        <w:t xml:space="preserve">Доклад 50102448 </w:t>
      </w:r>
      <w:r w:rsidRPr="00BE5D2C">
        <w:rPr>
          <w:bCs/>
          <w:w w:val="103"/>
          <w:lang w:val="en-US"/>
        </w:rPr>
        <w:t>R</w:t>
      </w:r>
      <w:r w:rsidRPr="00BE5D2C">
        <w:rPr>
          <w:bCs/>
          <w:w w:val="103"/>
        </w:rPr>
        <w:t xml:space="preserve">01 «Ллойдс реджистер консалтинг» от 29 апреля 2014 года (содержится в неофициальном документе </w:t>
      </w:r>
      <w:r w:rsidRPr="00BE5D2C">
        <w:rPr>
          <w:bCs/>
          <w:w w:val="103"/>
          <w:lang w:val="en-US"/>
        </w:rPr>
        <w:t>INF</w:t>
      </w:r>
      <w:r w:rsidRPr="00BE5D2C">
        <w:rPr>
          <w:bCs/>
          <w:w w:val="103"/>
        </w:rPr>
        <w:t>.4, представленном на двадцать пятой сессии Комитета по вопросам безопасности ВОПОГ).</w:t>
      </w:r>
    </w:p>
  </w:footnote>
  <w:footnote w:id="3">
    <w:p w:rsidR="00A320E9" w:rsidRPr="00283413" w:rsidRDefault="00A320E9" w:rsidP="008D06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A320E9">
        <w:rPr>
          <w:rStyle w:val="FootnoteReference"/>
          <w:vertAlign w:val="baseline"/>
        </w:rPr>
        <w:t>*</w:t>
      </w:r>
      <w:r>
        <w:rPr>
          <w:rStyle w:val="FootnoteReference"/>
          <w:vertAlign w:val="baseline"/>
        </w:rPr>
        <w:tab/>
      </w:r>
      <w:r w:rsidRPr="00A320E9">
        <w:rPr>
          <w:bCs/>
          <w:w w:val="103"/>
        </w:rPr>
        <w:t xml:space="preserve">Доклад </w:t>
      </w:r>
      <w:r w:rsidR="0052034A">
        <w:rPr>
          <w:bCs/>
          <w:w w:val="103"/>
        </w:rPr>
        <w:t>"</w:t>
      </w:r>
      <w:r w:rsidRPr="00A320E9">
        <w:rPr>
          <w:bCs/>
          <w:w w:val="103"/>
          <w:lang w:val="en-US"/>
        </w:rPr>
        <w:t>GTT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Report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to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ADN</w:t>
      </w:r>
      <w:r w:rsidRPr="00A320E9">
        <w:rPr>
          <w:bCs/>
          <w:w w:val="103"/>
        </w:rPr>
        <w:t xml:space="preserve"> – </w:t>
      </w:r>
      <w:r w:rsidRPr="00A320E9">
        <w:rPr>
          <w:bCs/>
          <w:w w:val="103"/>
          <w:lang w:val="en-US"/>
        </w:rPr>
        <w:t>Membrane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containment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system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for</w:t>
      </w:r>
      <w:r w:rsidRPr="00A320E9">
        <w:rPr>
          <w:bCs/>
          <w:w w:val="103"/>
        </w:rPr>
        <w:t xml:space="preserve"> </w:t>
      </w:r>
      <w:r w:rsidRPr="00A320E9">
        <w:rPr>
          <w:bCs/>
          <w:w w:val="103"/>
          <w:lang w:val="en-US"/>
        </w:rPr>
        <w:t>LNG</w:t>
      </w:r>
      <w:r w:rsidR="0052034A">
        <w:rPr>
          <w:bCs/>
          <w:w w:val="103"/>
        </w:rPr>
        <w:t>"</w:t>
      </w:r>
      <w:r w:rsidRPr="00A320E9">
        <w:rPr>
          <w:bCs/>
          <w:w w:val="103"/>
        </w:rPr>
        <w:t xml:space="preserve">, </w:t>
      </w:r>
      <w:r w:rsidRPr="00A320E9">
        <w:rPr>
          <w:bCs/>
          <w:w w:val="103"/>
          <w:lang w:val="en-US"/>
        </w:rPr>
        <w:t>Revision</w:t>
      </w:r>
      <w:r w:rsidRPr="00A320E9">
        <w:rPr>
          <w:bCs/>
          <w:w w:val="103"/>
        </w:rPr>
        <w:t>:</w:t>
      </w:r>
      <w:r w:rsidR="00283413">
        <w:rPr>
          <w:bCs/>
          <w:w w:val="103"/>
        </w:rPr>
        <w:t> </w:t>
      </w:r>
      <w:r w:rsidRPr="00A320E9">
        <w:rPr>
          <w:bCs/>
          <w:w w:val="103"/>
        </w:rPr>
        <w:t xml:space="preserve">02, 12/06/2015, содержащийся в приложении 2 к неофициальному документу </w:t>
      </w:r>
      <w:r w:rsidRPr="00A320E9">
        <w:rPr>
          <w:bCs/>
          <w:w w:val="103"/>
          <w:lang w:val="en-US"/>
        </w:rPr>
        <w:t>INF</w:t>
      </w:r>
      <w:r w:rsidRPr="00A320E9">
        <w:rPr>
          <w:bCs/>
          <w:w w:val="103"/>
        </w:rPr>
        <w:t>.6, представленному на двадцать седьмой сессии Комитета по вопросам безопасности ВОПОГ и</w:t>
      </w:r>
      <w:r w:rsidR="00283413">
        <w:rPr>
          <w:bCs/>
          <w:w w:val="103"/>
        </w:rPr>
        <w:t> </w:t>
      </w:r>
      <w:r w:rsidRPr="00A320E9">
        <w:rPr>
          <w:bCs/>
          <w:w w:val="103"/>
        </w:rPr>
        <w:t xml:space="preserve">размещенному на веб-сайте по следующему адресу: </w:t>
      </w:r>
      <w:hyperlink r:id="rId1" w:history="1"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http</w:t>
        </w:r>
        <w:r w:rsidRPr="00283413">
          <w:rPr>
            <w:rStyle w:val="Hyperlink"/>
            <w:bCs/>
            <w:color w:val="auto"/>
            <w:w w:val="103"/>
            <w:u w:val="none"/>
          </w:rPr>
          <w:t>://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www</w:t>
        </w:r>
        <w:r w:rsidRPr="00283413">
          <w:rPr>
            <w:rStyle w:val="Hyperlink"/>
            <w:bCs/>
            <w:color w:val="auto"/>
            <w:w w:val="103"/>
            <w:u w:val="none"/>
          </w:rPr>
          <w:t>.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unece</w:t>
        </w:r>
        <w:r w:rsidRPr="00283413">
          <w:rPr>
            <w:rStyle w:val="Hyperlink"/>
            <w:bCs/>
            <w:color w:val="auto"/>
            <w:w w:val="103"/>
            <w:u w:val="none"/>
          </w:rPr>
          <w:t>.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org</w:t>
        </w:r>
        <w:r w:rsidRPr="00283413">
          <w:rPr>
            <w:rStyle w:val="Hyperlink"/>
            <w:bCs/>
            <w:color w:val="auto"/>
            <w:w w:val="103"/>
            <w:u w:val="none"/>
          </w:rPr>
          <w:t>/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fileadmin</w:t>
        </w:r>
        <w:r w:rsidRPr="00283413">
          <w:rPr>
            <w:rStyle w:val="Hyperlink"/>
            <w:bCs/>
            <w:color w:val="auto"/>
            <w:w w:val="103"/>
            <w:u w:val="none"/>
          </w:rPr>
          <w:t>/</w:t>
        </w:r>
        <w:r w:rsidR="00283413">
          <w:rPr>
            <w:rStyle w:val="Hyperlink"/>
            <w:bCs/>
            <w:color w:val="auto"/>
            <w:w w:val="103"/>
            <w:u w:val="none"/>
          </w:rPr>
          <w:t xml:space="preserve"> 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DAM</w:t>
        </w:r>
        <w:r w:rsidRPr="00283413">
          <w:rPr>
            <w:rStyle w:val="Hyperlink"/>
            <w:bCs/>
            <w:color w:val="auto"/>
            <w:w w:val="103"/>
            <w:u w:val="none"/>
          </w:rPr>
          <w:t>/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trans</w:t>
        </w:r>
        <w:r w:rsidRPr="00283413">
          <w:rPr>
            <w:rStyle w:val="Hyperlink"/>
            <w:bCs/>
            <w:color w:val="auto"/>
            <w:w w:val="103"/>
            <w:u w:val="none"/>
          </w:rPr>
          <w:t>/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doc</w:t>
        </w:r>
        <w:r w:rsidRPr="00283413">
          <w:rPr>
            <w:rStyle w:val="Hyperlink"/>
            <w:bCs/>
            <w:color w:val="auto"/>
            <w:w w:val="103"/>
            <w:u w:val="none"/>
          </w:rPr>
          <w:t>/2015/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dgwp</w:t>
        </w:r>
        <w:r w:rsidRPr="00283413">
          <w:rPr>
            <w:rStyle w:val="Hyperlink"/>
            <w:bCs/>
            <w:color w:val="auto"/>
            <w:w w:val="103"/>
            <w:u w:val="none"/>
          </w:rPr>
          <w:t>15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ac</w:t>
        </w:r>
        <w:r w:rsidRPr="00283413">
          <w:rPr>
            <w:rStyle w:val="Hyperlink"/>
            <w:bCs/>
            <w:color w:val="auto"/>
            <w:w w:val="103"/>
            <w:u w:val="none"/>
          </w:rPr>
          <w:t>2/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WP</w:t>
        </w:r>
        <w:r w:rsidRPr="00283413">
          <w:rPr>
            <w:rStyle w:val="Hyperlink"/>
            <w:bCs/>
            <w:color w:val="auto"/>
            <w:w w:val="103"/>
            <w:u w:val="none"/>
          </w:rPr>
          <w:t>15-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AC</w:t>
        </w:r>
        <w:r w:rsidRPr="00283413">
          <w:rPr>
            <w:rStyle w:val="Hyperlink"/>
            <w:bCs/>
            <w:color w:val="auto"/>
            <w:w w:val="103"/>
            <w:u w:val="none"/>
          </w:rPr>
          <w:t>2-27-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inf</w:t>
        </w:r>
        <w:r w:rsidRPr="00283413">
          <w:rPr>
            <w:rStyle w:val="Hyperlink"/>
            <w:bCs/>
            <w:color w:val="auto"/>
            <w:w w:val="103"/>
            <w:u w:val="none"/>
          </w:rPr>
          <w:t>06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e</w:t>
        </w:r>
        <w:r w:rsidRPr="00283413">
          <w:rPr>
            <w:rStyle w:val="Hyperlink"/>
            <w:bCs/>
            <w:color w:val="auto"/>
            <w:w w:val="103"/>
            <w:u w:val="none"/>
          </w:rPr>
          <w:t>.</w:t>
        </w:r>
        <w:r w:rsidRPr="00283413">
          <w:rPr>
            <w:rStyle w:val="Hyperlink"/>
            <w:bCs/>
            <w:color w:val="auto"/>
            <w:w w:val="103"/>
            <w:u w:val="none"/>
            <w:lang w:val="en-US"/>
          </w:rPr>
          <w:t>pdf</w:t>
        </w:r>
      </w:hyperlink>
      <w:r w:rsidR="00283413">
        <w:rPr>
          <w:w w:val="103"/>
        </w:rPr>
        <w:t>.</w:t>
      </w:r>
    </w:p>
  </w:footnote>
  <w:footnote w:id="4">
    <w:p w:rsidR="008D06A8" w:rsidRPr="008D06A8" w:rsidRDefault="008D06A8" w:rsidP="008D06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D06A8">
        <w:rPr>
          <w:rStyle w:val="FootnoteReference"/>
          <w:vertAlign w:val="baseline"/>
        </w:rPr>
        <w:t>**</w:t>
      </w:r>
      <w:r>
        <w:tab/>
      </w:r>
      <w:r w:rsidRPr="008D06A8">
        <w:rPr>
          <w:bCs/>
        </w:rPr>
        <w:t xml:space="preserve">Имеется на веб-сайте по следующему адресу: </w:t>
      </w:r>
      <w:hyperlink r:id="rId2" w:history="1">
        <w:r w:rsidRPr="008D06A8">
          <w:rPr>
            <w:rStyle w:val="Hyperlink"/>
            <w:bCs/>
            <w:color w:val="auto"/>
            <w:u w:val="none"/>
            <w:lang w:val="en-US"/>
          </w:rPr>
          <w:t>http</w:t>
        </w:r>
        <w:r w:rsidRPr="008D06A8">
          <w:rPr>
            <w:rStyle w:val="Hyperlink"/>
            <w:bCs/>
            <w:color w:val="auto"/>
            <w:u w:val="none"/>
          </w:rPr>
          <w:t>://</w:t>
        </w:r>
        <w:r w:rsidRPr="008D06A8">
          <w:rPr>
            <w:rStyle w:val="Hyperlink"/>
            <w:bCs/>
            <w:color w:val="auto"/>
            <w:u w:val="none"/>
            <w:lang w:val="en-US"/>
          </w:rPr>
          <w:t>www</w:t>
        </w:r>
        <w:r w:rsidRPr="008D06A8">
          <w:rPr>
            <w:rStyle w:val="Hyperlink"/>
            <w:bCs/>
            <w:color w:val="auto"/>
            <w:u w:val="none"/>
          </w:rPr>
          <w:t>.</w:t>
        </w:r>
        <w:r w:rsidRPr="008D06A8">
          <w:rPr>
            <w:rStyle w:val="Hyperlink"/>
            <w:bCs/>
            <w:color w:val="auto"/>
            <w:u w:val="none"/>
            <w:lang w:val="en-US"/>
          </w:rPr>
          <w:t>unece</w:t>
        </w:r>
        <w:r w:rsidRPr="008D06A8">
          <w:rPr>
            <w:rStyle w:val="Hyperlink"/>
            <w:bCs/>
            <w:color w:val="auto"/>
            <w:u w:val="none"/>
          </w:rPr>
          <w:t>.</w:t>
        </w:r>
        <w:r w:rsidRPr="008D06A8">
          <w:rPr>
            <w:rStyle w:val="Hyperlink"/>
            <w:bCs/>
            <w:color w:val="auto"/>
            <w:u w:val="none"/>
            <w:lang w:val="en-US"/>
          </w:rPr>
          <w:t>org</w:t>
        </w:r>
        <w:r w:rsidRPr="008D06A8">
          <w:rPr>
            <w:rStyle w:val="Hyperlink"/>
            <w:bCs/>
            <w:color w:val="auto"/>
            <w:u w:val="none"/>
          </w:rPr>
          <w:t>/</w:t>
        </w:r>
        <w:r w:rsidRPr="008D06A8">
          <w:rPr>
            <w:rStyle w:val="Hyperlink"/>
            <w:bCs/>
            <w:color w:val="auto"/>
            <w:u w:val="none"/>
            <w:lang w:val="en-US"/>
          </w:rPr>
          <w:t>fileadmin</w:t>
        </w:r>
        <w:r w:rsidRPr="008D06A8">
          <w:rPr>
            <w:rStyle w:val="Hyperlink"/>
            <w:bCs/>
            <w:color w:val="auto"/>
            <w:u w:val="none"/>
          </w:rPr>
          <w:t>/</w:t>
        </w:r>
        <w:r w:rsidRPr="008D06A8">
          <w:rPr>
            <w:rStyle w:val="Hyperlink"/>
            <w:bCs/>
            <w:color w:val="auto"/>
            <w:u w:val="none"/>
            <w:lang w:val="en-US"/>
          </w:rPr>
          <w:t>DAM</w:t>
        </w:r>
        <w:r w:rsidRPr="008D06A8">
          <w:rPr>
            <w:rStyle w:val="Hyperlink"/>
            <w:bCs/>
            <w:color w:val="auto"/>
            <w:u w:val="none"/>
          </w:rPr>
          <w:t>/</w:t>
        </w:r>
        <w:r>
          <w:rPr>
            <w:rStyle w:val="Hyperlink"/>
            <w:bCs/>
            <w:color w:val="auto"/>
            <w:u w:val="none"/>
          </w:rPr>
          <w:t xml:space="preserve"> </w:t>
        </w:r>
        <w:r w:rsidRPr="008D06A8">
          <w:rPr>
            <w:rStyle w:val="Hyperlink"/>
            <w:bCs/>
            <w:color w:val="auto"/>
            <w:u w:val="none"/>
            <w:lang w:val="en-US"/>
          </w:rPr>
          <w:t>trans</w:t>
        </w:r>
        <w:r w:rsidRPr="008D06A8">
          <w:rPr>
            <w:rStyle w:val="Hyperlink"/>
            <w:bCs/>
            <w:color w:val="auto"/>
            <w:u w:val="none"/>
          </w:rPr>
          <w:t>/</w:t>
        </w:r>
        <w:r w:rsidRPr="008D06A8">
          <w:rPr>
            <w:rStyle w:val="Hyperlink"/>
            <w:bCs/>
            <w:color w:val="auto"/>
            <w:u w:val="none"/>
            <w:lang w:val="en-US"/>
          </w:rPr>
          <w:t>doc</w:t>
        </w:r>
        <w:r w:rsidRPr="008D06A8">
          <w:rPr>
            <w:rStyle w:val="Hyperlink"/>
            <w:bCs/>
            <w:color w:val="auto"/>
            <w:u w:val="none"/>
          </w:rPr>
          <w:t>/2015/</w:t>
        </w:r>
        <w:r w:rsidRPr="008D06A8">
          <w:rPr>
            <w:rStyle w:val="Hyperlink"/>
            <w:bCs/>
            <w:color w:val="auto"/>
            <w:u w:val="none"/>
            <w:lang w:val="en-US"/>
          </w:rPr>
          <w:t>dgwp</w:t>
        </w:r>
        <w:r w:rsidRPr="008D06A8">
          <w:rPr>
            <w:rStyle w:val="Hyperlink"/>
            <w:bCs/>
            <w:color w:val="auto"/>
            <w:u w:val="none"/>
          </w:rPr>
          <w:t>15</w:t>
        </w:r>
        <w:r w:rsidRPr="008D06A8">
          <w:rPr>
            <w:rStyle w:val="Hyperlink"/>
            <w:bCs/>
            <w:color w:val="auto"/>
            <w:u w:val="none"/>
            <w:lang w:val="en-US"/>
          </w:rPr>
          <w:t>ac</w:t>
        </w:r>
        <w:r w:rsidRPr="008D06A8">
          <w:rPr>
            <w:rStyle w:val="Hyperlink"/>
            <w:bCs/>
            <w:color w:val="auto"/>
            <w:u w:val="none"/>
          </w:rPr>
          <w:t>2/</w:t>
        </w:r>
        <w:r w:rsidRPr="008D06A8">
          <w:rPr>
            <w:rStyle w:val="Hyperlink"/>
            <w:bCs/>
            <w:color w:val="auto"/>
            <w:u w:val="none"/>
            <w:lang w:val="en-US"/>
          </w:rPr>
          <w:t>WP</w:t>
        </w:r>
        <w:r w:rsidRPr="008D06A8">
          <w:rPr>
            <w:rStyle w:val="Hyperlink"/>
            <w:bCs/>
            <w:color w:val="auto"/>
            <w:u w:val="none"/>
          </w:rPr>
          <w:t>15-</w:t>
        </w:r>
        <w:r w:rsidRPr="008D06A8">
          <w:rPr>
            <w:rStyle w:val="Hyperlink"/>
            <w:bCs/>
            <w:color w:val="auto"/>
            <w:u w:val="none"/>
            <w:lang w:val="en-US"/>
          </w:rPr>
          <w:t>AC</w:t>
        </w:r>
        <w:r w:rsidRPr="008D06A8">
          <w:rPr>
            <w:rStyle w:val="Hyperlink"/>
            <w:bCs/>
            <w:color w:val="auto"/>
            <w:u w:val="none"/>
          </w:rPr>
          <w:t>2-27-</w:t>
        </w:r>
        <w:r w:rsidRPr="008D06A8">
          <w:rPr>
            <w:rStyle w:val="Hyperlink"/>
            <w:bCs/>
            <w:color w:val="auto"/>
            <w:u w:val="none"/>
            <w:lang w:val="en-US"/>
          </w:rPr>
          <w:t>inf</w:t>
        </w:r>
        <w:r w:rsidRPr="008D06A8">
          <w:rPr>
            <w:rStyle w:val="Hyperlink"/>
            <w:bCs/>
            <w:color w:val="auto"/>
            <w:u w:val="none"/>
          </w:rPr>
          <w:t>06</w:t>
        </w:r>
        <w:r w:rsidRPr="008D06A8">
          <w:rPr>
            <w:rStyle w:val="Hyperlink"/>
            <w:bCs/>
            <w:color w:val="auto"/>
            <w:u w:val="none"/>
            <w:lang w:val="en-US"/>
          </w:rPr>
          <w:t>e</w:t>
        </w:r>
        <w:r w:rsidRPr="008D06A8">
          <w:rPr>
            <w:rStyle w:val="Hyperlink"/>
            <w:bCs/>
            <w:color w:val="auto"/>
            <w:u w:val="none"/>
          </w:rPr>
          <w:t>.</w:t>
        </w:r>
        <w:r w:rsidRPr="008D06A8">
          <w:rPr>
            <w:rStyle w:val="Hyperlink"/>
            <w:bCs/>
            <w:color w:val="auto"/>
            <w:u w:val="none"/>
            <w:lang w:val="en-US"/>
          </w:rPr>
          <w:t>pdf</w:t>
        </w:r>
        <w:r w:rsidRPr="008D06A8">
          <w:rPr>
            <w:rStyle w:val="Hyperlink"/>
            <w:bCs/>
            <w:color w:val="auto"/>
            <w:u w:val="none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8515C" w:rsidTr="0058515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515C" w:rsidRPr="0058515C" w:rsidRDefault="0058515C" w:rsidP="0058515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93FF4">
            <w:rPr>
              <w:b/>
            </w:rPr>
            <w:t>ECE/ADN/33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515C" w:rsidRDefault="0058515C" w:rsidP="0058515C">
          <w:pPr>
            <w:pStyle w:val="Header"/>
          </w:pPr>
        </w:p>
      </w:tc>
    </w:tr>
  </w:tbl>
  <w:p w:rsidR="0058515C" w:rsidRPr="0058515C" w:rsidRDefault="0058515C" w:rsidP="00585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8515C" w:rsidTr="0058515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515C" w:rsidRDefault="0058515C" w:rsidP="0058515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8515C" w:rsidRPr="0058515C" w:rsidRDefault="0058515C" w:rsidP="0058515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93FF4">
            <w:rPr>
              <w:b/>
            </w:rPr>
            <w:t>ECE/ADN/33</w:t>
          </w:r>
          <w:r>
            <w:rPr>
              <w:b/>
            </w:rPr>
            <w:fldChar w:fldCharType="end"/>
          </w:r>
        </w:p>
      </w:tc>
    </w:tr>
  </w:tbl>
  <w:p w:rsidR="0058515C" w:rsidRPr="0058515C" w:rsidRDefault="0058515C" w:rsidP="00585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8515C" w:rsidTr="0058515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8515C" w:rsidRPr="0058515C" w:rsidRDefault="0058515C" w:rsidP="0058515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8515C" w:rsidRDefault="0058515C" w:rsidP="0058515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8515C" w:rsidRPr="0058515C" w:rsidRDefault="0058515C" w:rsidP="0058515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/ADN/33</w:t>
          </w:r>
        </w:p>
      </w:tc>
    </w:tr>
    <w:tr w:rsidR="0058515C" w:rsidRPr="0065212A" w:rsidTr="0058515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515C" w:rsidRPr="0058515C" w:rsidRDefault="0058515C" w:rsidP="0058515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FB6BA59" wp14:editId="1017AAD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515C" w:rsidRPr="0058515C" w:rsidRDefault="0058515C" w:rsidP="0058515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515C" w:rsidRPr="0058515C" w:rsidRDefault="0058515C" w:rsidP="0058515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515C" w:rsidRPr="0065212A" w:rsidRDefault="0058515C" w:rsidP="0058515C">
          <w:pPr>
            <w:pStyle w:val="Distribution"/>
            <w:rPr>
              <w:color w:val="000000"/>
              <w:lang w:val="en-US"/>
            </w:rPr>
          </w:pPr>
          <w:r w:rsidRPr="0065212A">
            <w:rPr>
              <w:color w:val="000000"/>
              <w:lang w:val="en-US"/>
            </w:rPr>
            <w:t>Distr.: General</w:t>
          </w:r>
        </w:p>
        <w:p w:rsidR="0058515C" w:rsidRPr="0065212A" w:rsidRDefault="0058515C" w:rsidP="0058515C">
          <w:pPr>
            <w:pStyle w:val="Publication"/>
            <w:rPr>
              <w:color w:val="000000"/>
              <w:lang w:val="en-US"/>
            </w:rPr>
          </w:pPr>
          <w:r w:rsidRPr="0065212A">
            <w:rPr>
              <w:color w:val="000000"/>
              <w:lang w:val="en-US"/>
            </w:rPr>
            <w:t>15 September 2015</w:t>
          </w:r>
        </w:p>
        <w:p w:rsidR="0058515C" w:rsidRPr="0065212A" w:rsidRDefault="0058515C" w:rsidP="0058515C">
          <w:pPr>
            <w:rPr>
              <w:color w:val="000000"/>
              <w:lang w:val="en-US"/>
            </w:rPr>
          </w:pPr>
          <w:r w:rsidRPr="0065212A">
            <w:rPr>
              <w:color w:val="000000"/>
              <w:lang w:val="en-US"/>
            </w:rPr>
            <w:t>Russian</w:t>
          </w:r>
        </w:p>
        <w:p w:rsidR="0058515C" w:rsidRPr="0065212A" w:rsidRDefault="0058515C" w:rsidP="0058515C">
          <w:pPr>
            <w:pStyle w:val="Original"/>
            <w:rPr>
              <w:color w:val="000000"/>
              <w:lang w:val="en-US"/>
            </w:rPr>
          </w:pPr>
          <w:r w:rsidRPr="0065212A">
            <w:rPr>
              <w:color w:val="000000"/>
              <w:lang w:val="en-US"/>
            </w:rPr>
            <w:t>Original: English</w:t>
          </w:r>
        </w:p>
        <w:p w:rsidR="0058515C" w:rsidRPr="0065212A" w:rsidRDefault="0058515C" w:rsidP="0058515C">
          <w:pPr>
            <w:rPr>
              <w:lang w:val="en-US"/>
            </w:rPr>
          </w:pPr>
        </w:p>
      </w:tc>
    </w:tr>
  </w:tbl>
  <w:p w:rsidR="0058515C" w:rsidRPr="0065212A" w:rsidRDefault="0058515C" w:rsidP="0058515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332A"/>
    <w:multiLevelType w:val="multilevel"/>
    <w:tmpl w:val="E1CAA20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3932"/>
    <w:multiLevelType w:val="multilevel"/>
    <w:tmpl w:val="246C94F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572*"/>
    <w:docVar w:name="CreationDt" w:val="11/6/2015 11:48 AM"/>
    <w:docVar w:name="DocCategory" w:val="Doc"/>
    <w:docVar w:name="DocType" w:val="Final"/>
    <w:docVar w:name="DutyStation" w:val="Geneva"/>
    <w:docVar w:name="FooterJN" w:val="GE.15-15572"/>
    <w:docVar w:name="jobn" w:val="GE.15-15572 (R)"/>
    <w:docVar w:name="jobnDT" w:val="GE.15-15572 (R)   061115"/>
    <w:docVar w:name="jobnDTDT" w:val="GE.15-15572 (R)   061115   061115"/>
    <w:docVar w:name="JobNo" w:val="GE.1515572R"/>
    <w:docVar w:name="JobNo2" w:val="1520827R"/>
    <w:docVar w:name="LocalDrive" w:val="0"/>
    <w:docVar w:name="OandT" w:val=" "/>
    <w:docVar w:name="PaperSize" w:val="A4"/>
    <w:docVar w:name="sss1" w:val="ECE/ADN/33"/>
    <w:docVar w:name="sss2" w:val="-"/>
    <w:docVar w:name="Symbol1" w:val="ECE/ADN/33"/>
    <w:docVar w:name="Symbol2" w:val="-"/>
  </w:docVars>
  <w:rsids>
    <w:rsidRoot w:val="002D3EDD"/>
    <w:rsid w:val="00004615"/>
    <w:rsid w:val="00004756"/>
    <w:rsid w:val="00010735"/>
    <w:rsid w:val="00013E03"/>
    <w:rsid w:val="00015201"/>
    <w:rsid w:val="0001588C"/>
    <w:rsid w:val="000162FB"/>
    <w:rsid w:val="00024253"/>
    <w:rsid w:val="00024A67"/>
    <w:rsid w:val="00025CF3"/>
    <w:rsid w:val="0002669B"/>
    <w:rsid w:val="00033C1F"/>
    <w:rsid w:val="000513EF"/>
    <w:rsid w:val="0005420D"/>
    <w:rsid w:val="00055EA2"/>
    <w:rsid w:val="00062910"/>
    <w:rsid w:val="00067A5A"/>
    <w:rsid w:val="00067A90"/>
    <w:rsid w:val="00070C37"/>
    <w:rsid w:val="000738BD"/>
    <w:rsid w:val="00076F88"/>
    <w:rsid w:val="0007796A"/>
    <w:rsid w:val="0008067C"/>
    <w:rsid w:val="00091DC8"/>
    <w:rsid w:val="00091FE0"/>
    <w:rsid w:val="00092464"/>
    <w:rsid w:val="000A111E"/>
    <w:rsid w:val="000A1DF3"/>
    <w:rsid w:val="000A4A11"/>
    <w:rsid w:val="000B02B7"/>
    <w:rsid w:val="000B65BB"/>
    <w:rsid w:val="000B704B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0F66CE"/>
    <w:rsid w:val="00105B0E"/>
    <w:rsid w:val="00113678"/>
    <w:rsid w:val="001235FD"/>
    <w:rsid w:val="00141186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65C8"/>
    <w:rsid w:val="0019704E"/>
    <w:rsid w:val="001A0D31"/>
    <w:rsid w:val="001A39EE"/>
    <w:rsid w:val="001A4338"/>
    <w:rsid w:val="001A6777"/>
    <w:rsid w:val="001A76E4"/>
    <w:rsid w:val="001C072D"/>
    <w:rsid w:val="001C318A"/>
    <w:rsid w:val="001C390E"/>
    <w:rsid w:val="001C54CE"/>
    <w:rsid w:val="001D15F8"/>
    <w:rsid w:val="001D1749"/>
    <w:rsid w:val="001D2679"/>
    <w:rsid w:val="001D414B"/>
    <w:rsid w:val="001D502D"/>
    <w:rsid w:val="001D60ED"/>
    <w:rsid w:val="001E0A2E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478DD"/>
    <w:rsid w:val="002524D1"/>
    <w:rsid w:val="002535D8"/>
    <w:rsid w:val="00254046"/>
    <w:rsid w:val="002564AC"/>
    <w:rsid w:val="002605FB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3413"/>
    <w:rsid w:val="002853F1"/>
    <w:rsid w:val="00285565"/>
    <w:rsid w:val="00293FF4"/>
    <w:rsid w:val="00295469"/>
    <w:rsid w:val="00297C3D"/>
    <w:rsid w:val="002A04A3"/>
    <w:rsid w:val="002A0BAE"/>
    <w:rsid w:val="002A2DD8"/>
    <w:rsid w:val="002A712C"/>
    <w:rsid w:val="002A7921"/>
    <w:rsid w:val="002B1213"/>
    <w:rsid w:val="002B6337"/>
    <w:rsid w:val="002B6501"/>
    <w:rsid w:val="002B6E2A"/>
    <w:rsid w:val="002C0A4B"/>
    <w:rsid w:val="002C3DE6"/>
    <w:rsid w:val="002C66D0"/>
    <w:rsid w:val="002D396F"/>
    <w:rsid w:val="002D3EDD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4703C"/>
    <w:rsid w:val="00350756"/>
    <w:rsid w:val="003542EE"/>
    <w:rsid w:val="003571D9"/>
    <w:rsid w:val="00360D26"/>
    <w:rsid w:val="00362FFE"/>
    <w:rsid w:val="003658B0"/>
    <w:rsid w:val="00373E7E"/>
    <w:rsid w:val="0038044D"/>
    <w:rsid w:val="00384AEE"/>
    <w:rsid w:val="0038527A"/>
    <w:rsid w:val="00386A98"/>
    <w:rsid w:val="00391367"/>
    <w:rsid w:val="0039505F"/>
    <w:rsid w:val="003A150E"/>
    <w:rsid w:val="003A2730"/>
    <w:rsid w:val="003A2B77"/>
    <w:rsid w:val="003B16B4"/>
    <w:rsid w:val="003B5A03"/>
    <w:rsid w:val="003C12AC"/>
    <w:rsid w:val="003C2842"/>
    <w:rsid w:val="003D0825"/>
    <w:rsid w:val="003D13E5"/>
    <w:rsid w:val="003D2003"/>
    <w:rsid w:val="003D5DA2"/>
    <w:rsid w:val="003E5193"/>
    <w:rsid w:val="003F7D75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550FD"/>
    <w:rsid w:val="00460D23"/>
    <w:rsid w:val="004645DD"/>
    <w:rsid w:val="00464D5C"/>
    <w:rsid w:val="0046710A"/>
    <w:rsid w:val="004720C7"/>
    <w:rsid w:val="0047759D"/>
    <w:rsid w:val="00487893"/>
    <w:rsid w:val="0049612D"/>
    <w:rsid w:val="004964B8"/>
    <w:rsid w:val="004A04A6"/>
    <w:rsid w:val="004A21EE"/>
    <w:rsid w:val="004A36EE"/>
    <w:rsid w:val="004A58AA"/>
    <w:rsid w:val="004A5D8D"/>
    <w:rsid w:val="004A7499"/>
    <w:rsid w:val="004B101D"/>
    <w:rsid w:val="004B1314"/>
    <w:rsid w:val="004B16C7"/>
    <w:rsid w:val="004B6A6E"/>
    <w:rsid w:val="004B722C"/>
    <w:rsid w:val="004C1B79"/>
    <w:rsid w:val="004C27B4"/>
    <w:rsid w:val="004C6A2C"/>
    <w:rsid w:val="004D275F"/>
    <w:rsid w:val="004D474D"/>
    <w:rsid w:val="004D6276"/>
    <w:rsid w:val="004D656E"/>
    <w:rsid w:val="004E0CE6"/>
    <w:rsid w:val="004E222D"/>
    <w:rsid w:val="004E2A6D"/>
    <w:rsid w:val="004E50BB"/>
    <w:rsid w:val="004E6443"/>
    <w:rsid w:val="004E6D02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034A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47AF2"/>
    <w:rsid w:val="0055087F"/>
    <w:rsid w:val="00552E08"/>
    <w:rsid w:val="005635F7"/>
    <w:rsid w:val="00563A41"/>
    <w:rsid w:val="0056579C"/>
    <w:rsid w:val="00567706"/>
    <w:rsid w:val="005714DB"/>
    <w:rsid w:val="00572298"/>
    <w:rsid w:val="005734C2"/>
    <w:rsid w:val="00574AA1"/>
    <w:rsid w:val="00574BF2"/>
    <w:rsid w:val="0057633B"/>
    <w:rsid w:val="00577545"/>
    <w:rsid w:val="0058515C"/>
    <w:rsid w:val="00585859"/>
    <w:rsid w:val="00590EDF"/>
    <w:rsid w:val="0059185A"/>
    <w:rsid w:val="005933CB"/>
    <w:rsid w:val="00593E2F"/>
    <w:rsid w:val="00595A74"/>
    <w:rsid w:val="00597B5B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C52FB"/>
    <w:rsid w:val="005D38B6"/>
    <w:rsid w:val="005D59FA"/>
    <w:rsid w:val="005D7642"/>
    <w:rsid w:val="005E0A46"/>
    <w:rsid w:val="005E3D0D"/>
    <w:rsid w:val="005E7DCF"/>
    <w:rsid w:val="005F02E0"/>
    <w:rsid w:val="005F6E5C"/>
    <w:rsid w:val="00602F9D"/>
    <w:rsid w:val="0060593E"/>
    <w:rsid w:val="00611D8B"/>
    <w:rsid w:val="00611EE5"/>
    <w:rsid w:val="00613924"/>
    <w:rsid w:val="00616833"/>
    <w:rsid w:val="00616B8D"/>
    <w:rsid w:val="00617FBB"/>
    <w:rsid w:val="006261A6"/>
    <w:rsid w:val="0062751F"/>
    <w:rsid w:val="006318C0"/>
    <w:rsid w:val="00632AFD"/>
    <w:rsid w:val="0063491E"/>
    <w:rsid w:val="00634A27"/>
    <w:rsid w:val="00634BC5"/>
    <w:rsid w:val="00635AF8"/>
    <w:rsid w:val="006409EF"/>
    <w:rsid w:val="00642DF2"/>
    <w:rsid w:val="006457F1"/>
    <w:rsid w:val="006459C6"/>
    <w:rsid w:val="00646363"/>
    <w:rsid w:val="00647668"/>
    <w:rsid w:val="0065212A"/>
    <w:rsid w:val="00655212"/>
    <w:rsid w:val="00657EE4"/>
    <w:rsid w:val="00661F67"/>
    <w:rsid w:val="006809AD"/>
    <w:rsid w:val="006816AA"/>
    <w:rsid w:val="00682A27"/>
    <w:rsid w:val="00684FCA"/>
    <w:rsid w:val="00686BE9"/>
    <w:rsid w:val="0068781B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22D7"/>
    <w:rsid w:val="006C44B7"/>
    <w:rsid w:val="006C59D5"/>
    <w:rsid w:val="006D58BE"/>
    <w:rsid w:val="006E1418"/>
    <w:rsid w:val="006E411B"/>
    <w:rsid w:val="006F3460"/>
    <w:rsid w:val="006F3683"/>
    <w:rsid w:val="00700738"/>
    <w:rsid w:val="007042EA"/>
    <w:rsid w:val="007043B9"/>
    <w:rsid w:val="00704ADA"/>
    <w:rsid w:val="00705549"/>
    <w:rsid w:val="0070700F"/>
    <w:rsid w:val="0071210D"/>
    <w:rsid w:val="00716BC5"/>
    <w:rsid w:val="007170E5"/>
    <w:rsid w:val="00723115"/>
    <w:rsid w:val="00724550"/>
    <w:rsid w:val="007267CB"/>
    <w:rsid w:val="00730859"/>
    <w:rsid w:val="00731830"/>
    <w:rsid w:val="007338F7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62D8"/>
    <w:rsid w:val="00787B44"/>
    <w:rsid w:val="00790CD9"/>
    <w:rsid w:val="00791F20"/>
    <w:rsid w:val="00795A5A"/>
    <w:rsid w:val="00796EC3"/>
    <w:rsid w:val="007A0441"/>
    <w:rsid w:val="007B098D"/>
    <w:rsid w:val="007B1DE5"/>
    <w:rsid w:val="007B2A45"/>
    <w:rsid w:val="007B5785"/>
    <w:rsid w:val="007B5CF3"/>
    <w:rsid w:val="007B67AE"/>
    <w:rsid w:val="007B6EBF"/>
    <w:rsid w:val="007C2E8C"/>
    <w:rsid w:val="007C4E4D"/>
    <w:rsid w:val="007C5F12"/>
    <w:rsid w:val="007C62D1"/>
    <w:rsid w:val="007C706F"/>
    <w:rsid w:val="007C7320"/>
    <w:rsid w:val="007D01FF"/>
    <w:rsid w:val="007E0E39"/>
    <w:rsid w:val="007E2B60"/>
    <w:rsid w:val="007E5E30"/>
    <w:rsid w:val="007F0E54"/>
    <w:rsid w:val="007F1EEB"/>
    <w:rsid w:val="007F3705"/>
    <w:rsid w:val="007F5107"/>
    <w:rsid w:val="00803EC5"/>
    <w:rsid w:val="008040BA"/>
    <w:rsid w:val="008042D6"/>
    <w:rsid w:val="00806380"/>
    <w:rsid w:val="00821CE2"/>
    <w:rsid w:val="00826864"/>
    <w:rsid w:val="00830FF8"/>
    <w:rsid w:val="008321F1"/>
    <w:rsid w:val="00833A04"/>
    <w:rsid w:val="00833B8D"/>
    <w:rsid w:val="008375E9"/>
    <w:rsid w:val="00837F8C"/>
    <w:rsid w:val="008412E1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3CED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6A8"/>
    <w:rsid w:val="008D0CE3"/>
    <w:rsid w:val="008E7A0A"/>
    <w:rsid w:val="008F12FD"/>
    <w:rsid w:val="008F13EA"/>
    <w:rsid w:val="008F24E6"/>
    <w:rsid w:val="008F257D"/>
    <w:rsid w:val="00900E4B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633A"/>
    <w:rsid w:val="00921FC8"/>
    <w:rsid w:val="009228D9"/>
    <w:rsid w:val="00930B74"/>
    <w:rsid w:val="009312DC"/>
    <w:rsid w:val="009327BF"/>
    <w:rsid w:val="00934047"/>
    <w:rsid w:val="0093512D"/>
    <w:rsid w:val="00935F33"/>
    <w:rsid w:val="009400D3"/>
    <w:rsid w:val="009403E4"/>
    <w:rsid w:val="0094426F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01FE"/>
    <w:rsid w:val="00984EE4"/>
    <w:rsid w:val="00990168"/>
    <w:rsid w:val="0099354F"/>
    <w:rsid w:val="00996CBB"/>
    <w:rsid w:val="009A5318"/>
    <w:rsid w:val="009A785D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2CFE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20E9"/>
    <w:rsid w:val="00A3401C"/>
    <w:rsid w:val="00A344D5"/>
    <w:rsid w:val="00A37E33"/>
    <w:rsid w:val="00A452CF"/>
    <w:rsid w:val="00A46574"/>
    <w:rsid w:val="00A471A3"/>
    <w:rsid w:val="00A47B1B"/>
    <w:rsid w:val="00A63339"/>
    <w:rsid w:val="00A73D1D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4EB0"/>
    <w:rsid w:val="00AB69B0"/>
    <w:rsid w:val="00AB7AAB"/>
    <w:rsid w:val="00AC271B"/>
    <w:rsid w:val="00AD00CA"/>
    <w:rsid w:val="00AD12DB"/>
    <w:rsid w:val="00AD6322"/>
    <w:rsid w:val="00AD6752"/>
    <w:rsid w:val="00AD78B1"/>
    <w:rsid w:val="00AE0877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1954"/>
    <w:rsid w:val="00B33139"/>
    <w:rsid w:val="00B36040"/>
    <w:rsid w:val="00B36652"/>
    <w:rsid w:val="00B44E4D"/>
    <w:rsid w:val="00B47187"/>
    <w:rsid w:val="00B5129B"/>
    <w:rsid w:val="00B56376"/>
    <w:rsid w:val="00B5715E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C0D"/>
    <w:rsid w:val="00BB7E8A"/>
    <w:rsid w:val="00BC20A0"/>
    <w:rsid w:val="00BC27F5"/>
    <w:rsid w:val="00BC75AA"/>
    <w:rsid w:val="00BD0770"/>
    <w:rsid w:val="00BD2F16"/>
    <w:rsid w:val="00BD32CB"/>
    <w:rsid w:val="00BE1C7B"/>
    <w:rsid w:val="00BE2488"/>
    <w:rsid w:val="00BE2D25"/>
    <w:rsid w:val="00BE448A"/>
    <w:rsid w:val="00BE531D"/>
    <w:rsid w:val="00BE5D2C"/>
    <w:rsid w:val="00BE7378"/>
    <w:rsid w:val="00BF2725"/>
    <w:rsid w:val="00BF3D60"/>
    <w:rsid w:val="00BF5542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2E90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E57DA"/>
    <w:rsid w:val="00CF021B"/>
    <w:rsid w:val="00CF066B"/>
    <w:rsid w:val="00CF07BE"/>
    <w:rsid w:val="00CF40E0"/>
    <w:rsid w:val="00CF4412"/>
    <w:rsid w:val="00CF5B33"/>
    <w:rsid w:val="00CF71F0"/>
    <w:rsid w:val="00D01748"/>
    <w:rsid w:val="00D028FF"/>
    <w:rsid w:val="00D03ECD"/>
    <w:rsid w:val="00D05963"/>
    <w:rsid w:val="00D07231"/>
    <w:rsid w:val="00D10486"/>
    <w:rsid w:val="00D107E0"/>
    <w:rsid w:val="00D11640"/>
    <w:rsid w:val="00D1470E"/>
    <w:rsid w:val="00D20AA4"/>
    <w:rsid w:val="00D25A7B"/>
    <w:rsid w:val="00D32157"/>
    <w:rsid w:val="00D33DAA"/>
    <w:rsid w:val="00D35B2E"/>
    <w:rsid w:val="00D40F84"/>
    <w:rsid w:val="00D434AF"/>
    <w:rsid w:val="00D44FA6"/>
    <w:rsid w:val="00D554C9"/>
    <w:rsid w:val="00D57F7A"/>
    <w:rsid w:val="00D60D62"/>
    <w:rsid w:val="00D61BB7"/>
    <w:rsid w:val="00D62DA9"/>
    <w:rsid w:val="00D70D97"/>
    <w:rsid w:val="00D7165D"/>
    <w:rsid w:val="00D75705"/>
    <w:rsid w:val="00D81ECB"/>
    <w:rsid w:val="00D820AF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2816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388C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4DD6"/>
    <w:rsid w:val="00EB646E"/>
    <w:rsid w:val="00EC07C5"/>
    <w:rsid w:val="00EC34C1"/>
    <w:rsid w:val="00EC6F5D"/>
    <w:rsid w:val="00EC7A61"/>
    <w:rsid w:val="00ED167C"/>
    <w:rsid w:val="00ED1C96"/>
    <w:rsid w:val="00ED3E61"/>
    <w:rsid w:val="00EE11B4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0714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37B0"/>
    <w:rsid w:val="00F94262"/>
    <w:rsid w:val="00F947D0"/>
    <w:rsid w:val="00F9616B"/>
    <w:rsid w:val="00F979A8"/>
    <w:rsid w:val="00FA1B93"/>
    <w:rsid w:val="00FA5551"/>
    <w:rsid w:val="00FA6D66"/>
    <w:rsid w:val="00FA7C7A"/>
    <w:rsid w:val="00FB497E"/>
    <w:rsid w:val="00FC1C00"/>
    <w:rsid w:val="00FC4EEB"/>
    <w:rsid w:val="00FD213B"/>
    <w:rsid w:val="00FD3CE8"/>
    <w:rsid w:val="00FD5B91"/>
    <w:rsid w:val="00FD7004"/>
    <w:rsid w:val="00FD7513"/>
    <w:rsid w:val="00FD7AA3"/>
    <w:rsid w:val="00FE179A"/>
    <w:rsid w:val="00FE2684"/>
    <w:rsid w:val="00FF0393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8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15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5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MGR">
    <w:name w:val="_ H __M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7267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rsid w:val="007267C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7267C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7267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7267C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7267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7267CB"/>
    <w:pPr>
      <w:numPr>
        <w:numId w:val="13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7267CB"/>
    <w:pPr>
      <w:numPr>
        <w:numId w:val="14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7267CB"/>
    <w:pPr>
      <w:numPr>
        <w:numId w:val="15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table" w:customStyle="1" w:styleId="TabNum">
    <w:name w:val="_TabNum"/>
    <w:basedOn w:val="TableNormal"/>
    <w:rsid w:val="007267CB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267CB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aliases w:val="7_GR"/>
    <w:basedOn w:val="DefaultParagraphFont"/>
    <w:rsid w:val="007267CB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59"/>
    <w:rsid w:val="007267CB"/>
    <w:pPr>
      <w:spacing w:after="0" w:line="240" w:lineRule="auto"/>
    </w:pPr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C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8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15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5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MGR">
    <w:name w:val="_ H __M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7267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7267C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rsid w:val="007267C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7267C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7267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7267C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7267C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7267CB"/>
    <w:pPr>
      <w:numPr>
        <w:numId w:val="13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7267CB"/>
    <w:pPr>
      <w:numPr>
        <w:numId w:val="14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7267CB"/>
    <w:pPr>
      <w:numPr>
        <w:numId w:val="15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table" w:customStyle="1" w:styleId="TabNum">
    <w:name w:val="_TabNum"/>
    <w:basedOn w:val="TableNormal"/>
    <w:rsid w:val="007267CB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267CB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aliases w:val="7_GR"/>
    <w:basedOn w:val="DefaultParagraphFont"/>
    <w:rsid w:val="007267CB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59"/>
    <w:rsid w:val="007267CB"/>
    <w:pPr>
      <w:spacing w:after="0" w:line="240" w:lineRule="auto"/>
    </w:pPr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C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danger/dange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trans/danger/publi/adn/multilateral-agreements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trans/doc/2015/dgwp15ac2/WP15-AC2-27-inf06e.pdf." TargetMode="External"/><Relationship Id="rId1" Type="http://schemas.openxmlformats.org/officeDocument/2006/relationships/hyperlink" Target="http://www.unece.org/fileadmin/DAM/trans/doc/2015/dgwp15ac2/WP15-AC2-27-inf06e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88BF-1C23-4B39-B8EB-E9D1B34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2</cp:revision>
  <cp:lastPrinted>2015-11-06T16:41:00Z</cp:lastPrinted>
  <dcterms:created xsi:type="dcterms:W3CDTF">2016-01-27T10:39:00Z</dcterms:created>
  <dcterms:modified xsi:type="dcterms:W3CDTF">2016-01-27T10:39:00Z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1515572R</vt:lpwstr>
  </property>
  <property fmtid="{D5CDD505-2E9C-101B-9397-08002B2CF9AE}" pid="3" name="ODSRefJobNo">
    <vt:lpwstr>1520827R</vt:lpwstr>
  </property>
  <property fmtid="{D5CDD505-2E9C-101B-9397-08002B2CF9AE}" pid="4" name="Symbol1">
    <vt:lpwstr>ECE/ADN/33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061115</vt:lpwstr>
  </property>
</Properties>
</file>