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623" w:rsidRDefault="008A6623" w:rsidP="008A6623">
      <w:pPr>
        <w:spacing w:line="240" w:lineRule="auto"/>
        <w:rPr>
          <w:sz w:val="2"/>
        </w:rPr>
        <w:sectPr w:rsidR="008A6623" w:rsidSect="008A6623">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8A6623" w:rsidRPr="0052681A" w:rsidRDefault="008A6623" w:rsidP="008A6623">
      <w:pPr>
        <w:pStyle w:val="H1"/>
        <w:spacing w:after="120"/>
        <w:rPr>
          <w:sz w:val="28"/>
          <w:lang w:val="fr-CH"/>
        </w:rPr>
      </w:pPr>
      <w:r w:rsidRPr="0052681A">
        <w:rPr>
          <w:sz w:val="28"/>
          <w:lang w:val="fr-CH"/>
        </w:rPr>
        <w:lastRenderedPageBreak/>
        <w:t>Commission économique pour l’Europe</w:t>
      </w:r>
    </w:p>
    <w:p w:rsidR="000C6EEF" w:rsidRPr="0052681A" w:rsidRDefault="000C6EEF" w:rsidP="000C6EE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w w:val="100"/>
          <w:sz w:val="28"/>
          <w:szCs w:val="28"/>
          <w:lang w:val="fr-CH"/>
        </w:rPr>
      </w:pPr>
      <w:r w:rsidRPr="0052681A">
        <w:rPr>
          <w:b w:val="0"/>
          <w:w w:val="100"/>
          <w:sz w:val="28"/>
          <w:szCs w:val="28"/>
          <w:lang w:val="fr-CH"/>
        </w:rPr>
        <w:t>Comité des transports intérieurs</w:t>
      </w:r>
    </w:p>
    <w:p w:rsidR="000C6EEF" w:rsidRPr="0052681A" w:rsidRDefault="000C6EEF" w:rsidP="000C6EEF">
      <w:pPr>
        <w:spacing w:line="120" w:lineRule="exact"/>
        <w:rPr>
          <w:sz w:val="10"/>
          <w:lang w:val="fr-CH"/>
        </w:rPr>
      </w:pPr>
    </w:p>
    <w:p w:rsidR="000C6EEF" w:rsidRPr="0052681A" w:rsidRDefault="000C6EEF" w:rsidP="000C6EE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CH"/>
        </w:rPr>
      </w:pPr>
      <w:r w:rsidRPr="0052681A">
        <w:rPr>
          <w:w w:val="100"/>
          <w:lang w:val="fr-CH"/>
        </w:rPr>
        <w:t xml:space="preserve">Groupe de travail des transports </w:t>
      </w:r>
      <w:r w:rsidRPr="0052681A">
        <w:rPr>
          <w:w w:val="100"/>
          <w:lang w:val="fr-CH"/>
        </w:rPr>
        <w:br/>
        <w:t>de marchandises dangereuses</w:t>
      </w:r>
    </w:p>
    <w:p w:rsidR="000C6EEF" w:rsidRPr="0052681A" w:rsidRDefault="000C6EEF" w:rsidP="000C6EEF">
      <w:pPr>
        <w:spacing w:line="120" w:lineRule="exact"/>
        <w:rPr>
          <w:sz w:val="10"/>
          <w:lang w:val="fr-CH"/>
        </w:rPr>
      </w:pPr>
    </w:p>
    <w:p w:rsidR="000C6EEF" w:rsidRPr="0052681A" w:rsidRDefault="000C6EEF" w:rsidP="000C6EE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CH"/>
        </w:rPr>
      </w:pPr>
      <w:r w:rsidRPr="0052681A">
        <w:rPr>
          <w:w w:val="100"/>
          <w:lang w:val="fr-CH"/>
        </w:rPr>
        <w:t xml:space="preserve">Comité d’administration de l’Accord européen </w:t>
      </w:r>
      <w:r w:rsidRPr="0052681A">
        <w:rPr>
          <w:w w:val="100"/>
          <w:lang w:val="fr-CH"/>
        </w:rPr>
        <w:br/>
        <w:t xml:space="preserve">relatif au transport international des marchandises </w:t>
      </w:r>
      <w:r w:rsidRPr="0052681A">
        <w:rPr>
          <w:w w:val="100"/>
          <w:lang w:val="fr-CH"/>
        </w:rPr>
        <w:br/>
        <w:t>dangereuses par voies de navigation intérieures (ADN)</w:t>
      </w:r>
    </w:p>
    <w:p w:rsidR="000C6EEF" w:rsidRPr="0052681A" w:rsidRDefault="000C6EEF" w:rsidP="000C6EEF">
      <w:pPr>
        <w:spacing w:line="120" w:lineRule="exact"/>
        <w:rPr>
          <w:sz w:val="10"/>
          <w:lang w:val="fr-CH"/>
        </w:rPr>
      </w:pPr>
    </w:p>
    <w:p w:rsidR="000C6EEF" w:rsidRPr="0052681A" w:rsidRDefault="000C6EEF" w:rsidP="000C6EE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CH"/>
        </w:rPr>
      </w:pPr>
      <w:r w:rsidRPr="0052681A">
        <w:rPr>
          <w:lang w:val="fr-CH"/>
        </w:rPr>
        <w:t>Q</w:t>
      </w:r>
      <w:r w:rsidRPr="0052681A">
        <w:rPr>
          <w:w w:val="100"/>
          <w:lang w:val="fr-CH"/>
        </w:rPr>
        <w:t>uinzième session</w:t>
      </w:r>
    </w:p>
    <w:p w:rsidR="000C6EEF" w:rsidRPr="0052681A" w:rsidRDefault="000C6EEF" w:rsidP="006D6351">
      <w:pPr>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CH"/>
        </w:rPr>
      </w:pPr>
      <w:r w:rsidRPr="0052681A">
        <w:rPr>
          <w:w w:val="100"/>
          <w:lang w:val="fr-CH"/>
        </w:rPr>
        <w:t>Genève, 28 août 2015</w:t>
      </w:r>
    </w:p>
    <w:p w:rsidR="006D6351" w:rsidRPr="0052681A" w:rsidRDefault="006D6351" w:rsidP="006D6351">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w w:val="100"/>
          <w:sz w:val="10"/>
          <w:lang w:val="fr-CH"/>
        </w:rPr>
      </w:pPr>
    </w:p>
    <w:p w:rsidR="006D6351" w:rsidRPr="0052681A" w:rsidRDefault="006D6351" w:rsidP="006D6351">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w w:val="100"/>
          <w:sz w:val="10"/>
          <w:lang w:val="fr-CH"/>
        </w:rPr>
      </w:pPr>
    </w:p>
    <w:p w:rsidR="006D6351" w:rsidRPr="0052681A" w:rsidRDefault="006D6351" w:rsidP="006D6351">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w w:val="100"/>
          <w:sz w:val="10"/>
          <w:lang w:val="fr-CH"/>
        </w:rPr>
      </w:pPr>
    </w:p>
    <w:p w:rsidR="000C6EEF" w:rsidRPr="0052681A" w:rsidRDefault="000C6EEF" w:rsidP="006D635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w w:val="100"/>
          <w:sz w:val="20"/>
          <w:szCs w:val="20"/>
          <w:lang w:val="fr-CH"/>
        </w:rPr>
      </w:pPr>
      <w:r w:rsidRPr="0052681A">
        <w:rPr>
          <w:w w:val="100"/>
          <w:lang w:val="fr-CH"/>
        </w:rPr>
        <w:tab/>
      </w:r>
      <w:r w:rsidRPr="0052681A">
        <w:rPr>
          <w:w w:val="100"/>
          <w:lang w:val="fr-CH"/>
        </w:rPr>
        <w:tab/>
        <w:t xml:space="preserve">Rapport du Comité d’administration de l’Accord européen </w:t>
      </w:r>
      <w:r w:rsidR="006D6351" w:rsidRPr="0052681A">
        <w:rPr>
          <w:w w:val="100"/>
          <w:lang w:val="fr-CH"/>
        </w:rPr>
        <w:br/>
      </w:r>
      <w:r w:rsidRPr="0052681A">
        <w:rPr>
          <w:w w:val="100"/>
          <w:lang w:val="fr-CH"/>
        </w:rPr>
        <w:t xml:space="preserve">relatif au transport international des marchandises </w:t>
      </w:r>
      <w:r w:rsidR="006D6351" w:rsidRPr="0052681A">
        <w:rPr>
          <w:w w:val="100"/>
          <w:lang w:val="fr-CH"/>
        </w:rPr>
        <w:br/>
      </w:r>
      <w:r w:rsidRPr="0052681A">
        <w:rPr>
          <w:w w:val="100"/>
          <w:lang w:val="fr-CH"/>
        </w:rPr>
        <w:t xml:space="preserve">dangereuses par voies de navigation intérieures </w:t>
      </w:r>
      <w:r w:rsidR="006D6351" w:rsidRPr="0052681A">
        <w:rPr>
          <w:w w:val="100"/>
          <w:lang w:val="fr-CH"/>
        </w:rPr>
        <w:br/>
      </w:r>
      <w:r w:rsidRPr="0052681A">
        <w:rPr>
          <w:w w:val="100"/>
          <w:lang w:val="fr-CH"/>
        </w:rPr>
        <w:t>sur sa quinzième session</w:t>
      </w:r>
      <w:r w:rsidRPr="0052681A">
        <w:rPr>
          <w:b w:val="0"/>
          <w:w w:val="100"/>
          <w:sz w:val="20"/>
          <w:szCs w:val="20"/>
          <w:lang w:val="fr-CH"/>
        </w:rPr>
        <w:footnoteReference w:customMarkFollows="1" w:id="1"/>
        <w:t>*</w:t>
      </w:r>
    </w:p>
    <w:p w:rsidR="006D6351" w:rsidRPr="0052681A" w:rsidRDefault="006D6351">
      <w:pPr>
        <w:spacing w:line="240" w:lineRule="auto"/>
        <w:rPr>
          <w:lang w:val="fr-CH"/>
        </w:rPr>
      </w:pPr>
      <w:r w:rsidRPr="0052681A">
        <w:rPr>
          <w:lang w:val="fr-CH"/>
        </w:rPr>
        <w:br w:type="page"/>
      </w:r>
    </w:p>
    <w:p w:rsidR="006D6351" w:rsidRPr="00B21BB0" w:rsidRDefault="006D6351" w:rsidP="006D6351">
      <w:pPr>
        <w:pStyle w:val="HCH"/>
        <w:spacing w:after="120"/>
        <w:rPr>
          <w:b w:val="0"/>
          <w:lang w:val="fr-CH"/>
        </w:rPr>
      </w:pPr>
      <w:r w:rsidRPr="00B21BB0">
        <w:rPr>
          <w:b w:val="0"/>
          <w:lang w:val="fr-CH"/>
        </w:rPr>
        <w:lastRenderedPageBreak/>
        <w:t>Table des matières</w:t>
      </w:r>
    </w:p>
    <w:tbl>
      <w:tblPr>
        <w:tblW w:w="10053" w:type="dxa"/>
        <w:tblLayout w:type="fixed"/>
        <w:tblCellMar>
          <w:left w:w="0" w:type="dxa"/>
          <w:right w:w="0" w:type="dxa"/>
        </w:tblCellMar>
        <w:tblLook w:val="0000" w:firstRow="0" w:lastRow="0" w:firstColumn="0" w:lastColumn="0" w:noHBand="0" w:noVBand="0"/>
      </w:tblPr>
      <w:tblGrid>
        <w:gridCol w:w="1060"/>
        <w:gridCol w:w="7315"/>
        <w:gridCol w:w="994"/>
        <w:gridCol w:w="684"/>
      </w:tblGrid>
      <w:tr w:rsidR="006D6351" w:rsidRPr="0052681A" w:rsidTr="00D41168">
        <w:tc>
          <w:tcPr>
            <w:tcW w:w="1060" w:type="dxa"/>
            <w:shd w:val="clear" w:color="auto" w:fill="auto"/>
          </w:tcPr>
          <w:p w:rsidR="006D6351" w:rsidRPr="0052681A" w:rsidRDefault="006D6351" w:rsidP="006D6351">
            <w:pPr>
              <w:spacing w:after="120" w:line="240" w:lineRule="auto"/>
              <w:jc w:val="right"/>
              <w:rPr>
                <w:i/>
                <w:sz w:val="14"/>
                <w:lang w:val="fr-CH"/>
              </w:rPr>
            </w:pPr>
          </w:p>
        </w:tc>
        <w:tc>
          <w:tcPr>
            <w:tcW w:w="7315" w:type="dxa"/>
            <w:shd w:val="clear" w:color="auto" w:fill="auto"/>
          </w:tcPr>
          <w:p w:rsidR="006D6351" w:rsidRPr="0052681A" w:rsidRDefault="006D6351" w:rsidP="006D6351">
            <w:pPr>
              <w:spacing w:after="120" w:line="240" w:lineRule="auto"/>
              <w:rPr>
                <w:i/>
                <w:sz w:val="14"/>
                <w:lang w:val="fr-CH"/>
              </w:rPr>
            </w:pPr>
          </w:p>
        </w:tc>
        <w:tc>
          <w:tcPr>
            <w:tcW w:w="994" w:type="dxa"/>
            <w:shd w:val="clear" w:color="auto" w:fill="auto"/>
          </w:tcPr>
          <w:p w:rsidR="006D6351" w:rsidRPr="0052681A" w:rsidRDefault="006D6351" w:rsidP="006D6351">
            <w:pPr>
              <w:spacing w:after="120" w:line="240" w:lineRule="auto"/>
              <w:jc w:val="right"/>
              <w:rPr>
                <w:i/>
                <w:sz w:val="14"/>
                <w:lang w:val="fr-CH"/>
              </w:rPr>
            </w:pPr>
            <w:r w:rsidRPr="0052681A">
              <w:rPr>
                <w:i/>
                <w:sz w:val="14"/>
                <w:lang w:val="fr-CH"/>
              </w:rPr>
              <w:t>Paragraphes</w:t>
            </w:r>
          </w:p>
        </w:tc>
        <w:tc>
          <w:tcPr>
            <w:tcW w:w="684" w:type="dxa"/>
            <w:shd w:val="clear" w:color="auto" w:fill="auto"/>
          </w:tcPr>
          <w:p w:rsidR="006D6351" w:rsidRPr="0052681A" w:rsidRDefault="006D6351" w:rsidP="006D6351">
            <w:pPr>
              <w:spacing w:after="120" w:line="240" w:lineRule="auto"/>
              <w:jc w:val="right"/>
              <w:rPr>
                <w:i/>
                <w:sz w:val="14"/>
                <w:lang w:val="fr-CH"/>
              </w:rPr>
            </w:pPr>
            <w:r w:rsidRPr="0052681A">
              <w:rPr>
                <w:i/>
                <w:sz w:val="14"/>
                <w:lang w:val="fr-CH"/>
              </w:rPr>
              <w:t>Page</w:t>
            </w:r>
          </w:p>
        </w:tc>
      </w:tr>
      <w:tr w:rsidR="006D6351" w:rsidRPr="0052681A" w:rsidTr="00D41168">
        <w:tc>
          <w:tcPr>
            <w:tcW w:w="8375" w:type="dxa"/>
            <w:gridSpan w:val="2"/>
            <w:shd w:val="clear" w:color="auto" w:fill="auto"/>
          </w:tcPr>
          <w:p w:rsidR="006D6351" w:rsidRPr="0052681A" w:rsidRDefault="00D41168" w:rsidP="00D41168">
            <w:pPr>
              <w:pStyle w:val="ListParagraph"/>
              <w:numPr>
                <w:ilvl w:val="0"/>
                <w:numId w:val="11"/>
              </w:numPr>
              <w:tabs>
                <w:tab w:val="left" w:pos="1296"/>
                <w:tab w:val="left" w:pos="1728"/>
                <w:tab w:val="left" w:pos="2160"/>
                <w:tab w:val="right" w:leader="dot" w:pos="8381"/>
              </w:tabs>
              <w:suppressAutoHyphens/>
              <w:spacing w:after="120"/>
              <w:rPr>
                <w:lang w:val="fr-CH"/>
              </w:rPr>
            </w:pPr>
            <w:r w:rsidRPr="0052681A">
              <w:rPr>
                <w:w w:val="100"/>
                <w:lang w:val="fr-CH"/>
              </w:rPr>
              <w:t>Participation</w:t>
            </w:r>
            <w:r w:rsidRPr="0052681A">
              <w:rPr>
                <w:spacing w:val="60"/>
                <w:w w:val="100"/>
                <w:sz w:val="17"/>
                <w:lang w:val="fr-CH"/>
              </w:rPr>
              <w:tab/>
            </w:r>
          </w:p>
        </w:tc>
        <w:tc>
          <w:tcPr>
            <w:tcW w:w="994" w:type="dxa"/>
            <w:shd w:val="clear" w:color="auto" w:fill="auto"/>
            <w:vAlign w:val="bottom"/>
          </w:tcPr>
          <w:p w:rsidR="006D6351" w:rsidRPr="0052681A" w:rsidRDefault="00D41168" w:rsidP="006D6351">
            <w:pPr>
              <w:spacing w:after="120"/>
              <w:jc w:val="right"/>
              <w:rPr>
                <w:lang w:val="fr-CH"/>
              </w:rPr>
            </w:pPr>
            <w:r w:rsidRPr="0052681A">
              <w:rPr>
                <w:lang w:val="fr-CH"/>
              </w:rPr>
              <w:t>1–3</w:t>
            </w:r>
          </w:p>
        </w:tc>
        <w:tc>
          <w:tcPr>
            <w:tcW w:w="684" w:type="dxa"/>
            <w:shd w:val="clear" w:color="auto" w:fill="auto"/>
            <w:vAlign w:val="bottom"/>
          </w:tcPr>
          <w:p w:rsidR="006D6351" w:rsidRPr="0052681A" w:rsidRDefault="00B21BB0" w:rsidP="006D6351">
            <w:pPr>
              <w:spacing w:after="120"/>
              <w:jc w:val="right"/>
              <w:rPr>
                <w:lang w:val="fr-CH"/>
              </w:rPr>
            </w:pPr>
            <w:r>
              <w:rPr>
                <w:lang w:val="fr-CH"/>
              </w:rPr>
              <w:t>3</w:t>
            </w:r>
          </w:p>
        </w:tc>
      </w:tr>
      <w:tr w:rsidR="00D41168" w:rsidRPr="0052681A" w:rsidTr="00D41168">
        <w:tc>
          <w:tcPr>
            <w:tcW w:w="8375" w:type="dxa"/>
            <w:gridSpan w:val="2"/>
            <w:shd w:val="clear" w:color="auto" w:fill="auto"/>
          </w:tcPr>
          <w:p w:rsidR="00D41168" w:rsidRPr="0052681A" w:rsidRDefault="00D41168" w:rsidP="00D41168">
            <w:pPr>
              <w:pStyle w:val="ListParagraph"/>
              <w:numPr>
                <w:ilvl w:val="0"/>
                <w:numId w:val="11"/>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uppressAutoHyphens/>
              <w:spacing w:after="120"/>
              <w:rPr>
                <w:w w:val="100"/>
                <w:lang w:val="fr-CH"/>
              </w:rPr>
            </w:pPr>
            <w:r w:rsidRPr="0052681A">
              <w:rPr>
                <w:w w:val="100"/>
                <w:lang w:val="fr-CH"/>
              </w:rPr>
              <w:t>Adoption de l’ordre du jour (point 1 de l’ordre du jour)</w:t>
            </w:r>
            <w:r w:rsidRPr="0052681A">
              <w:rPr>
                <w:spacing w:val="60"/>
                <w:w w:val="100"/>
                <w:sz w:val="17"/>
                <w:lang w:val="fr-CH"/>
              </w:rPr>
              <w:tab/>
            </w:r>
          </w:p>
        </w:tc>
        <w:tc>
          <w:tcPr>
            <w:tcW w:w="994" w:type="dxa"/>
            <w:shd w:val="clear" w:color="auto" w:fill="auto"/>
            <w:vAlign w:val="bottom"/>
          </w:tcPr>
          <w:p w:rsidR="00D41168" w:rsidRPr="0052681A" w:rsidRDefault="00D41168" w:rsidP="006D6351">
            <w:pPr>
              <w:spacing w:after="120"/>
              <w:jc w:val="right"/>
              <w:rPr>
                <w:lang w:val="fr-CH"/>
              </w:rPr>
            </w:pPr>
            <w:r w:rsidRPr="0052681A">
              <w:rPr>
                <w:lang w:val="fr-CH"/>
              </w:rPr>
              <w:t>4</w:t>
            </w:r>
          </w:p>
        </w:tc>
        <w:tc>
          <w:tcPr>
            <w:tcW w:w="684" w:type="dxa"/>
            <w:shd w:val="clear" w:color="auto" w:fill="auto"/>
            <w:vAlign w:val="bottom"/>
          </w:tcPr>
          <w:p w:rsidR="00D41168" w:rsidRPr="0052681A" w:rsidRDefault="00B21BB0" w:rsidP="006D6351">
            <w:pPr>
              <w:spacing w:after="120"/>
              <w:jc w:val="right"/>
              <w:rPr>
                <w:lang w:val="fr-CH"/>
              </w:rPr>
            </w:pPr>
            <w:r>
              <w:rPr>
                <w:lang w:val="fr-CH"/>
              </w:rPr>
              <w:t>3</w:t>
            </w:r>
          </w:p>
        </w:tc>
      </w:tr>
      <w:tr w:rsidR="00D41168" w:rsidRPr="0052681A" w:rsidTr="00D41168">
        <w:tc>
          <w:tcPr>
            <w:tcW w:w="8375" w:type="dxa"/>
            <w:gridSpan w:val="2"/>
            <w:shd w:val="clear" w:color="auto" w:fill="auto"/>
          </w:tcPr>
          <w:p w:rsidR="00D41168" w:rsidRPr="0052681A" w:rsidRDefault="00D41168" w:rsidP="00D41168">
            <w:pPr>
              <w:pStyle w:val="ListParagraph"/>
              <w:numPr>
                <w:ilvl w:val="0"/>
                <w:numId w:val="11"/>
              </w:numPr>
              <w:tabs>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rPr>
                <w:w w:val="100"/>
                <w:lang w:val="fr-CH"/>
              </w:rPr>
            </w:pPr>
            <w:r w:rsidRPr="0052681A">
              <w:rPr>
                <w:w w:val="100"/>
                <w:lang w:val="fr-CH"/>
              </w:rPr>
              <w:t xml:space="preserve">État de l’Accord européen relatif au transport international </w:t>
            </w:r>
            <w:r w:rsidRPr="0052681A">
              <w:rPr>
                <w:w w:val="100"/>
                <w:lang w:val="fr-CH"/>
              </w:rPr>
              <w:br/>
              <w:t xml:space="preserve">des marchandises dangereuses par voies de navigation </w:t>
            </w:r>
            <w:r w:rsidRPr="0052681A">
              <w:rPr>
                <w:w w:val="100"/>
                <w:lang w:val="fr-CH"/>
              </w:rPr>
              <w:br/>
              <w:t>intérieures (ADN) (point 2 de l’ordre du jour)</w:t>
            </w:r>
            <w:r w:rsidRPr="0052681A">
              <w:rPr>
                <w:spacing w:val="60"/>
                <w:w w:val="100"/>
                <w:sz w:val="17"/>
                <w:lang w:val="fr-CH"/>
              </w:rPr>
              <w:tab/>
            </w:r>
          </w:p>
        </w:tc>
        <w:tc>
          <w:tcPr>
            <w:tcW w:w="994" w:type="dxa"/>
            <w:shd w:val="clear" w:color="auto" w:fill="auto"/>
            <w:vAlign w:val="bottom"/>
          </w:tcPr>
          <w:p w:rsidR="00D41168" w:rsidRPr="0052681A" w:rsidRDefault="00D41168" w:rsidP="006D6351">
            <w:pPr>
              <w:spacing w:after="120"/>
              <w:jc w:val="right"/>
              <w:rPr>
                <w:lang w:val="fr-CH"/>
              </w:rPr>
            </w:pPr>
            <w:r w:rsidRPr="0052681A">
              <w:rPr>
                <w:lang w:val="fr-CH"/>
              </w:rPr>
              <w:t>5</w:t>
            </w:r>
          </w:p>
        </w:tc>
        <w:tc>
          <w:tcPr>
            <w:tcW w:w="684" w:type="dxa"/>
            <w:shd w:val="clear" w:color="auto" w:fill="auto"/>
            <w:vAlign w:val="bottom"/>
          </w:tcPr>
          <w:p w:rsidR="00D41168" w:rsidRPr="0052681A" w:rsidRDefault="00B21BB0" w:rsidP="006D6351">
            <w:pPr>
              <w:spacing w:after="120"/>
              <w:jc w:val="right"/>
              <w:rPr>
                <w:lang w:val="fr-CH"/>
              </w:rPr>
            </w:pPr>
            <w:r>
              <w:rPr>
                <w:lang w:val="fr-CH"/>
              </w:rPr>
              <w:t>3</w:t>
            </w:r>
          </w:p>
        </w:tc>
      </w:tr>
      <w:tr w:rsidR="00D41168" w:rsidRPr="0052681A" w:rsidTr="00D41168">
        <w:tc>
          <w:tcPr>
            <w:tcW w:w="8375" w:type="dxa"/>
            <w:gridSpan w:val="2"/>
            <w:shd w:val="clear" w:color="auto" w:fill="auto"/>
          </w:tcPr>
          <w:p w:rsidR="00D41168" w:rsidRPr="0052681A" w:rsidRDefault="00D41168" w:rsidP="00D41168">
            <w:pPr>
              <w:pStyle w:val="ListParagraph"/>
              <w:numPr>
                <w:ilvl w:val="0"/>
                <w:numId w:val="11"/>
              </w:numPr>
              <w:tabs>
                <w:tab w:val="left" w:pos="1296"/>
                <w:tab w:val="left" w:pos="1728"/>
                <w:tab w:val="left" w:pos="2160"/>
                <w:tab w:val="left" w:pos="2592"/>
                <w:tab w:val="left" w:pos="3024"/>
                <w:tab w:val="left" w:pos="3456"/>
                <w:tab w:val="right" w:leader="dot" w:pos="8381"/>
              </w:tabs>
              <w:suppressAutoHyphens/>
              <w:spacing w:after="120"/>
              <w:rPr>
                <w:w w:val="100"/>
                <w:lang w:val="fr-CH"/>
              </w:rPr>
            </w:pPr>
            <w:r w:rsidRPr="0052681A">
              <w:rPr>
                <w:w w:val="100"/>
                <w:lang w:val="fr-CH"/>
              </w:rPr>
              <w:t xml:space="preserve">Questions relatives à la mise en œuvre de l’ADN </w:t>
            </w:r>
            <w:r w:rsidRPr="0052681A">
              <w:rPr>
                <w:w w:val="100"/>
                <w:lang w:val="fr-CH"/>
              </w:rPr>
              <w:br/>
              <w:t>(point 3 de l’ordre du jour)</w:t>
            </w:r>
            <w:r w:rsidRPr="0052681A">
              <w:rPr>
                <w:spacing w:val="60"/>
                <w:w w:val="100"/>
                <w:sz w:val="17"/>
                <w:lang w:val="fr-CH"/>
              </w:rPr>
              <w:tab/>
            </w:r>
          </w:p>
        </w:tc>
        <w:tc>
          <w:tcPr>
            <w:tcW w:w="994" w:type="dxa"/>
            <w:shd w:val="clear" w:color="auto" w:fill="auto"/>
            <w:vAlign w:val="bottom"/>
          </w:tcPr>
          <w:p w:rsidR="00D41168" w:rsidRPr="0052681A" w:rsidRDefault="00D41168" w:rsidP="006D6351">
            <w:pPr>
              <w:spacing w:after="120"/>
              <w:jc w:val="right"/>
              <w:rPr>
                <w:lang w:val="fr-CH"/>
              </w:rPr>
            </w:pPr>
            <w:r w:rsidRPr="0052681A">
              <w:rPr>
                <w:lang w:val="fr-CH"/>
              </w:rPr>
              <w:t>6–16</w:t>
            </w:r>
          </w:p>
        </w:tc>
        <w:tc>
          <w:tcPr>
            <w:tcW w:w="684" w:type="dxa"/>
            <w:shd w:val="clear" w:color="auto" w:fill="auto"/>
            <w:vAlign w:val="bottom"/>
          </w:tcPr>
          <w:p w:rsidR="00D41168" w:rsidRPr="0052681A" w:rsidRDefault="00B21BB0" w:rsidP="006D6351">
            <w:pPr>
              <w:spacing w:after="120"/>
              <w:jc w:val="right"/>
              <w:rPr>
                <w:lang w:val="fr-CH"/>
              </w:rPr>
            </w:pPr>
            <w:r>
              <w:rPr>
                <w:lang w:val="fr-CH"/>
              </w:rPr>
              <w:t>3</w:t>
            </w:r>
          </w:p>
        </w:tc>
      </w:tr>
      <w:tr w:rsidR="00D41168" w:rsidRPr="0052681A" w:rsidTr="00D41168">
        <w:tc>
          <w:tcPr>
            <w:tcW w:w="8375" w:type="dxa"/>
            <w:gridSpan w:val="2"/>
            <w:shd w:val="clear" w:color="auto" w:fill="auto"/>
          </w:tcPr>
          <w:p w:rsidR="00D41168" w:rsidRPr="0052681A" w:rsidRDefault="00D41168" w:rsidP="00D41168">
            <w:pPr>
              <w:pStyle w:val="ListParagraph"/>
              <w:numPr>
                <w:ilvl w:val="1"/>
                <w:numId w:val="11"/>
              </w:numPr>
              <w:tabs>
                <w:tab w:val="left" w:pos="1296"/>
                <w:tab w:val="left" w:pos="1728"/>
                <w:tab w:val="left" w:pos="2160"/>
                <w:tab w:val="left" w:pos="2592"/>
                <w:tab w:val="left" w:pos="3024"/>
                <w:tab w:val="left" w:pos="3456"/>
                <w:tab w:val="right" w:leader="dot" w:pos="8381"/>
              </w:tabs>
              <w:suppressAutoHyphens/>
              <w:spacing w:after="120"/>
              <w:rPr>
                <w:w w:val="100"/>
                <w:lang w:val="fr-CH"/>
              </w:rPr>
            </w:pPr>
            <w:r w:rsidRPr="0052681A">
              <w:rPr>
                <w:w w:val="100"/>
                <w:lang w:val="fr-CH"/>
              </w:rPr>
              <w:t>Sociétés de classification</w:t>
            </w:r>
            <w:r w:rsidRPr="0052681A">
              <w:rPr>
                <w:spacing w:val="60"/>
                <w:w w:val="100"/>
                <w:sz w:val="17"/>
                <w:lang w:val="fr-CH"/>
              </w:rPr>
              <w:tab/>
            </w:r>
          </w:p>
        </w:tc>
        <w:tc>
          <w:tcPr>
            <w:tcW w:w="994" w:type="dxa"/>
            <w:shd w:val="clear" w:color="auto" w:fill="auto"/>
            <w:vAlign w:val="bottom"/>
          </w:tcPr>
          <w:p w:rsidR="00D41168" w:rsidRPr="0052681A" w:rsidRDefault="00D41168" w:rsidP="006D6351">
            <w:pPr>
              <w:spacing w:after="120"/>
              <w:jc w:val="right"/>
              <w:rPr>
                <w:lang w:val="fr-CH"/>
              </w:rPr>
            </w:pPr>
            <w:r w:rsidRPr="0052681A">
              <w:rPr>
                <w:lang w:val="fr-CH"/>
              </w:rPr>
              <w:t>6–10</w:t>
            </w:r>
          </w:p>
        </w:tc>
        <w:tc>
          <w:tcPr>
            <w:tcW w:w="684" w:type="dxa"/>
            <w:shd w:val="clear" w:color="auto" w:fill="auto"/>
            <w:vAlign w:val="bottom"/>
          </w:tcPr>
          <w:p w:rsidR="00D41168" w:rsidRPr="0052681A" w:rsidRDefault="00B21BB0" w:rsidP="006D6351">
            <w:pPr>
              <w:spacing w:after="120"/>
              <w:jc w:val="right"/>
              <w:rPr>
                <w:lang w:val="fr-CH"/>
              </w:rPr>
            </w:pPr>
            <w:r>
              <w:rPr>
                <w:lang w:val="fr-CH"/>
              </w:rPr>
              <w:t>3</w:t>
            </w:r>
          </w:p>
        </w:tc>
      </w:tr>
      <w:tr w:rsidR="00D41168" w:rsidRPr="0052681A" w:rsidTr="00D41168">
        <w:tc>
          <w:tcPr>
            <w:tcW w:w="8375" w:type="dxa"/>
            <w:gridSpan w:val="2"/>
            <w:shd w:val="clear" w:color="auto" w:fill="auto"/>
          </w:tcPr>
          <w:p w:rsidR="00D41168" w:rsidRPr="0052681A" w:rsidRDefault="00D41168" w:rsidP="00D41168">
            <w:pPr>
              <w:pStyle w:val="ListParagraph"/>
              <w:numPr>
                <w:ilvl w:val="1"/>
                <w:numId w:val="11"/>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uppressAutoHyphens/>
              <w:spacing w:after="120"/>
              <w:rPr>
                <w:w w:val="100"/>
                <w:lang w:val="fr-CH"/>
              </w:rPr>
            </w:pPr>
            <w:r w:rsidRPr="0052681A">
              <w:rPr>
                <w:w w:val="100"/>
                <w:lang w:val="fr-CH"/>
              </w:rPr>
              <w:t>Autorisations spéciales, dérogations et équivalences</w:t>
            </w:r>
            <w:r w:rsidRPr="0052681A">
              <w:rPr>
                <w:spacing w:val="60"/>
                <w:w w:val="100"/>
                <w:sz w:val="17"/>
                <w:lang w:val="fr-CH"/>
              </w:rPr>
              <w:tab/>
            </w:r>
          </w:p>
        </w:tc>
        <w:tc>
          <w:tcPr>
            <w:tcW w:w="994" w:type="dxa"/>
            <w:shd w:val="clear" w:color="auto" w:fill="auto"/>
            <w:vAlign w:val="bottom"/>
          </w:tcPr>
          <w:p w:rsidR="00D41168" w:rsidRPr="0052681A" w:rsidRDefault="00D41168" w:rsidP="006D6351">
            <w:pPr>
              <w:spacing w:after="120"/>
              <w:jc w:val="right"/>
              <w:rPr>
                <w:lang w:val="fr-CH"/>
              </w:rPr>
            </w:pPr>
            <w:r w:rsidRPr="0052681A">
              <w:rPr>
                <w:lang w:val="fr-CH"/>
              </w:rPr>
              <w:t>11–14</w:t>
            </w:r>
          </w:p>
        </w:tc>
        <w:tc>
          <w:tcPr>
            <w:tcW w:w="684" w:type="dxa"/>
            <w:shd w:val="clear" w:color="auto" w:fill="auto"/>
            <w:vAlign w:val="bottom"/>
          </w:tcPr>
          <w:p w:rsidR="00D41168" w:rsidRPr="0052681A" w:rsidRDefault="00B21BB0" w:rsidP="006D6351">
            <w:pPr>
              <w:spacing w:after="120"/>
              <w:jc w:val="right"/>
              <w:rPr>
                <w:lang w:val="fr-CH"/>
              </w:rPr>
            </w:pPr>
            <w:r>
              <w:rPr>
                <w:lang w:val="fr-CH"/>
              </w:rPr>
              <w:t>4</w:t>
            </w:r>
          </w:p>
        </w:tc>
      </w:tr>
      <w:tr w:rsidR="00D41168" w:rsidRPr="0052681A" w:rsidTr="00D41168">
        <w:tc>
          <w:tcPr>
            <w:tcW w:w="8375" w:type="dxa"/>
            <w:gridSpan w:val="2"/>
            <w:shd w:val="clear" w:color="auto" w:fill="auto"/>
          </w:tcPr>
          <w:p w:rsidR="00D41168" w:rsidRPr="0052681A" w:rsidRDefault="00D41168" w:rsidP="00D41168">
            <w:pPr>
              <w:pStyle w:val="ListParagraph"/>
              <w:numPr>
                <w:ilvl w:val="1"/>
                <w:numId w:val="11"/>
              </w:numPr>
              <w:tabs>
                <w:tab w:val="left" w:pos="1296"/>
                <w:tab w:val="left" w:pos="1728"/>
                <w:tab w:val="left" w:pos="2160"/>
                <w:tab w:val="left" w:pos="2592"/>
                <w:tab w:val="left" w:pos="3024"/>
                <w:tab w:val="left" w:pos="3456"/>
                <w:tab w:val="right" w:leader="dot" w:pos="8381"/>
              </w:tabs>
              <w:suppressAutoHyphens/>
              <w:spacing w:after="120"/>
              <w:rPr>
                <w:w w:val="100"/>
                <w:lang w:val="fr-CH"/>
              </w:rPr>
            </w:pPr>
            <w:r w:rsidRPr="0052681A">
              <w:rPr>
                <w:w w:val="100"/>
                <w:lang w:val="fr-CH"/>
              </w:rPr>
              <w:t>Notifications diverses</w:t>
            </w:r>
            <w:r w:rsidRPr="0052681A">
              <w:rPr>
                <w:spacing w:val="60"/>
                <w:w w:val="100"/>
                <w:sz w:val="17"/>
                <w:lang w:val="fr-CH"/>
              </w:rPr>
              <w:tab/>
            </w:r>
          </w:p>
        </w:tc>
        <w:tc>
          <w:tcPr>
            <w:tcW w:w="994" w:type="dxa"/>
            <w:shd w:val="clear" w:color="auto" w:fill="auto"/>
            <w:vAlign w:val="bottom"/>
          </w:tcPr>
          <w:p w:rsidR="00D41168" w:rsidRPr="0052681A" w:rsidRDefault="00D41168" w:rsidP="006D6351">
            <w:pPr>
              <w:spacing w:after="120"/>
              <w:jc w:val="right"/>
              <w:rPr>
                <w:lang w:val="fr-CH"/>
              </w:rPr>
            </w:pPr>
            <w:r w:rsidRPr="0052681A">
              <w:rPr>
                <w:lang w:val="fr-CH"/>
              </w:rPr>
              <w:t>15</w:t>
            </w:r>
          </w:p>
        </w:tc>
        <w:tc>
          <w:tcPr>
            <w:tcW w:w="684" w:type="dxa"/>
            <w:shd w:val="clear" w:color="auto" w:fill="auto"/>
            <w:vAlign w:val="bottom"/>
          </w:tcPr>
          <w:p w:rsidR="00D41168" w:rsidRPr="0052681A" w:rsidRDefault="00B21BB0" w:rsidP="006D6351">
            <w:pPr>
              <w:spacing w:after="120"/>
              <w:jc w:val="right"/>
              <w:rPr>
                <w:lang w:val="fr-CH"/>
              </w:rPr>
            </w:pPr>
            <w:r>
              <w:rPr>
                <w:lang w:val="fr-CH"/>
              </w:rPr>
              <w:t>4</w:t>
            </w:r>
          </w:p>
        </w:tc>
      </w:tr>
      <w:tr w:rsidR="00D41168" w:rsidRPr="0052681A" w:rsidTr="00D41168">
        <w:tc>
          <w:tcPr>
            <w:tcW w:w="8375" w:type="dxa"/>
            <w:gridSpan w:val="2"/>
            <w:shd w:val="clear" w:color="auto" w:fill="auto"/>
          </w:tcPr>
          <w:p w:rsidR="00D41168" w:rsidRPr="0052681A" w:rsidRDefault="00D41168" w:rsidP="00D41168">
            <w:pPr>
              <w:pStyle w:val="ListParagraph"/>
              <w:numPr>
                <w:ilvl w:val="1"/>
                <w:numId w:val="11"/>
              </w:numPr>
              <w:tabs>
                <w:tab w:val="left" w:pos="1296"/>
                <w:tab w:val="left" w:pos="1728"/>
                <w:tab w:val="left" w:pos="2160"/>
                <w:tab w:val="left" w:pos="2592"/>
                <w:tab w:val="left" w:pos="3024"/>
                <w:tab w:val="right" w:leader="dot" w:pos="8381"/>
              </w:tabs>
              <w:suppressAutoHyphens/>
              <w:spacing w:after="120"/>
              <w:rPr>
                <w:w w:val="100"/>
                <w:lang w:val="fr-CH"/>
              </w:rPr>
            </w:pPr>
            <w:r w:rsidRPr="0052681A">
              <w:rPr>
                <w:w w:val="100"/>
                <w:lang w:val="fr-CH"/>
              </w:rPr>
              <w:t>Autres questions</w:t>
            </w:r>
            <w:r w:rsidRPr="0052681A">
              <w:rPr>
                <w:spacing w:val="60"/>
                <w:w w:val="100"/>
                <w:sz w:val="17"/>
                <w:lang w:val="fr-CH"/>
              </w:rPr>
              <w:tab/>
            </w:r>
          </w:p>
        </w:tc>
        <w:tc>
          <w:tcPr>
            <w:tcW w:w="994" w:type="dxa"/>
            <w:shd w:val="clear" w:color="auto" w:fill="auto"/>
            <w:vAlign w:val="bottom"/>
          </w:tcPr>
          <w:p w:rsidR="00D41168" w:rsidRPr="0052681A" w:rsidRDefault="00D41168" w:rsidP="006D6351">
            <w:pPr>
              <w:spacing w:after="120"/>
              <w:jc w:val="right"/>
              <w:rPr>
                <w:lang w:val="fr-CH"/>
              </w:rPr>
            </w:pPr>
            <w:r w:rsidRPr="0052681A">
              <w:rPr>
                <w:lang w:val="fr-CH"/>
              </w:rPr>
              <w:t>16</w:t>
            </w:r>
          </w:p>
        </w:tc>
        <w:tc>
          <w:tcPr>
            <w:tcW w:w="684" w:type="dxa"/>
            <w:shd w:val="clear" w:color="auto" w:fill="auto"/>
            <w:vAlign w:val="bottom"/>
          </w:tcPr>
          <w:p w:rsidR="00D41168" w:rsidRPr="0052681A" w:rsidRDefault="00B21BB0" w:rsidP="006D6351">
            <w:pPr>
              <w:spacing w:after="120"/>
              <w:jc w:val="right"/>
              <w:rPr>
                <w:lang w:val="fr-CH"/>
              </w:rPr>
            </w:pPr>
            <w:r>
              <w:rPr>
                <w:lang w:val="fr-CH"/>
              </w:rPr>
              <w:t>5</w:t>
            </w:r>
          </w:p>
        </w:tc>
      </w:tr>
      <w:tr w:rsidR="00D41168" w:rsidRPr="0052681A" w:rsidTr="00D41168">
        <w:tc>
          <w:tcPr>
            <w:tcW w:w="8375" w:type="dxa"/>
            <w:gridSpan w:val="2"/>
            <w:shd w:val="clear" w:color="auto" w:fill="auto"/>
          </w:tcPr>
          <w:p w:rsidR="00D41168" w:rsidRPr="0052681A" w:rsidRDefault="00D41168" w:rsidP="00D41168">
            <w:pPr>
              <w:pStyle w:val="ListParagraph"/>
              <w:numPr>
                <w:ilvl w:val="0"/>
                <w:numId w:val="11"/>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uppressAutoHyphens/>
              <w:spacing w:after="120"/>
              <w:rPr>
                <w:w w:val="100"/>
                <w:lang w:val="fr-CH"/>
              </w:rPr>
            </w:pPr>
            <w:r w:rsidRPr="0052681A">
              <w:rPr>
                <w:w w:val="100"/>
                <w:lang w:val="fr-CH"/>
              </w:rPr>
              <w:t>Travaux du Comité de sécurité (point 4 de l’ordre du jour)</w:t>
            </w:r>
            <w:r w:rsidRPr="0052681A">
              <w:rPr>
                <w:spacing w:val="60"/>
                <w:w w:val="100"/>
                <w:sz w:val="17"/>
                <w:lang w:val="fr-CH"/>
              </w:rPr>
              <w:tab/>
            </w:r>
          </w:p>
        </w:tc>
        <w:tc>
          <w:tcPr>
            <w:tcW w:w="994" w:type="dxa"/>
            <w:shd w:val="clear" w:color="auto" w:fill="auto"/>
            <w:vAlign w:val="bottom"/>
          </w:tcPr>
          <w:p w:rsidR="00D41168" w:rsidRPr="0052681A" w:rsidRDefault="00D41168" w:rsidP="006D6351">
            <w:pPr>
              <w:spacing w:after="120"/>
              <w:jc w:val="right"/>
              <w:rPr>
                <w:lang w:val="fr-CH"/>
              </w:rPr>
            </w:pPr>
            <w:r w:rsidRPr="0052681A">
              <w:rPr>
                <w:lang w:val="fr-CH"/>
              </w:rPr>
              <w:t>17–18</w:t>
            </w:r>
          </w:p>
        </w:tc>
        <w:tc>
          <w:tcPr>
            <w:tcW w:w="684" w:type="dxa"/>
            <w:shd w:val="clear" w:color="auto" w:fill="auto"/>
            <w:vAlign w:val="bottom"/>
          </w:tcPr>
          <w:p w:rsidR="00D41168" w:rsidRPr="0052681A" w:rsidRDefault="00B21BB0" w:rsidP="006D6351">
            <w:pPr>
              <w:spacing w:after="120"/>
              <w:jc w:val="right"/>
              <w:rPr>
                <w:lang w:val="fr-CH"/>
              </w:rPr>
            </w:pPr>
            <w:r>
              <w:rPr>
                <w:lang w:val="fr-CH"/>
              </w:rPr>
              <w:t>5</w:t>
            </w:r>
          </w:p>
        </w:tc>
      </w:tr>
      <w:tr w:rsidR="00D41168" w:rsidRPr="0052681A" w:rsidTr="00D41168">
        <w:tc>
          <w:tcPr>
            <w:tcW w:w="8375" w:type="dxa"/>
            <w:gridSpan w:val="2"/>
            <w:shd w:val="clear" w:color="auto" w:fill="auto"/>
          </w:tcPr>
          <w:p w:rsidR="00D41168" w:rsidRPr="0052681A" w:rsidRDefault="00D41168" w:rsidP="00D41168">
            <w:pPr>
              <w:pStyle w:val="ListParagraph"/>
              <w:numPr>
                <w:ilvl w:val="0"/>
                <w:numId w:val="11"/>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uppressAutoHyphens/>
              <w:spacing w:after="120"/>
              <w:rPr>
                <w:w w:val="100"/>
                <w:lang w:val="fr-CH"/>
              </w:rPr>
            </w:pPr>
            <w:r w:rsidRPr="0052681A">
              <w:rPr>
                <w:w w:val="100"/>
                <w:lang w:val="fr-CH"/>
              </w:rPr>
              <w:t>Programme de travail et calendrier des réunions (point 5 de l’ordre du jour)</w:t>
            </w:r>
            <w:r w:rsidRPr="0052681A">
              <w:rPr>
                <w:spacing w:val="60"/>
                <w:w w:val="100"/>
                <w:sz w:val="17"/>
                <w:lang w:val="fr-CH"/>
              </w:rPr>
              <w:tab/>
            </w:r>
          </w:p>
        </w:tc>
        <w:tc>
          <w:tcPr>
            <w:tcW w:w="994" w:type="dxa"/>
            <w:shd w:val="clear" w:color="auto" w:fill="auto"/>
            <w:vAlign w:val="bottom"/>
          </w:tcPr>
          <w:p w:rsidR="00D41168" w:rsidRPr="0052681A" w:rsidRDefault="00D41168" w:rsidP="006D6351">
            <w:pPr>
              <w:spacing w:after="120"/>
              <w:jc w:val="right"/>
              <w:rPr>
                <w:lang w:val="fr-CH"/>
              </w:rPr>
            </w:pPr>
            <w:r w:rsidRPr="0052681A">
              <w:rPr>
                <w:lang w:val="fr-CH"/>
              </w:rPr>
              <w:t>19</w:t>
            </w:r>
          </w:p>
        </w:tc>
        <w:tc>
          <w:tcPr>
            <w:tcW w:w="684" w:type="dxa"/>
            <w:shd w:val="clear" w:color="auto" w:fill="auto"/>
            <w:vAlign w:val="bottom"/>
          </w:tcPr>
          <w:p w:rsidR="00D41168" w:rsidRPr="0052681A" w:rsidRDefault="00B21BB0" w:rsidP="006D6351">
            <w:pPr>
              <w:spacing w:after="120"/>
              <w:jc w:val="right"/>
              <w:rPr>
                <w:lang w:val="fr-CH"/>
              </w:rPr>
            </w:pPr>
            <w:r>
              <w:rPr>
                <w:lang w:val="fr-CH"/>
              </w:rPr>
              <w:t>5</w:t>
            </w:r>
          </w:p>
        </w:tc>
      </w:tr>
      <w:tr w:rsidR="00D41168" w:rsidRPr="0052681A" w:rsidTr="00D41168">
        <w:tc>
          <w:tcPr>
            <w:tcW w:w="8375" w:type="dxa"/>
            <w:gridSpan w:val="2"/>
            <w:shd w:val="clear" w:color="auto" w:fill="auto"/>
          </w:tcPr>
          <w:p w:rsidR="00D41168" w:rsidRPr="0052681A" w:rsidRDefault="00D41168" w:rsidP="00D41168">
            <w:pPr>
              <w:pStyle w:val="ListParagraph"/>
              <w:numPr>
                <w:ilvl w:val="0"/>
                <w:numId w:val="11"/>
              </w:numPr>
              <w:tabs>
                <w:tab w:val="left" w:pos="1296"/>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rPr>
                <w:w w:val="100"/>
                <w:lang w:val="fr-CH"/>
              </w:rPr>
            </w:pPr>
            <w:r w:rsidRPr="0052681A">
              <w:rPr>
                <w:w w:val="100"/>
                <w:lang w:val="fr-CH"/>
              </w:rPr>
              <w:t>Questions diverses (point 6 de l’ordre du jour)</w:t>
            </w:r>
            <w:r w:rsidRPr="0052681A">
              <w:rPr>
                <w:spacing w:val="60"/>
                <w:w w:val="100"/>
                <w:sz w:val="17"/>
                <w:lang w:val="fr-CH"/>
              </w:rPr>
              <w:tab/>
            </w:r>
          </w:p>
        </w:tc>
        <w:tc>
          <w:tcPr>
            <w:tcW w:w="994" w:type="dxa"/>
            <w:shd w:val="clear" w:color="auto" w:fill="auto"/>
            <w:vAlign w:val="bottom"/>
          </w:tcPr>
          <w:p w:rsidR="00D41168" w:rsidRPr="0052681A" w:rsidRDefault="00D41168" w:rsidP="006D6351">
            <w:pPr>
              <w:spacing w:after="120"/>
              <w:jc w:val="right"/>
              <w:rPr>
                <w:lang w:val="fr-CH"/>
              </w:rPr>
            </w:pPr>
            <w:r w:rsidRPr="0052681A">
              <w:rPr>
                <w:lang w:val="fr-CH"/>
              </w:rPr>
              <w:t>20</w:t>
            </w:r>
          </w:p>
        </w:tc>
        <w:tc>
          <w:tcPr>
            <w:tcW w:w="684" w:type="dxa"/>
            <w:shd w:val="clear" w:color="auto" w:fill="auto"/>
            <w:vAlign w:val="bottom"/>
          </w:tcPr>
          <w:p w:rsidR="00D41168" w:rsidRPr="0052681A" w:rsidRDefault="00B21BB0" w:rsidP="006D6351">
            <w:pPr>
              <w:spacing w:after="120"/>
              <w:jc w:val="right"/>
              <w:rPr>
                <w:lang w:val="fr-CH"/>
              </w:rPr>
            </w:pPr>
            <w:r>
              <w:rPr>
                <w:lang w:val="fr-CH"/>
              </w:rPr>
              <w:t>5</w:t>
            </w:r>
          </w:p>
        </w:tc>
      </w:tr>
      <w:tr w:rsidR="00D41168" w:rsidRPr="0052681A" w:rsidTr="00D41168">
        <w:tc>
          <w:tcPr>
            <w:tcW w:w="8375" w:type="dxa"/>
            <w:gridSpan w:val="2"/>
            <w:shd w:val="clear" w:color="auto" w:fill="auto"/>
          </w:tcPr>
          <w:p w:rsidR="00D41168" w:rsidRPr="0052681A" w:rsidRDefault="00D41168" w:rsidP="00D41168">
            <w:pPr>
              <w:pStyle w:val="ListParagraph"/>
              <w:numPr>
                <w:ilvl w:val="0"/>
                <w:numId w:val="11"/>
              </w:numPr>
              <w:tabs>
                <w:tab w:val="left" w:pos="1296"/>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rPr>
                <w:w w:val="100"/>
                <w:lang w:val="fr-CH"/>
              </w:rPr>
            </w:pPr>
            <w:r w:rsidRPr="0052681A">
              <w:rPr>
                <w:w w:val="100"/>
                <w:lang w:val="fr-CH"/>
              </w:rPr>
              <w:t>Adoption du rapport (point 7 de l’ordre du jour)</w:t>
            </w:r>
            <w:r w:rsidRPr="0052681A">
              <w:rPr>
                <w:spacing w:val="60"/>
                <w:w w:val="100"/>
                <w:sz w:val="17"/>
                <w:lang w:val="fr-CH"/>
              </w:rPr>
              <w:tab/>
            </w:r>
          </w:p>
        </w:tc>
        <w:tc>
          <w:tcPr>
            <w:tcW w:w="994" w:type="dxa"/>
            <w:shd w:val="clear" w:color="auto" w:fill="auto"/>
            <w:vAlign w:val="bottom"/>
          </w:tcPr>
          <w:p w:rsidR="00D41168" w:rsidRPr="0052681A" w:rsidRDefault="00D41168" w:rsidP="006D6351">
            <w:pPr>
              <w:spacing w:after="120"/>
              <w:jc w:val="right"/>
              <w:rPr>
                <w:lang w:val="fr-CH"/>
              </w:rPr>
            </w:pPr>
            <w:r w:rsidRPr="0052681A">
              <w:rPr>
                <w:lang w:val="fr-CH"/>
              </w:rPr>
              <w:t>21</w:t>
            </w:r>
          </w:p>
        </w:tc>
        <w:tc>
          <w:tcPr>
            <w:tcW w:w="684" w:type="dxa"/>
            <w:shd w:val="clear" w:color="auto" w:fill="auto"/>
            <w:vAlign w:val="bottom"/>
          </w:tcPr>
          <w:p w:rsidR="00D41168" w:rsidRPr="0052681A" w:rsidRDefault="00B21BB0" w:rsidP="006D6351">
            <w:pPr>
              <w:spacing w:after="120"/>
              <w:jc w:val="right"/>
              <w:rPr>
                <w:lang w:val="fr-CH"/>
              </w:rPr>
            </w:pPr>
            <w:r>
              <w:rPr>
                <w:lang w:val="fr-CH"/>
              </w:rPr>
              <w:t>5</w:t>
            </w:r>
          </w:p>
        </w:tc>
      </w:tr>
      <w:tr w:rsidR="0052681A" w:rsidRPr="0052681A" w:rsidTr="007F5FC2">
        <w:tc>
          <w:tcPr>
            <w:tcW w:w="9369" w:type="dxa"/>
            <w:gridSpan w:val="3"/>
            <w:shd w:val="clear" w:color="auto" w:fill="auto"/>
          </w:tcPr>
          <w:p w:rsidR="0052681A" w:rsidRPr="0052681A" w:rsidRDefault="0052681A" w:rsidP="0052681A">
            <w:pPr>
              <w:tabs>
                <w:tab w:val="right" w:pos="1080"/>
                <w:tab w:val="left" w:pos="1296"/>
                <w:tab w:val="left" w:pos="1728"/>
                <w:tab w:val="left" w:pos="2160"/>
                <w:tab w:val="left" w:pos="2592"/>
                <w:tab w:val="left" w:pos="3024"/>
                <w:tab w:val="left" w:pos="3456"/>
                <w:tab w:val="left" w:pos="3888"/>
                <w:tab w:val="right" w:leader="dot" w:pos="9360"/>
              </w:tabs>
              <w:spacing w:after="120"/>
              <w:rPr>
                <w:spacing w:val="60"/>
                <w:sz w:val="17"/>
                <w:lang w:val="fr-CH"/>
              </w:rPr>
            </w:pPr>
            <w:r w:rsidRPr="0052681A">
              <w:rPr>
                <w:lang w:val="fr-CH"/>
              </w:rPr>
              <w:tab/>
              <w:t>Annexes</w:t>
            </w:r>
          </w:p>
        </w:tc>
        <w:tc>
          <w:tcPr>
            <w:tcW w:w="684" w:type="dxa"/>
            <w:shd w:val="clear" w:color="auto" w:fill="auto"/>
            <w:vAlign w:val="bottom"/>
          </w:tcPr>
          <w:p w:rsidR="0052681A" w:rsidRPr="0052681A" w:rsidRDefault="0052681A" w:rsidP="004C7556">
            <w:pPr>
              <w:spacing w:after="120"/>
              <w:jc w:val="right"/>
              <w:rPr>
                <w:lang w:val="fr-CH"/>
              </w:rPr>
            </w:pPr>
          </w:p>
        </w:tc>
      </w:tr>
      <w:tr w:rsidR="0052681A" w:rsidRPr="0052681A" w:rsidTr="007F5FC2">
        <w:tc>
          <w:tcPr>
            <w:tcW w:w="9369" w:type="dxa"/>
            <w:gridSpan w:val="3"/>
            <w:shd w:val="clear" w:color="auto" w:fill="auto"/>
          </w:tcPr>
          <w:p w:rsidR="0052681A" w:rsidRPr="0052681A" w:rsidRDefault="0052681A" w:rsidP="0052681A">
            <w:pPr>
              <w:tabs>
                <w:tab w:val="right" w:pos="1080"/>
                <w:tab w:val="left" w:pos="1296"/>
                <w:tab w:val="left" w:pos="1728"/>
                <w:tab w:val="right" w:leader="dot" w:pos="9360"/>
              </w:tabs>
              <w:spacing w:after="120"/>
              <w:rPr>
                <w:spacing w:val="60"/>
                <w:sz w:val="17"/>
                <w:lang w:val="fr-CH"/>
              </w:rPr>
            </w:pPr>
            <w:r w:rsidRPr="0052681A">
              <w:rPr>
                <w:lang w:val="fr-CH"/>
              </w:rPr>
              <w:tab/>
              <w:t>I.</w:t>
            </w:r>
            <w:r w:rsidRPr="0052681A">
              <w:rPr>
                <w:lang w:val="fr-CH"/>
              </w:rPr>
              <w:tab/>
            </w:r>
            <w:r w:rsidRPr="0052681A">
              <w:rPr>
                <w:w w:val="100"/>
                <w:lang w:val="fr-CH"/>
              </w:rPr>
              <w:t xml:space="preserve">Décision du Comité d’administration de l’ADN au sujet du bateau-citerne </w:t>
            </w:r>
            <w:r w:rsidRPr="0052681A">
              <w:rPr>
                <w:i/>
                <w:w w:val="100"/>
                <w:lang w:val="fr-CH"/>
              </w:rPr>
              <w:t>Argos-GL</w:t>
            </w:r>
            <w:r w:rsidRPr="0052681A">
              <w:rPr>
                <w:spacing w:val="60"/>
                <w:sz w:val="17"/>
                <w:lang w:val="fr-CH"/>
              </w:rPr>
              <w:tab/>
            </w:r>
          </w:p>
        </w:tc>
        <w:tc>
          <w:tcPr>
            <w:tcW w:w="684" w:type="dxa"/>
            <w:shd w:val="clear" w:color="auto" w:fill="auto"/>
            <w:vAlign w:val="bottom"/>
          </w:tcPr>
          <w:p w:rsidR="0052681A" w:rsidRPr="0052681A" w:rsidRDefault="00B21BB0" w:rsidP="004C7556">
            <w:pPr>
              <w:spacing w:after="120"/>
              <w:jc w:val="right"/>
              <w:rPr>
                <w:lang w:val="fr-CH"/>
              </w:rPr>
            </w:pPr>
            <w:r>
              <w:rPr>
                <w:lang w:val="fr-CH"/>
              </w:rPr>
              <w:t>6</w:t>
            </w:r>
          </w:p>
        </w:tc>
      </w:tr>
      <w:tr w:rsidR="0052681A" w:rsidRPr="0052681A" w:rsidTr="007F5FC2">
        <w:tc>
          <w:tcPr>
            <w:tcW w:w="9369" w:type="dxa"/>
            <w:gridSpan w:val="3"/>
            <w:shd w:val="clear" w:color="auto" w:fill="auto"/>
          </w:tcPr>
          <w:p w:rsidR="0052681A" w:rsidRPr="0052681A" w:rsidRDefault="0052681A" w:rsidP="0052681A">
            <w:pPr>
              <w:tabs>
                <w:tab w:val="right" w:pos="1080"/>
                <w:tab w:val="left" w:pos="1296"/>
                <w:tab w:val="left" w:pos="1728"/>
                <w:tab w:val="right" w:leader="dot" w:pos="9360"/>
              </w:tabs>
              <w:spacing w:after="120"/>
              <w:rPr>
                <w:lang w:val="fr-CH"/>
              </w:rPr>
            </w:pPr>
            <w:r w:rsidRPr="0052681A">
              <w:rPr>
                <w:lang w:val="fr-CH"/>
              </w:rPr>
              <w:tab/>
              <w:t>II.</w:t>
            </w:r>
            <w:r w:rsidRPr="0052681A">
              <w:rPr>
                <w:lang w:val="fr-CH"/>
              </w:rPr>
              <w:tab/>
            </w:r>
            <w:r w:rsidRPr="0052681A">
              <w:rPr>
                <w:w w:val="100"/>
                <w:lang w:val="fr-CH"/>
              </w:rPr>
              <w:t xml:space="preserve">Décision du Comité d’administration de l’ADN relative à l’utilisation de cuves à membrane </w:t>
            </w:r>
            <w:r w:rsidRPr="0052681A">
              <w:rPr>
                <w:w w:val="100"/>
                <w:lang w:val="fr-CH"/>
              </w:rPr>
              <w:tab/>
            </w:r>
            <w:r w:rsidRPr="0052681A">
              <w:rPr>
                <w:w w:val="100"/>
                <w:lang w:val="fr-CH"/>
              </w:rPr>
              <w:tab/>
            </w:r>
            <w:r w:rsidRPr="0052681A">
              <w:rPr>
                <w:w w:val="100"/>
                <w:lang w:val="fr-CH"/>
              </w:rPr>
              <w:tab/>
              <w:t xml:space="preserve">pour le transport de gaz naturel liquéfié (GNL) sur le bateau-citerne </w:t>
            </w:r>
            <w:r w:rsidRPr="0052681A">
              <w:rPr>
                <w:i/>
                <w:w w:val="100"/>
                <w:lang w:val="fr-CH"/>
              </w:rPr>
              <w:t>Argos-GL</w:t>
            </w:r>
          </w:p>
        </w:tc>
        <w:tc>
          <w:tcPr>
            <w:tcW w:w="684" w:type="dxa"/>
            <w:shd w:val="clear" w:color="auto" w:fill="auto"/>
            <w:vAlign w:val="bottom"/>
          </w:tcPr>
          <w:p w:rsidR="0052681A" w:rsidRPr="0052681A" w:rsidRDefault="00B21BB0" w:rsidP="004C7556">
            <w:pPr>
              <w:spacing w:after="120"/>
              <w:jc w:val="right"/>
              <w:rPr>
                <w:lang w:val="fr-CH"/>
              </w:rPr>
            </w:pPr>
            <w:r>
              <w:rPr>
                <w:lang w:val="fr-CH"/>
              </w:rPr>
              <w:t>8</w:t>
            </w:r>
          </w:p>
        </w:tc>
      </w:tr>
    </w:tbl>
    <w:p w:rsidR="006D6351" w:rsidRPr="0052681A" w:rsidRDefault="006D6351" w:rsidP="006D6351">
      <w:pPr>
        <w:rPr>
          <w:lang w:val="fr-CH"/>
        </w:rPr>
      </w:pPr>
    </w:p>
    <w:p w:rsidR="006D6351" w:rsidRPr="0052681A" w:rsidRDefault="006D6351">
      <w:pPr>
        <w:spacing w:line="240" w:lineRule="auto"/>
        <w:rPr>
          <w:lang w:val="fr-CH"/>
        </w:rPr>
      </w:pPr>
      <w:r w:rsidRPr="0052681A">
        <w:rPr>
          <w:lang w:val="fr-CH"/>
        </w:rPr>
        <w:br w:type="page"/>
      </w:r>
    </w:p>
    <w:p w:rsidR="000C6EEF" w:rsidRPr="0052681A" w:rsidRDefault="000C6EEF" w:rsidP="006D6351">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CH"/>
        </w:rPr>
      </w:pPr>
      <w:r w:rsidRPr="0052681A">
        <w:rPr>
          <w:w w:val="100"/>
          <w:lang w:val="fr-CH"/>
        </w:rPr>
        <w:lastRenderedPageBreak/>
        <w:tab/>
        <w:t>I.</w:t>
      </w:r>
      <w:r w:rsidRPr="0052681A">
        <w:rPr>
          <w:w w:val="100"/>
          <w:lang w:val="fr-CH"/>
        </w:rPr>
        <w:tab/>
        <w:t>Participation</w:t>
      </w:r>
    </w:p>
    <w:p w:rsidR="006D6351" w:rsidRPr="0052681A" w:rsidRDefault="006D6351" w:rsidP="006D6351">
      <w:pPr>
        <w:pStyle w:val="SingleTxt"/>
        <w:spacing w:after="0" w:line="120" w:lineRule="exact"/>
        <w:rPr>
          <w:sz w:val="10"/>
          <w:lang w:val="fr-CH"/>
        </w:rPr>
      </w:pPr>
    </w:p>
    <w:p w:rsidR="006D6351" w:rsidRPr="0052681A" w:rsidRDefault="006D6351" w:rsidP="006D6351">
      <w:pPr>
        <w:pStyle w:val="SingleTxt"/>
        <w:spacing w:after="0" w:line="120" w:lineRule="exact"/>
        <w:rPr>
          <w:sz w:val="10"/>
          <w:lang w:val="fr-CH"/>
        </w:rPr>
      </w:pPr>
    </w:p>
    <w:p w:rsidR="000C6EEF" w:rsidRPr="0052681A" w:rsidRDefault="000C6EEF" w:rsidP="006D6351">
      <w:pPr>
        <w:pStyle w:val="SingleTxt"/>
        <w:numPr>
          <w:ilvl w:val="0"/>
          <w:numId w:val="10"/>
        </w:numPr>
        <w:tabs>
          <w:tab w:val="clear" w:pos="475"/>
          <w:tab w:val="num" w:pos="1742"/>
        </w:tabs>
        <w:ind w:left="1267"/>
        <w:rPr>
          <w:w w:val="100"/>
          <w:lang w:val="fr-CH"/>
        </w:rPr>
      </w:pPr>
      <w:r w:rsidRPr="0052681A">
        <w:rPr>
          <w:w w:val="100"/>
          <w:lang w:val="fr-CH"/>
        </w:rPr>
        <w:t>Le Comité d’administration de l’Accord européen relatif au transport international des marchandises dangereuses par voies de navigation intérieures (ADN) a tenu sa q</w:t>
      </w:r>
      <w:r w:rsidR="006D6351" w:rsidRPr="0052681A">
        <w:rPr>
          <w:w w:val="100"/>
          <w:lang w:val="fr-CH"/>
        </w:rPr>
        <w:t>uinzième session à Genève le 28 </w:t>
      </w:r>
      <w:r w:rsidRPr="0052681A">
        <w:rPr>
          <w:w w:val="100"/>
          <w:lang w:val="fr-CH"/>
        </w:rPr>
        <w:t>aoû</w:t>
      </w:r>
      <w:r w:rsidR="006D6351" w:rsidRPr="0052681A">
        <w:rPr>
          <w:w w:val="100"/>
          <w:lang w:val="fr-CH"/>
        </w:rPr>
        <w:t>t 2015 sous la présidence de M. H. </w:t>
      </w:r>
      <w:r w:rsidRPr="0052681A">
        <w:rPr>
          <w:w w:val="100"/>
          <w:lang w:val="fr-CH"/>
        </w:rPr>
        <w:t xml:space="preserve">Rein (Allemagne) et la vice-présidence de M. B. </w:t>
      </w:r>
      <w:proofErr w:type="spellStart"/>
      <w:r w:rsidRPr="0052681A">
        <w:rPr>
          <w:w w:val="100"/>
          <w:lang w:val="fr-CH"/>
        </w:rPr>
        <w:t>Birklhuber</w:t>
      </w:r>
      <w:proofErr w:type="spellEnd"/>
      <w:r w:rsidRPr="0052681A">
        <w:rPr>
          <w:w w:val="100"/>
          <w:lang w:val="fr-CH"/>
        </w:rPr>
        <w:t xml:space="preserve"> (Autriche). Des représentants des pays suivants ont pris part aux travaux de cette session</w:t>
      </w:r>
      <w:r w:rsidR="00A951F9" w:rsidRPr="0052681A">
        <w:rPr>
          <w:w w:val="100"/>
          <w:lang w:val="fr-CH"/>
        </w:rPr>
        <w:t> </w:t>
      </w:r>
      <w:r w:rsidRPr="0052681A">
        <w:rPr>
          <w:w w:val="100"/>
          <w:lang w:val="fr-CH"/>
        </w:rPr>
        <w:t>: Allemagne, Autriche, Belgique, Bulgarie, Croatie, France, Fédération de Russie, Pays-Bas, Roumanie, Slovaquie et Suisse.</w:t>
      </w:r>
    </w:p>
    <w:p w:rsidR="000C6EEF" w:rsidRPr="0052681A" w:rsidRDefault="000C6EEF" w:rsidP="006D6351">
      <w:pPr>
        <w:pStyle w:val="SingleTxt"/>
        <w:numPr>
          <w:ilvl w:val="0"/>
          <w:numId w:val="10"/>
        </w:numPr>
        <w:tabs>
          <w:tab w:val="clear" w:pos="475"/>
          <w:tab w:val="num" w:pos="1742"/>
        </w:tabs>
        <w:ind w:left="1267"/>
        <w:rPr>
          <w:snapToGrid w:val="0"/>
          <w:w w:val="100"/>
          <w:lang w:val="fr-CH"/>
        </w:rPr>
      </w:pPr>
      <w:r w:rsidRPr="0052681A">
        <w:rPr>
          <w:w w:val="100"/>
          <w:lang w:val="fr-CH"/>
        </w:rPr>
        <w:t xml:space="preserve">Le Comité d’administration a noté que les représentants des Parties contractantes participant à la session avaient été accrédités et que le quorum nécessaire pour prendre des décisions </w:t>
      </w:r>
      <w:r w:rsidR="00196F32">
        <w:rPr>
          <w:w w:val="100"/>
          <w:lang w:val="fr-CH"/>
        </w:rPr>
        <w:t>–</w:t>
      </w:r>
      <w:r w:rsidRPr="0052681A">
        <w:rPr>
          <w:w w:val="100"/>
          <w:lang w:val="fr-CH"/>
        </w:rPr>
        <w:t xml:space="preserve"> soit la moitié des Parties contractantes </w:t>
      </w:r>
      <w:r w:rsidR="00196F32">
        <w:rPr>
          <w:w w:val="100"/>
          <w:lang w:val="fr-CH"/>
        </w:rPr>
        <w:t>–</w:t>
      </w:r>
      <w:r w:rsidRPr="0052681A">
        <w:rPr>
          <w:w w:val="100"/>
          <w:lang w:val="fr-CH"/>
        </w:rPr>
        <w:t xml:space="preserve"> était atteint.</w:t>
      </w:r>
    </w:p>
    <w:p w:rsidR="000C6EEF" w:rsidRPr="0052681A" w:rsidRDefault="000C6EEF" w:rsidP="006D6351">
      <w:pPr>
        <w:pStyle w:val="SingleTxt"/>
        <w:numPr>
          <w:ilvl w:val="0"/>
          <w:numId w:val="10"/>
        </w:numPr>
        <w:tabs>
          <w:tab w:val="clear" w:pos="475"/>
          <w:tab w:val="num" w:pos="1742"/>
        </w:tabs>
        <w:ind w:left="1267"/>
        <w:rPr>
          <w:snapToGrid w:val="0"/>
          <w:w w:val="100"/>
          <w:lang w:val="fr-CH"/>
        </w:rPr>
      </w:pPr>
      <w:r w:rsidRPr="0052681A">
        <w:rPr>
          <w:w w:val="100"/>
          <w:lang w:val="fr-CH"/>
        </w:rPr>
        <w:t>Conformément au paragraphe 2 de l’article 17 de l’ADN, et comme suite à une déci</w:t>
      </w:r>
      <w:r w:rsidR="006D6351" w:rsidRPr="0052681A">
        <w:rPr>
          <w:w w:val="100"/>
          <w:lang w:val="fr-CH"/>
        </w:rPr>
        <w:t>sion du Comité (ECE/ADN/2, par. </w:t>
      </w:r>
      <w:r w:rsidRPr="0052681A">
        <w:rPr>
          <w:w w:val="100"/>
          <w:lang w:val="fr-CH"/>
        </w:rPr>
        <w:t>8), un représentant de la Commission centrale pour la navigation du Rhin (CCNR) a également pris part à la session en qualité d’observateur.</w:t>
      </w:r>
    </w:p>
    <w:p w:rsidR="006D6351" w:rsidRPr="0052681A" w:rsidRDefault="006D6351" w:rsidP="006D6351">
      <w:pPr>
        <w:pStyle w:val="SingleTxt"/>
        <w:spacing w:after="0" w:line="120" w:lineRule="exact"/>
        <w:rPr>
          <w:w w:val="100"/>
          <w:sz w:val="10"/>
          <w:lang w:val="fr-CH"/>
        </w:rPr>
      </w:pPr>
    </w:p>
    <w:p w:rsidR="006D6351" w:rsidRPr="0052681A" w:rsidRDefault="006D6351" w:rsidP="006D6351">
      <w:pPr>
        <w:pStyle w:val="SingleTxt"/>
        <w:spacing w:after="0" w:line="120" w:lineRule="exact"/>
        <w:rPr>
          <w:snapToGrid w:val="0"/>
          <w:w w:val="100"/>
          <w:sz w:val="10"/>
          <w:lang w:val="fr-CH"/>
        </w:rPr>
      </w:pPr>
    </w:p>
    <w:p w:rsidR="000C6EEF" w:rsidRPr="0052681A" w:rsidRDefault="000C6EEF" w:rsidP="006D6351">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CH"/>
        </w:rPr>
      </w:pPr>
      <w:r w:rsidRPr="0052681A">
        <w:rPr>
          <w:w w:val="100"/>
          <w:lang w:val="fr-CH"/>
        </w:rPr>
        <w:tab/>
        <w:t>II.</w:t>
      </w:r>
      <w:r w:rsidRPr="0052681A">
        <w:rPr>
          <w:w w:val="100"/>
          <w:lang w:val="fr-CH"/>
        </w:rPr>
        <w:tab/>
        <w:t>Adoption de l’ordre du jour (point 1 de l’ordre du jour)</w:t>
      </w:r>
    </w:p>
    <w:p w:rsidR="006D6351" w:rsidRPr="0052681A" w:rsidRDefault="006D6351" w:rsidP="006D6351">
      <w:pPr>
        <w:pStyle w:val="SingleTxt"/>
        <w:spacing w:after="0" w:line="120" w:lineRule="exact"/>
        <w:rPr>
          <w:sz w:val="10"/>
          <w:lang w:val="fr-CH"/>
        </w:rPr>
      </w:pPr>
    </w:p>
    <w:p w:rsidR="006D6351" w:rsidRPr="0052681A" w:rsidRDefault="006D6351" w:rsidP="006D6351">
      <w:pPr>
        <w:pStyle w:val="SingleTxt"/>
        <w:spacing w:after="0" w:line="120" w:lineRule="exact"/>
        <w:rPr>
          <w:sz w:val="10"/>
          <w:lang w:val="fr-CH"/>
        </w:rPr>
      </w:pPr>
    </w:p>
    <w:p w:rsidR="000C6EEF" w:rsidRPr="0052681A" w:rsidRDefault="000C6EEF" w:rsidP="006D6351">
      <w:pPr>
        <w:pStyle w:val="SingleTxt"/>
        <w:rPr>
          <w:snapToGrid w:val="0"/>
          <w:w w:val="100"/>
          <w:lang w:val="fr-CH"/>
        </w:rPr>
      </w:pPr>
      <w:r w:rsidRPr="0052681A">
        <w:rPr>
          <w:i/>
          <w:w w:val="100"/>
          <w:lang w:val="fr-CH"/>
        </w:rPr>
        <w:t>Documents</w:t>
      </w:r>
      <w:r w:rsidR="00A951F9" w:rsidRPr="0052681A">
        <w:rPr>
          <w:i/>
          <w:w w:val="100"/>
          <w:lang w:val="fr-CH"/>
        </w:rPr>
        <w:t> </w:t>
      </w:r>
      <w:r w:rsidRPr="0052681A">
        <w:rPr>
          <w:w w:val="100"/>
          <w:lang w:val="fr-CH"/>
        </w:rPr>
        <w:t>: ECE/ADN/32 et Add.1.</w:t>
      </w:r>
    </w:p>
    <w:p w:rsidR="000C6EEF" w:rsidRPr="0052681A" w:rsidRDefault="000C6EEF" w:rsidP="006D6351">
      <w:pPr>
        <w:pStyle w:val="SingleTxt"/>
        <w:numPr>
          <w:ilvl w:val="0"/>
          <w:numId w:val="10"/>
        </w:numPr>
        <w:tabs>
          <w:tab w:val="clear" w:pos="475"/>
          <w:tab w:val="num" w:pos="1742"/>
        </w:tabs>
        <w:ind w:left="1267"/>
        <w:rPr>
          <w:rFonts w:eastAsia="Times New Roman"/>
          <w:snapToGrid w:val="0"/>
          <w:spacing w:val="0"/>
          <w:w w:val="100"/>
          <w:kern w:val="0"/>
          <w:szCs w:val="20"/>
          <w:lang w:val="fr-CH"/>
        </w:rPr>
      </w:pPr>
      <w:r w:rsidRPr="0052681A">
        <w:rPr>
          <w:rFonts w:eastAsia="Times New Roman"/>
          <w:spacing w:val="0"/>
          <w:w w:val="100"/>
          <w:kern w:val="0"/>
          <w:szCs w:val="20"/>
          <w:lang w:val="fr-CH"/>
        </w:rPr>
        <w:t>Le Comité d’administration a adopté l’ordre du jour établi par le secrétariat.</w:t>
      </w:r>
    </w:p>
    <w:p w:rsidR="000C6EEF" w:rsidRPr="0052681A" w:rsidRDefault="000C6EEF" w:rsidP="006D635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CH"/>
        </w:rPr>
      </w:pPr>
      <w:r w:rsidRPr="0052681A">
        <w:rPr>
          <w:w w:val="100"/>
          <w:lang w:val="fr-CH"/>
        </w:rPr>
        <w:tab/>
        <w:t>III.</w:t>
      </w:r>
      <w:r w:rsidRPr="0052681A">
        <w:rPr>
          <w:w w:val="100"/>
          <w:lang w:val="fr-CH"/>
        </w:rPr>
        <w:tab/>
        <w:t xml:space="preserve">État de l’Accord européen relatif au transport international </w:t>
      </w:r>
      <w:r w:rsidR="006D6351" w:rsidRPr="0052681A">
        <w:rPr>
          <w:w w:val="100"/>
          <w:lang w:val="fr-CH"/>
        </w:rPr>
        <w:br/>
      </w:r>
      <w:r w:rsidRPr="0052681A">
        <w:rPr>
          <w:w w:val="100"/>
          <w:lang w:val="fr-CH"/>
        </w:rPr>
        <w:t xml:space="preserve">des marchandises dangereuses par voies de navigation </w:t>
      </w:r>
      <w:r w:rsidR="006D6351" w:rsidRPr="0052681A">
        <w:rPr>
          <w:w w:val="100"/>
          <w:lang w:val="fr-CH"/>
        </w:rPr>
        <w:br/>
      </w:r>
      <w:r w:rsidRPr="0052681A">
        <w:rPr>
          <w:w w:val="100"/>
          <w:lang w:val="fr-CH"/>
        </w:rPr>
        <w:t>intérieures (ADN) (point 2 de l’ordre du jour)</w:t>
      </w:r>
    </w:p>
    <w:p w:rsidR="006D6351" w:rsidRPr="0052681A" w:rsidRDefault="006D6351" w:rsidP="006D6351">
      <w:pPr>
        <w:pStyle w:val="SingleTxt"/>
        <w:spacing w:after="0" w:line="120" w:lineRule="exact"/>
        <w:rPr>
          <w:sz w:val="10"/>
          <w:lang w:val="fr-CH"/>
        </w:rPr>
      </w:pPr>
    </w:p>
    <w:p w:rsidR="006D6351" w:rsidRPr="0052681A" w:rsidRDefault="006D6351" w:rsidP="006D6351">
      <w:pPr>
        <w:pStyle w:val="SingleTxt"/>
        <w:spacing w:after="0" w:line="120" w:lineRule="exact"/>
        <w:rPr>
          <w:sz w:val="10"/>
          <w:lang w:val="fr-CH"/>
        </w:rPr>
      </w:pPr>
    </w:p>
    <w:p w:rsidR="000C6EEF" w:rsidRPr="0052681A" w:rsidRDefault="000C6EEF" w:rsidP="00A951F9">
      <w:pPr>
        <w:pStyle w:val="SingleTxt"/>
        <w:numPr>
          <w:ilvl w:val="0"/>
          <w:numId w:val="10"/>
        </w:numPr>
        <w:tabs>
          <w:tab w:val="clear" w:pos="475"/>
          <w:tab w:val="num" w:pos="1742"/>
        </w:tabs>
        <w:ind w:left="1267"/>
        <w:rPr>
          <w:rFonts w:eastAsia="Times New Roman"/>
          <w:spacing w:val="0"/>
          <w:w w:val="100"/>
          <w:kern w:val="0"/>
          <w:szCs w:val="20"/>
          <w:lang w:val="fr-CH"/>
        </w:rPr>
      </w:pPr>
      <w:r w:rsidRPr="0052681A">
        <w:rPr>
          <w:rFonts w:eastAsia="Times New Roman"/>
          <w:spacing w:val="0"/>
          <w:w w:val="100"/>
          <w:kern w:val="0"/>
          <w:szCs w:val="20"/>
          <w:lang w:val="fr-CH"/>
        </w:rPr>
        <w:t>Le Comité d’administration a noté que le nombre de Parties contractantes demeurait inchangé à 18</w:t>
      </w:r>
      <w:r w:rsidR="00A951F9" w:rsidRPr="0052681A">
        <w:rPr>
          <w:rFonts w:eastAsia="Times New Roman"/>
          <w:spacing w:val="0"/>
          <w:w w:val="100"/>
          <w:kern w:val="0"/>
          <w:szCs w:val="20"/>
          <w:lang w:val="fr-CH"/>
        </w:rPr>
        <w:t> </w:t>
      </w:r>
      <w:r w:rsidRPr="0052681A">
        <w:rPr>
          <w:rFonts w:eastAsia="Times New Roman"/>
          <w:spacing w:val="0"/>
          <w:w w:val="100"/>
          <w:kern w:val="0"/>
          <w:szCs w:val="20"/>
          <w:lang w:val="fr-CH"/>
        </w:rPr>
        <w:t>: Allemagne, Autriche, Belgique, Bulgarie, Croatie, Fédération de Russie, France, Hongrie, Luxembourg, Pays-Bas, Pologne, République de Moldova, République tchèque, Roumanie, Serbie, Slovaquie, Suisse et Ukraine.</w:t>
      </w:r>
    </w:p>
    <w:p w:rsidR="006D6351" w:rsidRPr="0052681A" w:rsidRDefault="006D6351" w:rsidP="006D6351">
      <w:pPr>
        <w:pStyle w:val="SingleTxt"/>
        <w:spacing w:after="0" w:line="120" w:lineRule="exact"/>
        <w:rPr>
          <w:rFonts w:eastAsia="Times New Roman"/>
          <w:spacing w:val="0"/>
          <w:w w:val="100"/>
          <w:kern w:val="0"/>
          <w:sz w:val="10"/>
          <w:szCs w:val="20"/>
          <w:lang w:val="fr-CH"/>
        </w:rPr>
      </w:pPr>
    </w:p>
    <w:p w:rsidR="006D6351" w:rsidRPr="0052681A" w:rsidRDefault="006D6351" w:rsidP="006D6351">
      <w:pPr>
        <w:pStyle w:val="SingleTxt"/>
        <w:spacing w:after="0" w:line="120" w:lineRule="exact"/>
        <w:rPr>
          <w:rFonts w:eastAsia="Times New Roman"/>
          <w:spacing w:val="0"/>
          <w:w w:val="100"/>
          <w:kern w:val="0"/>
          <w:sz w:val="10"/>
          <w:szCs w:val="20"/>
          <w:lang w:val="fr-CH"/>
        </w:rPr>
      </w:pPr>
    </w:p>
    <w:p w:rsidR="000C6EEF" w:rsidRPr="0052681A" w:rsidRDefault="000C6EEF" w:rsidP="006D635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CH"/>
        </w:rPr>
      </w:pPr>
      <w:r w:rsidRPr="0052681A">
        <w:rPr>
          <w:w w:val="100"/>
          <w:lang w:val="fr-CH"/>
        </w:rPr>
        <w:tab/>
        <w:t>IV.</w:t>
      </w:r>
      <w:r w:rsidRPr="0052681A">
        <w:rPr>
          <w:w w:val="100"/>
          <w:lang w:val="fr-CH"/>
        </w:rPr>
        <w:tab/>
        <w:t>Questions relatives à la mise en œuvre de l’ADN</w:t>
      </w:r>
      <w:r w:rsidR="006D6351" w:rsidRPr="0052681A">
        <w:rPr>
          <w:w w:val="100"/>
          <w:lang w:val="fr-CH"/>
        </w:rPr>
        <w:t xml:space="preserve"> </w:t>
      </w:r>
      <w:r w:rsidRPr="0052681A">
        <w:rPr>
          <w:w w:val="100"/>
          <w:lang w:val="fr-CH"/>
        </w:rPr>
        <w:br/>
        <w:t>(point 3 de l’ordre du jour)</w:t>
      </w:r>
    </w:p>
    <w:p w:rsidR="006D6351" w:rsidRPr="0052681A" w:rsidRDefault="006D6351" w:rsidP="006D6351">
      <w:pPr>
        <w:pStyle w:val="SingleTxt"/>
        <w:spacing w:after="0" w:line="120" w:lineRule="exact"/>
        <w:rPr>
          <w:sz w:val="10"/>
          <w:lang w:val="fr-CH"/>
        </w:rPr>
      </w:pPr>
    </w:p>
    <w:p w:rsidR="006D6351" w:rsidRPr="0052681A" w:rsidRDefault="006D6351" w:rsidP="006D6351">
      <w:pPr>
        <w:pStyle w:val="SingleTxt"/>
        <w:spacing w:after="0" w:line="120" w:lineRule="exact"/>
        <w:rPr>
          <w:sz w:val="10"/>
          <w:lang w:val="fr-CH"/>
        </w:rPr>
      </w:pPr>
    </w:p>
    <w:p w:rsidR="000C6EEF" w:rsidRPr="0052681A" w:rsidRDefault="000C6EEF" w:rsidP="006D635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CH"/>
        </w:rPr>
      </w:pPr>
      <w:r w:rsidRPr="0052681A">
        <w:rPr>
          <w:w w:val="100"/>
          <w:lang w:val="fr-CH"/>
        </w:rPr>
        <w:tab/>
        <w:t>A.</w:t>
      </w:r>
      <w:r w:rsidRPr="0052681A">
        <w:rPr>
          <w:w w:val="100"/>
          <w:lang w:val="fr-CH"/>
        </w:rPr>
        <w:tab/>
        <w:t xml:space="preserve">Sociétés de classification </w:t>
      </w:r>
    </w:p>
    <w:p w:rsidR="006D6351" w:rsidRPr="0052681A" w:rsidRDefault="006D6351" w:rsidP="006D6351">
      <w:pPr>
        <w:pStyle w:val="SingleTxt"/>
        <w:spacing w:after="0" w:line="120" w:lineRule="exact"/>
        <w:rPr>
          <w:sz w:val="10"/>
          <w:lang w:val="fr-CH"/>
        </w:rPr>
      </w:pPr>
    </w:p>
    <w:p w:rsidR="006D6351" w:rsidRPr="0052681A" w:rsidRDefault="006D6351" w:rsidP="006D6351">
      <w:pPr>
        <w:pStyle w:val="SingleTxt"/>
        <w:spacing w:after="0" w:line="120" w:lineRule="exact"/>
        <w:rPr>
          <w:sz w:val="10"/>
          <w:lang w:val="fr-CH"/>
        </w:rPr>
      </w:pPr>
    </w:p>
    <w:p w:rsidR="000C6EEF" w:rsidRPr="0052681A" w:rsidRDefault="000C6EEF" w:rsidP="006D6351">
      <w:pPr>
        <w:pStyle w:val="SingleTxt"/>
        <w:numPr>
          <w:ilvl w:val="0"/>
          <w:numId w:val="10"/>
        </w:numPr>
        <w:tabs>
          <w:tab w:val="clear" w:pos="475"/>
          <w:tab w:val="num" w:pos="1742"/>
        </w:tabs>
        <w:ind w:left="1267"/>
        <w:rPr>
          <w:rFonts w:eastAsia="Times New Roman"/>
          <w:spacing w:val="0"/>
          <w:w w:val="100"/>
          <w:kern w:val="0"/>
          <w:szCs w:val="20"/>
          <w:lang w:val="fr-CH"/>
        </w:rPr>
      </w:pPr>
      <w:r w:rsidRPr="0052681A">
        <w:rPr>
          <w:rFonts w:eastAsia="Times New Roman"/>
          <w:spacing w:val="0"/>
          <w:w w:val="100"/>
          <w:kern w:val="0"/>
          <w:szCs w:val="20"/>
          <w:lang w:val="fr-CH"/>
        </w:rPr>
        <w:t xml:space="preserve">Il a été souligné que les pays ayant agréé </w:t>
      </w:r>
      <w:proofErr w:type="spellStart"/>
      <w:r w:rsidRPr="0052681A">
        <w:rPr>
          <w:rFonts w:eastAsia="Times New Roman"/>
          <w:spacing w:val="0"/>
          <w:w w:val="100"/>
          <w:kern w:val="0"/>
          <w:szCs w:val="20"/>
          <w:lang w:val="fr-CH"/>
        </w:rPr>
        <w:t>Germanischer</w:t>
      </w:r>
      <w:proofErr w:type="spellEnd"/>
      <w:r w:rsidRPr="0052681A">
        <w:rPr>
          <w:rFonts w:eastAsia="Times New Roman"/>
          <w:spacing w:val="0"/>
          <w:w w:val="100"/>
          <w:kern w:val="0"/>
          <w:szCs w:val="20"/>
          <w:lang w:val="fr-CH"/>
        </w:rPr>
        <w:t xml:space="preserve"> Lloyd devaient faire savoir au secrétariat s’ils agréaient DNV GL SE, qui avait succédé à </w:t>
      </w:r>
      <w:proofErr w:type="spellStart"/>
      <w:r w:rsidRPr="0052681A">
        <w:rPr>
          <w:rFonts w:eastAsia="Times New Roman"/>
          <w:spacing w:val="0"/>
          <w:w w:val="100"/>
          <w:kern w:val="0"/>
          <w:szCs w:val="20"/>
          <w:lang w:val="fr-CH"/>
        </w:rPr>
        <w:t>Germanischer</w:t>
      </w:r>
      <w:proofErr w:type="spellEnd"/>
      <w:r w:rsidRPr="0052681A">
        <w:rPr>
          <w:rFonts w:eastAsia="Times New Roman"/>
          <w:spacing w:val="0"/>
          <w:w w:val="100"/>
          <w:kern w:val="0"/>
          <w:szCs w:val="20"/>
          <w:lang w:val="fr-CH"/>
        </w:rPr>
        <w:t xml:space="preserve"> Lloyd. L’Allemagne, les Pays-Bas, la République de Moldova et la Roumanie n’avaient pas encore envoyé de notification à cette fin.</w:t>
      </w:r>
    </w:p>
    <w:p w:rsidR="00B21BB0" w:rsidRPr="00B21BB0" w:rsidRDefault="000C6EEF" w:rsidP="006D6351">
      <w:pPr>
        <w:pStyle w:val="SingleTxt"/>
        <w:numPr>
          <w:ilvl w:val="0"/>
          <w:numId w:val="10"/>
        </w:numPr>
        <w:tabs>
          <w:tab w:val="clear" w:pos="475"/>
          <w:tab w:val="num" w:pos="1742"/>
        </w:tabs>
        <w:ind w:left="1267"/>
        <w:rPr>
          <w:rFonts w:eastAsia="Times New Roman"/>
          <w:snapToGrid w:val="0"/>
          <w:spacing w:val="0"/>
          <w:w w:val="100"/>
          <w:kern w:val="0"/>
          <w:szCs w:val="20"/>
          <w:lang w:val="fr-CH"/>
        </w:rPr>
      </w:pPr>
      <w:r w:rsidRPr="0052681A">
        <w:rPr>
          <w:rFonts w:eastAsia="Times New Roman"/>
          <w:spacing w:val="0"/>
          <w:w w:val="100"/>
          <w:kern w:val="0"/>
          <w:szCs w:val="20"/>
          <w:lang w:val="fr-CH"/>
        </w:rPr>
        <w:t xml:space="preserve">L’Allemagne a informé le Comité d’administration qu’elle avait agréé RINA Germany </w:t>
      </w:r>
      <w:proofErr w:type="spellStart"/>
      <w:r w:rsidRPr="0052681A">
        <w:rPr>
          <w:rFonts w:eastAsia="Times New Roman"/>
          <w:spacing w:val="0"/>
          <w:w w:val="100"/>
          <w:kern w:val="0"/>
          <w:szCs w:val="20"/>
          <w:lang w:val="fr-CH"/>
        </w:rPr>
        <w:t>GmbH</w:t>
      </w:r>
      <w:proofErr w:type="spellEnd"/>
      <w:r w:rsidRPr="0052681A">
        <w:rPr>
          <w:rFonts w:eastAsia="Times New Roman"/>
          <w:spacing w:val="0"/>
          <w:w w:val="100"/>
          <w:kern w:val="0"/>
          <w:szCs w:val="20"/>
          <w:lang w:val="fr-CH"/>
        </w:rPr>
        <w:t>, conformément au paragraphe 1.15.2.4 du Règlement anne</w:t>
      </w:r>
      <w:r w:rsidR="00B21BB0">
        <w:rPr>
          <w:rFonts w:eastAsia="Times New Roman"/>
          <w:spacing w:val="0"/>
          <w:w w:val="100"/>
          <w:kern w:val="0"/>
          <w:szCs w:val="20"/>
          <w:lang w:val="fr-CH"/>
        </w:rPr>
        <w:t>xé à l’ADN, à compter du 22 </w:t>
      </w:r>
      <w:r w:rsidRPr="0052681A">
        <w:rPr>
          <w:rFonts w:eastAsia="Times New Roman"/>
          <w:spacing w:val="0"/>
          <w:w w:val="100"/>
          <w:kern w:val="0"/>
          <w:szCs w:val="20"/>
          <w:lang w:val="fr-CH"/>
        </w:rPr>
        <w:t xml:space="preserve">juin 2015 (document informel INF.3). </w:t>
      </w:r>
    </w:p>
    <w:p w:rsidR="000C6EEF" w:rsidRPr="0052681A" w:rsidRDefault="000C6EEF" w:rsidP="006D6351">
      <w:pPr>
        <w:pStyle w:val="SingleTxt"/>
        <w:numPr>
          <w:ilvl w:val="0"/>
          <w:numId w:val="10"/>
        </w:numPr>
        <w:tabs>
          <w:tab w:val="clear" w:pos="475"/>
          <w:tab w:val="num" w:pos="1742"/>
        </w:tabs>
        <w:ind w:left="1267"/>
        <w:rPr>
          <w:rFonts w:eastAsia="Times New Roman"/>
          <w:snapToGrid w:val="0"/>
          <w:spacing w:val="0"/>
          <w:w w:val="100"/>
          <w:kern w:val="0"/>
          <w:szCs w:val="20"/>
          <w:lang w:val="fr-CH"/>
        </w:rPr>
      </w:pPr>
      <w:r w:rsidRPr="0052681A">
        <w:rPr>
          <w:rFonts w:eastAsia="Times New Roman"/>
          <w:spacing w:val="0"/>
          <w:w w:val="100"/>
          <w:kern w:val="0"/>
          <w:szCs w:val="20"/>
          <w:lang w:val="fr-CH"/>
        </w:rPr>
        <w:t xml:space="preserve">Le Comité d’administration a rappelé que toutes les sociétés de classification ADN recommandées devaient faire valoir directement auprès de lui leur certification établie conformément à la norme EN ISO/CEI 17020:2012 (à l’exception de la clause 8.1.3). Des certifications satisfaisantes avaient jusqu’ici été fournies par RINA Germany </w:t>
      </w:r>
      <w:proofErr w:type="spellStart"/>
      <w:r w:rsidRPr="0052681A">
        <w:rPr>
          <w:rFonts w:eastAsia="Times New Roman"/>
          <w:spacing w:val="0"/>
          <w:w w:val="100"/>
          <w:kern w:val="0"/>
          <w:szCs w:val="20"/>
          <w:lang w:val="fr-CH"/>
        </w:rPr>
        <w:t>GmbH</w:t>
      </w:r>
      <w:proofErr w:type="spellEnd"/>
      <w:r w:rsidRPr="0052681A">
        <w:rPr>
          <w:rFonts w:eastAsia="Times New Roman"/>
          <w:spacing w:val="0"/>
          <w:w w:val="100"/>
          <w:kern w:val="0"/>
          <w:szCs w:val="20"/>
          <w:lang w:val="fr-CH"/>
        </w:rPr>
        <w:t xml:space="preserve"> et Shipping </w:t>
      </w:r>
      <w:proofErr w:type="spellStart"/>
      <w:r w:rsidRPr="0052681A">
        <w:rPr>
          <w:rFonts w:eastAsia="Times New Roman"/>
          <w:spacing w:val="0"/>
          <w:w w:val="100"/>
          <w:kern w:val="0"/>
          <w:szCs w:val="20"/>
          <w:lang w:val="fr-CH"/>
        </w:rPr>
        <w:t>Register</w:t>
      </w:r>
      <w:proofErr w:type="spellEnd"/>
      <w:r w:rsidRPr="0052681A">
        <w:rPr>
          <w:rFonts w:eastAsia="Times New Roman"/>
          <w:spacing w:val="0"/>
          <w:w w:val="100"/>
          <w:kern w:val="0"/>
          <w:szCs w:val="20"/>
          <w:lang w:val="fr-CH"/>
        </w:rPr>
        <w:t xml:space="preserve"> of Ukraine. </w:t>
      </w:r>
    </w:p>
    <w:p w:rsidR="000C6EEF" w:rsidRPr="0052681A" w:rsidRDefault="000C6EEF" w:rsidP="006D6351">
      <w:pPr>
        <w:pStyle w:val="SingleTxt"/>
        <w:numPr>
          <w:ilvl w:val="0"/>
          <w:numId w:val="10"/>
        </w:numPr>
        <w:tabs>
          <w:tab w:val="clear" w:pos="475"/>
          <w:tab w:val="num" w:pos="1742"/>
        </w:tabs>
        <w:ind w:left="1267"/>
        <w:rPr>
          <w:rFonts w:eastAsia="Times New Roman"/>
          <w:spacing w:val="0"/>
          <w:w w:val="100"/>
          <w:kern w:val="0"/>
          <w:szCs w:val="20"/>
          <w:lang w:val="fr-CH"/>
        </w:rPr>
      </w:pPr>
      <w:r w:rsidRPr="0052681A">
        <w:rPr>
          <w:rFonts w:eastAsia="Times New Roman"/>
          <w:spacing w:val="0"/>
          <w:w w:val="100"/>
          <w:kern w:val="0"/>
          <w:szCs w:val="20"/>
          <w:lang w:val="fr-CH"/>
        </w:rPr>
        <w:t>Comme le Comité de sécurité de l’ADN l’avait noté (voir ECE/TRANS/</w:t>
      </w:r>
      <w:r w:rsidR="00A951F9" w:rsidRPr="0052681A">
        <w:rPr>
          <w:rFonts w:eastAsia="Times New Roman"/>
          <w:spacing w:val="0"/>
          <w:w w:val="100"/>
          <w:kern w:val="0"/>
          <w:szCs w:val="20"/>
          <w:lang w:val="fr-CH"/>
        </w:rPr>
        <w:t xml:space="preserve"> </w:t>
      </w:r>
      <w:r w:rsidRPr="0052681A">
        <w:rPr>
          <w:rFonts w:eastAsia="Times New Roman"/>
          <w:spacing w:val="0"/>
          <w:w w:val="100"/>
          <w:kern w:val="0"/>
          <w:szCs w:val="20"/>
          <w:lang w:val="fr-CH"/>
        </w:rPr>
        <w:t>WP.15/</w:t>
      </w:r>
      <w:r w:rsidR="00A951F9" w:rsidRPr="0052681A">
        <w:rPr>
          <w:rFonts w:eastAsia="Times New Roman"/>
          <w:spacing w:val="0"/>
          <w:w w:val="100"/>
          <w:kern w:val="0"/>
          <w:szCs w:val="20"/>
          <w:lang w:val="fr-CH"/>
        </w:rPr>
        <w:t>AC.2/56, par. </w:t>
      </w:r>
      <w:r w:rsidRPr="0052681A">
        <w:rPr>
          <w:rFonts w:eastAsia="Times New Roman"/>
          <w:spacing w:val="0"/>
          <w:w w:val="100"/>
          <w:kern w:val="0"/>
          <w:szCs w:val="20"/>
          <w:lang w:val="fr-CH"/>
        </w:rPr>
        <w:t xml:space="preserve">35), Lloyds </w:t>
      </w:r>
      <w:proofErr w:type="spellStart"/>
      <w:r w:rsidRPr="0052681A">
        <w:rPr>
          <w:rFonts w:eastAsia="Times New Roman"/>
          <w:spacing w:val="0"/>
          <w:w w:val="100"/>
          <w:kern w:val="0"/>
          <w:szCs w:val="20"/>
          <w:lang w:val="fr-CH"/>
        </w:rPr>
        <w:t>Register</w:t>
      </w:r>
      <w:proofErr w:type="spellEnd"/>
      <w:r w:rsidRPr="0052681A">
        <w:rPr>
          <w:rFonts w:eastAsia="Times New Roman"/>
          <w:spacing w:val="0"/>
          <w:w w:val="100"/>
          <w:kern w:val="0"/>
          <w:szCs w:val="20"/>
          <w:lang w:val="fr-CH"/>
        </w:rPr>
        <w:t xml:space="preserve"> et Russian Maritime </w:t>
      </w:r>
      <w:proofErr w:type="spellStart"/>
      <w:r w:rsidRPr="0052681A">
        <w:rPr>
          <w:rFonts w:eastAsia="Times New Roman"/>
          <w:spacing w:val="0"/>
          <w:w w:val="100"/>
          <w:kern w:val="0"/>
          <w:szCs w:val="20"/>
          <w:lang w:val="fr-CH"/>
        </w:rPr>
        <w:t>Register</w:t>
      </w:r>
      <w:proofErr w:type="spellEnd"/>
      <w:r w:rsidRPr="0052681A">
        <w:rPr>
          <w:rFonts w:eastAsia="Times New Roman"/>
          <w:spacing w:val="0"/>
          <w:w w:val="100"/>
          <w:kern w:val="0"/>
          <w:szCs w:val="20"/>
          <w:lang w:val="fr-CH"/>
        </w:rPr>
        <w:t xml:space="preserve"> of Shipping avaient communiqué des informations, mais celles-ci étaient insuffisantes, car elles se rapportaient principalement aux activités maritimes de ces sociétés de classification. </w:t>
      </w:r>
      <w:r w:rsidRPr="0052681A">
        <w:rPr>
          <w:rFonts w:eastAsia="Times New Roman"/>
          <w:spacing w:val="0"/>
          <w:w w:val="100"/>
          <w:kern w:val="0"/>
          <w:szCs w:val="20"/>
          <w:lang w:val="fr-CH"/>
        </w:rPr>
        <w:br/>
        <w:t>Bureau Veritas avait fourni une preuve de sa certification, mais uniquement pour sa branche belge. Il en allait de même pour RINA, qui avait fourni la preuve de sa certification pour sa branche allemande seulement. La question a alors été soulevée de savoir si certaines sociétés de classification telles que Bureau Veritas et RINA pouvaient être considérées comme des sociétés de classification ADN recommandées, ou uniquement leurs branches, comme RINA Germany et Veritas Belgique. Il a été convenu que cette question devrait être réexaminée à des fins de clarification.</w:t>
      </w:r>
    </w:p>
    <w:p w:rsidR="000C6EEF" w:rsidRPr="0052681A" w:rsidRDefault="000C6EEF" w:rsidP="006D6351">
      <w:pPr>
        <w:pStyle w:val="SingleTxt"/>
        <w:numPr>
          <w:ilvl w:val="0"/>
          <w:numId w:val="10"/>
        </w:numPr>
        <w:tabs>
          <w:tab w:val="clear" w:pos="475"/>
          <w:tab w:val="num" w:pos="1742"/>
        </w:tabs>
        <w:ind w:left="1267"/>
        <w:rPr>
          <w:rFonts w:eastAsia="Times New Roman"/>
          <w:snapToGrid w:val="0"/>
          <w:spacing w:val="0"/>
          <w:w w:val="100"/>
          <w:kern w:val="0"/>
          <w:szCs w:val="20"/>
          <w:lang w:val="fr-CH"/>
        </w:rPr>
      </w:pPr>
      <w:proofErr w:type="spellStart"/>
      <w:r w:rsidRPr="0052681A">
        <w:rPr>
          <w:rFonts w:eastAsia="Times New Roman"/>
          <w:spacing w:val="0"/>
          <w:w w:val="100"/>
          <w:kern w:val="0"/>
          <w:szCs w:val="20"/>
          <w:lang w:val="fr-CH"/>
        </w:rPr>
        <w:t>Det</w:t>
      </w:r>
      <w:proofErr w:type="spellEnd"/>
      <w:r w:rsidRPr="0052681A">
        <w:rPr>
          <w:rFonts w:eastAsia="Times New Roman"/>
          <w:spacing w:val="0"/>
          <w:w w:val="100"/>
          <w:kern w:val="0"/>
          <w:szCs w:val="20"/>
          <w:lang w:val="fr-CH"/>
        </w:rPr>
        <w:t xml:space="preserve"> </w:t>
      </w:r>
      <w:proofErr w:type="spellStart"/>
      <w:r w:rsidRPr="0052681A">
        <w:rPr>
          <w:rFonts w:eastAsia="Times New Roman"/>
          <w:spacing w:val="0"/>
          <w:w w:val="100"/>
          <w:kern w:val="0"/>
          <w:szCs w:val="20"/>
          <w:lang w:val="fr-CH"/>
        </w:rPr>
        <w:t>Norske</w:t>
      </w:r>
      <w:proofErr w:type="spellEnd"/>
      <w:r w:rsidRPr="0052681A">
        <w:rPr>
          <w:rFonts w:eastAsia="Times New Roman"/>
          <w:spacing w:val="0"/>
          <w:w w:val="100"/>
          <w:kern w:val="0"/>
          <w:szCs w:val="20"/>
          <w:lang w:val="fr-CH"/>
        </w:rPr>
        <w:t xml:space="preserve"> Veritas </w:t>
      </w:r>
      <w:proofErr w:type="spellStart"/>
      <w:r w:rsidRPr="0052681A">
        <w:rPr>
          <w:rFonts w:eastAsia="Times New Roman"/>
          <w:spacing w:val="0"/>
          <w:w w:val="100"/>
          <w:kern w:val="0"/>
          <w:szCs w:val="20"/>
          <w:lang w:val="fr-CH"/>
        </w:rPr>
        <w:t>Germanischer</w:t>
      </w:r>
      <w:proofErr w:type="spellEnd"/>
      <w:r w:rsidRPr="0052681A">
        <w:rPr>
          <w:rFonts w:eastAsia="Times New Roman"/>
          <w:spacing w:val="0"/>
          <w:w w:val="100"/>
          <w:kern w:val="0"/>
          <w:szCs w:val="20"/>
          <w:lang w:val="fr-CH"/>
        </w:rPr>
        <w:t xml:space="preserve"> Lloyd (DNV GL SE) et Russian River </w:t>
      </w:r>
      <w:proofErr w:type="spellStart"/>
      <w:r w:rsidRPr="0052681A">
        <w:rPr>
          <w:rFonts w:eastAsia="Times New Roman"/>
          <w:spacing w:val="0"/>
          <w:w w:val="100"/>
          <w:kern w:val="0"/>
          <w:szCs w:val="20"/>
          <w:lang w:val="fr-CH"/>
        </w:rPr>
        <w:t>Register</w:t>
      </w:r>
      <w:proofErr w:type="spellEnd"/>
      <w:r w:rsidRPr="0052681A">
        <w:rPr>
          <w:rFonts w:eastAsia="Times New Roman"/>
          <w:spacing w:val="0"/>
          <w:w w:val="100"/>
          <w:kern w:val="0"/>
          <w:szCs w:val="20"/>
          <w:lang w:val="fr-CH"/>
        </w:rPr>
        <w:t xml:space="preserve"> n’avaient pas encore fourni les informations demandées. Ainsi, à l’exception de Shipping </w:t>
      </w:r>
      <w:proofErr w:type="spellStart"/>
      <w:r w:rsidRPr="0052681A">
        <w:rPr>
          <w:rFonts w:eastAsia="Times New Roman"/>
          <w:spacing w:val="0"/>
          <w:w w:val="100"/>
          <w:kern w:val="0"/>
          <w:szCs w:val="20"/>
          <w:lang w:val="fr-CH"/>
        </w:rPr>
        <w:t>Register</w:t>
      </w:r>
      <w:proofErr w:type="spellEnd"/>
      <w:r w:rsidRPr="0052681A">
        <w:rPr>
          <w:rFonts w:eastAsia="Times New Roman"/>
          <w:spacing w:val="0"/>
          <w:w w:val="100"/>
          <w:kern w:val="0"/>
          <w:szCs w:val="20"/>
          <w:lang w:val="fr-CH"/>
        </w:rPr>
        <w:t xml:space="preserve"> of Ukraine, toutes les sociétés de classification ADN recommandées ont été priées de fournir la preuve (certification) que le système de contrôle de la qualité qu’elles appliquaient pour les activités en rapport avec l’ADN était conforme à la norme EN ISO/CEI 17020:2012 (hormis la clause 8.1.3), comme il était prescrit au paragraphe 1.15.3.8 du Règlement annexé à l’ADN. Cela devrait être fait d’ici </w:t>
      </w:r>
      <w:r w:rsidR="00B21BB0">
        <w:rPr>
          <w:rFonts w:eastAsia="Times New Roman"/>
          <w:spacing w:val="0"/>
          <w:w w:val="100"/>
          <w:kern w:val="0"/>
          <w:szCs w:val="20"/>
          <w:lang w:val="fr-CH"/>
        </w:rPr>
        <w:t xml:space="preserve">à </w:t>
      </w:r>
      <w:r w:rsidRPr="0052681A">
        <w:rPr>
          <w:rFonts w:eastAsia="Times New Roman"/>
          <w:spacing w:val="0"/>
          <w:w w:val="100"/>
          <w:kern w:val="0"/>
          <w:szCs w:val="20"/>
          <w:lang w:val="fr-CH"/>
        </w:rPr>
        <w:t>la prochaine session du Comité de sécurité.</w:t>
      </w:r>
    </w:p>
    <w:p w:rsidR="00834BBB" w:rsidRPr="0052681A" w:rsidRDefault="00834BBB" w:rsidP="00834BBB">
      <w:pPr>
        <w:pStyle w:val="SingleTxt"/>
        <w:spacing w:after="0" w:line="120" w:lineRule="exact"/>
        <w:rPr>
          <w:rFonts w:eastAsia="Times New Roman"/>
          <w:spacing w:val="0"/>
          <w:w w:val="100"/>
          <w:kern w:val="0"/>
          <w:sz w:val="10"/>
          <w:szCs w:val="20"/>
          <w:lang w:val="fr-CH"/>
        </w:rPr>
      </w:pPr>
    </w:p>
    <w:p w:rsidR="00834BBB" w:rsidRPr="0052681A" w:rsidRDefault="00834BBB" w:rsidP="00834BBB">
      <w:pPr>
        <w:pStyle w:val="SingleTxt"/>
        <w:spacing w:after="0" w:line="120" w:lineRule="exact"/>
        <w:rPr>
          <w:rFonts w:eastAsia="Times New Roman"/>
          <w:spacing w:val="0"/>
          <w:w w:val="100"/>
          <w:kern w:val="0"/>
          <w:sz w:val="10"/>
          <w:szCs w:val="20"/>
          <w:lang w:val="fr-CH"/>
        </w:rPr>
      </w:pPr>
    </w:p>
    <w:p w:rsidR="000C6EEF" w:rsidRPr="0052681A" w:rsidRDefault="000C6EEF" w:rsidP="00834BB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CH"/>
        </w:rPr>
      </w:pPr>
      <w:r w:rsidRPr="0052681A">
        <w:rPr>
          <w:w w:val="100"/>
          <w:lang w:val="fr-CH"/>
        </w:rPr>
        <w:tab/>
        <w:t>B.</w:t>
      </w:r>
      <w:r w:rsidRPr="0052681A">
        <w:rPr>
          <w:w w:val="100"/>
          <w:lang w:val="fr-CH"/>
        </w:rPr>
        <w:tab/>
        <w:t>Autorisations spéciales, dérogations et équivalences</w:t>
      </w:r>
    </w:p>
    <w:p w:rsidR="00834BBB" w:rsidRPr="0052681A" w:rsidRDefault="00834BBB" w:rsidP="00834BBB">
      <w:pPr>
        <w:pStyle w:val="SingleTxt"/>
        <w:spacing w:after="0" w:line="120" w:lineRule="exact"/>
        <w:rPr>
          <w:sz w:val="10"/>
          <w:lang w:val="fr-CH"/>
        </w:rPr>
      </w:pPr>
    </w:p>
    <w:p w:rsidR="00834BBB" w:rsidRPr="0052681A" w:rsidRDefault="00834BBB" w:rsidP="00834BBB">
      <w:pPr>
        <w:pStyle w:val="SingleTxt"/>
        <w:spacing w:after="0" w:line="120" w:lineRule="exact"/>
        <w:rPr>
          <w:sz w:val="10"/>
          <w:lang w:val="fr-CH"/>
        </w:rPr>
      </w:pPr>
    </w:p>
    <w:p w:rsidR="000C6EEF" w:rsidRPr="0052681A" w:rsidRDefault="000C6EEF" w:rsidP="006D6351">
      <w:pPr>
        <w:pStyle w:val="SingleTxt"/>
        <w:numPr>
          <w:ilvl w:val="0"/>
          <w:numId w:val="10"/>
        </w:numPr>
        <w:tabs>
          <w:tab w:val="clear" w:pos="475"/>
          <w:tab w:val="num" w:pos="1742"/>
        </w:tabs>
        <w:ind w:left="1267"/>
        <w:rPr>
          <w:rFonts w:eastAsia="Times New Roman"/>
          <w:spacing w:val="0"/>
          <w:w w:val="100"/>
          <w:kern w:val="0"/>
          <w:szCs w:val="20"/>
          <w:lang w:val="fr-CH"/>
        </w:rPr>
      </w:pPr>
      <w:r w:rsidRPr="0052681A">
        <w:rPr>
          <w:rFonts w:eastAsia="Times New Roman"/>
          <w:spacing w:val="0"/>
          <w:w w:val="100"/>
          <w:kern w:val="0"/>
          <w:szCs w:val="20"/>
          <w:lang w:val="fr-CH"/>
        </w:rPr>
        <w:t>Le Comité d’administration a approuvé la recommandation du Comité de sécurité (ECE/TRANS/WP.15/AC.2/56, par.</w:t>
      </w:r>
      <w:r w:rsidR="00A951F9" w:rsidRPr="0052681A">
        <w:rPr>
          <w:rFonts w:eastAsia="Times New Roman"/>
          <w:spacing w:val="0"/>
          <w:w w:val="100"/>
          <w:kern w:val="0"/>
          <w:szCs w:val="20"/>
          <w:lang w:val="fr-CH"/>
        </w:rPr>
        <w:t> </w:t>
      </w:r>
      <w:r w:rsidRPr="0052681A">
        <w:rPr>
          <w:rFonts w:eastAsia="Times New Roman"/>
          <w:spacing w:val="0"/>
          <w:w w:val="100"/>
          <w:kern w:val="0"/>
          <w:szCs w:val="20"/>
          <w:lang w:val="fr-CH"/>
        </w:rPr>
        <w:t>8) par laquelle celui-ci autorisait l’autorité compétente des Pays-Bas à délivrer, conformément au paragraphe 1.5.3.2, une dérogation temporaire pour le bateau-citerne Argos GL, lui permettant d’utiliser à titre d’essai du gaz naturel liquéfié (GNL) en tant que carburant pour le système de propulsion (document informel INF.4 publié pour la vingt-septième session du Comité de sécurité) (voir annexe I).</w:t>
      </w:r>
    </w:p>
    <w:p w:rsidR="000C6EEF" w:rsidRPr="0052681A" w:rsidRDefault="000C6EEF" w:rsidP="006D6351">
      <w:pPr>
        <w:pStyle w:val="SingleTxt"/>
        <w:numPr>
          <w:ilvl w:val="0"/>
          <w:numId w:val="10"/>
        </w:numPr>
        <w:tabs>
          <w:tab w:val="clear" w:pos="475"/>
          <w:tab w:val="num" w:pos="1742"/>
        </w:tabs>
        <w:ind w:left="1267"/>
        <w:rPr>
          <w:rFonts w:eastAsia="Times New Roman"/>
          <w:spacing w:val="0"/>
          <w:w w:val="100"/>
          <w:kern w:val="0"/>
          <w:szCs w:val="20"/>
          <w:lang w:val="fr-CH"/>
        </w:rPr>
      </w:pPr>
      <w:r w:rsidRPr="0052681A">
        <w:rPr>
          <w:rFonts w:eastAsia="Times New Roman"/>
          <w:spacing w:val="0"/>
          <w:w w:val="100"/>
          <w:kern w:val="0"/>
          <w:szCs w:val="20"/>
          <w:lang w:val="fr-CH"/>
        </w:rPr>
        <w:t>Le Comité d’administration a en outre approuvé la recommandation du Comité de sécurité</w:t>
      </w:r>
      <w:r w:rsidR="0052681A" w:rsidRPr="0052681A">
        <w:rPr>
          <w:rFonts w:eastAsia="Times New Roman"/>
          <w:spacing w:val="0"/>
          <w:w w:val="100"/>
          <w:kern w:val="0"/>
          <w:szCs w:val="20"/>
          <w:lang w:val="fr-CH"/>
        </w:rPr>
        <w:t xml:space="preserve"> (ECE/TRANS/WP.15/AC.2/56, par. </w:t>
      </w:r>
      <w:r w:rsidRPr="0052681A">
        <w:rPr>
          <w:rFonts w:eastAsia="Times New Roman"/>
          <w:spacing w:val="0"/>
          <w:w w:val="100"/>
          <w:kern w:val="0"/>
          <w:szCs w:val="20"/>
          <w:lang w:val="fr-CH"/>
        </w:rPr>
        <w:t>9 à 12) par laquelle celui-ci autorisait l’autorité compétente des Pays-Bas à délivrer, conformément au paragraphe 1.5.3.2, une dérogation temporaire pour le bateau-citerne Argos GL, lui permettant d’utiliser des cuves à membrane pour le transport du GNL (documents informels INF.6 et INF.6/Rev.1 publiés pour la vingt-septième session du Comité de sécurité) (voir annexe II). Comme le Comité de sécurité de l’ADN l’avait noté</w:t>
      </w:r>
      <w:r w:rsidR="0052681A" w:rsidRPr="0052681A">
        <w:rPr>
          <w:rFonts w:eastAsia="Times New Roman"/>
          <w:spacing w:val="0"/>
          <w:w w:val="100"/>
          <w:kern w:val="0"/>
          <w:szCs w:val="20"/>
          <w:lang w:val="fr-CH"/>
        </w:rPr>
        <w:t xml:space="preserve"> (ECE/TRANS/WP.15/AC.2/56, par. </w:t>
      </w:r>
      <w:r w:rsidRPr="0052681A">
        <w:rPr>
          <w:rFonts w:eastAsia="Times New Roman"/>
          <w:spacing w:val="0"/>
          <w:w w:val="100"/>
          <w:kern w:val="0"/>
          <w:szCs w:val="20"/>
          <w:lang w:val="fr-CH"/>
        </w:rPr>
        <w:t xml:space="preserve">11), il y avait une erreur à corriger à l’étape 13, page 26, du rapport </w:t>
      </w:r>
      <w:r w:rsidR="00A951F9" w:rsidRPr="0052681A">
        <w:rPr>
          <w:rFonts w:eastAsia="Times New Roman"/>
          <w:spacing w:val="0"/>
          <w:w w:val="100"/>
          <w:kern w:val="0"/>
          <w:szCs w:val="20"/>
          <w:lang w:val="fr-CH"/>
        </w:rPr>
        <w:t>« </w:t>
      </w:r>
      <w:r w:rsidRPr="0052681A">
        <w:rPr>
          <w:rFonts w:eastAsia="Times New Roman"/>
          <w:spacing w:val="0"/>
          <w:w w:val="100"/>
          <w:kern w:val="0"/>
          <w:szCs w:val="20"/>
          <w:lang w:val="fr-CH"/>
        </w:rPr>
        <w:t xml:space="preserve">Damen » figurant dans le document informel INF.6 (remplacer </w:t>
      </w:r>
      <w:r w:rsidR="00834BBB" w:rsidRPr="0052681A">
        <w:rPr>
          <w:rFonts w:eastAsia="Times New Roman"/>
          <w:spacing w:val="0"/>
          <w:w w:val="100"/>
          <w:kern w:val="0"/>
          <w:szCs w:val="20"/>
          <w:lang w:val="fr-CH"/>
        </w:rPr>
        <w:t>« </w:t>
      </w:r>
      <w:r w:rsidRPr="0052681A">
        <w:rPr>
          <w:rFonts w:eastAsia="Times New Roman"/>
          <w:spacing w:val="0"/>
          <w:w w:val="100"/>
          <w:kern w:val="0"/>
          <w:szCs w:val="20"/>
          <w:lang w:val="fr-CH"/>
        </w:rPr>
        <w:t>760 m</w:t>
      </w:r>
      <w:r w:rsidRPr="0052681A">
        <w:rPr>
          <w:rFonts w:eastAsia="Times New Roman"/>
          <w:spacing w:val="0"/>
          <w:w w:val="100"/>
          <w:kern w:val="0"/>
          <w:szCs w:val="20"/>
          <w:vertAlign w:val="superscript"/>
          <w:lang w:val="fr-CH"/>
        </w:rPr>
        <w:t>3</w:t>
      </w:r>
      <w:r w:rsidRPr="0052681A">
        <w:rPr>
          <w:rFonts w:eastAsia="Times New Roman"/>
          <w:spacing w:val="0"/>
          <w:w w:val="100"/>
          <w:kern w:val="0"/>
          <w:szCs w:val="20"/>
          <w:lang w:val="fr-CH"/>
        </w:rPr>
        <w:t xml:space="preserve"> » par </w:t>
      </w:r>
      <w:r w:rsidR="00834BBB" w:rsidRPr="0052681A">
        <w:rPr>
          <w:rFonts w:eastAsia="Times New Roman"/>
          <w:spacing w:val="0"/>
          <w:w w:val="100"/>
          <w:kern w:val="0"/>
          <w:szCs w:val="20"/>
          <w:lang w:val="fr-CH"/>
        </w:rPr>
        <w:t>« </w:t>
      </w:r>
      <w:r w:rsidRPr="0052681A">
        <w:rPr>
          <w:rFonts w:eastAsia="Times New Roman"/>
          <w:spacing w:val="0"/>
          <w:w w:val="100"/>
          <w:kern w:val="0"/>
          <w:szCs w:val="20"/>
          <w:lang w:val="fr-CH"/>
        </w:rPr>
        <w:t>935 m</w:t>
      </w:r>
      <w:r w:rsidRPr="0052681A">
        <w:rPr>
          <w:rFonts w:eastAsia="Times New Roman"/>
          <w:spacing w:val="0"/>
          <w:w w:val="100"/>
          <w:kern w:val="0"/>
          <w:szCs w:val="20"/>
          <w:vertAlign w:val="superscript"/>
          <w:lang w:val="fr-CH"/>
        </w:rPr>
        <w:t>3</w:t>
      </w:r>
      <w:r w:rsidRPr="0052681A">
        <w:rPr>
          <w:rFonts w:eastAsia="Times New Roman"/>
          <w:spacing w:val="0"/>
          <w:w w:val="100"/>
          <w:kern w:val="0"/>
          <w:szCs w:val="20"/>
          <w:lang w:val="fr-CH"/>
        </w:rPr>
        <w:t> »).</w:t>
      </w:r>
    </w:p>
    <w:p w:rsidR="000C6EEF" w:rsidRPr="0052681A" w:rsidRDefault="000C6EEF" w:rsidP="006D6351">
      <w:pPr>
        <w:pStyle w:val="SingleTxt"/>
        <w:numPr>
          <w:ilvl w:val="0"/>
          <w:numId w:val="10"/>
        </w:numPr>
        <w:tabs>
          <w:tab w:val="clear" w:pos="475"/>
          <w:tab w:val="num" w:pos="1742"/>
        </w:tabs>
        <w:ind w:left="1267"/>
        <w:rPr>
          <w:rFonts w:eastAsia="Times New Roman"/>
          <w:spacing w:val="0"/>
          <w:w w:val="100"/>
          <w:kern w:val="0"/>
          <w:szCs w:val="20"/>
          <w:lang w:val="fr-CH"/>
        </w:rPr>
      </w:pPr>
      <w:r w:rsidRPr="0052681A">
        <w:rPr>
          <w:rFonts w:eastAsia="Times New Roman"/>
          <w:spacing w:val="0"/>
          <w:w w:val="100"/>
          <w:kern w:val="0"/>
          <w:szCs w:val="20"/>
          <w:lang w:val="fr-CH"/>
        </w:rPr>
        <w:t>Il a été noté que depuis la dernière session trois projets d’accords multilatéraux avaient été soumis concernant le transport de conteneurs dotés d’un équipement électrique extérieur, la preuve d’une stabilité suffisante à l’état intact conformément au 9.3.2.13.3 et la fourniture de la preuve d’une stabilité suffisante à l’état intact conformément au 9.3.1.13.3 et au 9.3.3.13.3 (voir http://www.unece.org/trans/danger/publi/adn/multilateral-agreements.html).</w:t>
      </w:r>
    </w:p>
    <w:p w:rsidR="000C6EEF" w:rsidRPr="0052681A" w:rsidRDefault="000C6EEF" w:rsidP="006D6351">
      <w:pPr>
        <w:pStyle w:val="SingleTxt"/>
        <w:numPr>
          <w:ilvl w:val="0"/>
          <w:numId w:val="10"/>
        </w:numPr>
        <w:tabs>
          <w:tab w:val="clear" w:pos="475"/>
          <w:tab w:val="num" w:pos="1742"/>
        </w:tabs>
        <w:ind w:left="1267"/>
        <w:rPr>
          <w:rFonts w:eastAsia="Times New Roman"/>
          <w:snapToGrid w:val="0"/>
          <w:spacing w:val="0"/>
          <w:w w:val="100"/>
          <w:kern w:val="0"/>
          <w:szCs w:val="20"/>
          <w:lang w:val="fr-CH"/>
        </w:rPr>
      </w:pPr>
      <w:r w:rsidRPr="0052681A">
        <w:rPr>
          <w:rFonts w:eastAsia="Times New Roman"/>
          <w:spacing w:val="0"/>
          <w:w w:val="100"/>
          <w:kern w:val="0"/>
          <w:szCs w:val="20"/>
          <w:lang w:val="fr-CH"/>
        </w:rPr>
        <w:t>Il a été rappelé que le texte des autorisations spéciales, accords spéciaux, dérogations et équivalences, ainsi que les informations sur leur situation, et le texte des notifications étaient disponibles sur le site Web du secrétariat (</w:t>
      </w:r>
      <w:hyperlink r:id="rId15" w:history="1">
        <w:r w:rsidR="00834BBB" w:rsidRPr="0052681A">
          <w:rPr>
            <w:rStyle w:val="Hyperlink"/>
            <w:rFonts w:eastAsia="Times New Roman"/>
            <w:color w:val="auto"/>
            <w:spacing w:val="0"/>
            <w:w w:val="100"/>
            <w:kern w:val="0"/>
            <w:szCs w:val="20"/>
            <w:u w:val="none"/>
            <w:lang w:val="fr-CH"/>
          </w:rPr>
          <w:t>http://www.unece.org/trans/danger/danger.htm</w:t>
        </w:r>
      </w:hyperlink>
      <w:r w:rsidRPr="0052681A">
        <w:rPr>
          <w:rFonts w:eastAsia="Times New Roman"/>
          <w:spacing w:val="0"/>
          <w:w w:val="100"/>
          <w:kern w:val="0"/>
          <w:szCs w:val="20"/>
          <w:lang w:val="fr-CH"/>
        </w:rPr>
        <w:t>).</w:t>
      </w:r>
    </w:p>
    <w:p w:rsidR="00834BBB" w:rsidRPr="0052681A" w:rsidRDefault="00834BBB" w:rsidP="00834BBB">
      <w:pPr>
        <w:pStyle w:val="SingleTxt"/>
        <w:spacing w:after="0" w:line="120" w:lineRule="exact"/>
        <w:rPr>
          <w:rFonts w:eastAsia="Times New Roman"/>
          <w:spacing w:val="0"/>
          <w:w w:val="100"/>
          <w:kern w:val="0"/>
          <w:sz w:val="10"/>
          <w:szCs w:val="20"/>
          <w:lang w:val="fr-CH"/>
        </w:rPr>
      </w:pPr>
    </w:p>
    <w:p w:rsidR="00834BBB" w:rsidRPr="0052681A" w:rsidRDefault="00834BBB" w:rsidP="00834BBB">
      <w:pPr>
        <w:pStyle w:val="SingleTxt"/>
        <w:spacing w:after="0" w:line="120" w:lineRule="exact"/>
        <w:rPr>
          <w:rFonts w:eastAsia="Times New Roman"/>
          <w:snapToGrid w:val="0"/>
          <w:spacing w:val="0"/>
          <w:w w:val="100"/>
          <w:kern w:val="0"/>
          <w:sz w:val="10"/>
          <w:szCs w:val="20"/>
          <w:lang w:val="fr-CH"/>
        </w:rPr>
      </w:pPr>
    </w:p>
    <w:p w:rsidR="000C6EEF" w:rsidRPr="0052681A" w:rsidRDefault="000C6EEF" w:rsidP="00834BB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CH"/>
        </w:rPr>
      </w:pPr>
      <w:r w:rsidRPr="0052681A">
        <w:rPr>
          <w:w w:val="100"/>
          <w:lang w:val="fr-CH"/>
        </w:rPr>
        <w:tab/>
        <w:t>C.</w:t>
      </w:r>
      <w:r w:rsidRPr="0052681A">
        <w:rPr>
          <w:w w:val="100"/>
          <w:lang w:val="fr-CH"/>
        </w:rPr>
        <w:tab/>
        <w:t>Notifications diverses</w:t>
      </w:r>
    </w:p>
    <w:p w:rsidR="00834BBB" w:rsidRPr="0052681A" w:rsidRDefault="00834BBB" w:rsidP="00834BBB">
      <w:pPr>
        <w:pStyle w:val="SingleTxt"/>
        <w:spacing w:after="0" w:line="120" w:lineRule="exact"/>
        <w:rPr>
          <w:sz w:val="10"/>
          <w:lang w:val="fr-CH"/>
        </w:rPr>
      </w:pPr>
    </w:p>
    <w:p w:rsidR="00834BBB" w:rsidRPr="0052681A" w:rsidRDefault="00834BBB" w:rsidP="00834BBB">
      <w:pPr>
        <w:pStyle w:val="SingleTxt"/>
        <w:spacing w:after="0" w:line="120" w:lineRule="exact"/>
        <w:rPr>
          <w:sz w:val="10"/>
          <w:lang w:val="fr-CH"/>
        </w:rPr>
      </w:pPr>
    </w:p>
    <w:p w:rsidR="000C6EEF" w:rsidRPr="0052681A" w:rsidRDefault="000C6EEF" w:rsidP="00834BBB">
      <w:pPr>
        <w:pStyle w:val="SingleTxt"/>
        <w:rPr>
          <w:snapToGrid w:val="0"/>
          <w:w w:val="100"/>
          <w:lang w:val="fr-CH"/>
        </w:rPr>
      </w:pPr>
      <w:r w:rsidRPr="0052681A">
        <w:rPr>
          <w:i/>
          <w:w w:val="100"/>
          <w:lang w:val="fr-CH"/>
        </w:rPr>
        <w:t>Documents informels</w:t>
      </w:r>
      <w:r w:rsidR="00834BBB" w:rsidRPr="0052681A">
        <w:rPr>
          <w:i/>
          <w:w w:val="100"/>
          <w:lang w:val="fr-CH"/>
        </w:rPr>
        <w:t> </w:t>
      </w:r>
      <w:r w:rsidRPr="0052681A">
        <w:rPr>
          <w:w w:val="100"/>
          <w:lang w:val="fr-CH"/>
        </w:rPr>
        <w:t>: INF.1 et INF.2.</w:t>
      </w:r>
    </w:p>
    <w:p w:rsidR="000C6EEF" w:rsidRPr="0052681A" w:rsidRDefault="000C6EEF" w:rsidP="006D6351">
      <w:pPr>
        <w:pStyle w:val="SingleTxt"/>
        <w:numPr>
          <w:ilvl w:val="0"/>
          <w:numId w:val="10"/>
        </w:numPr>
        <w:tabs>
          <w:tab w:val="clear" w:pos="475"/>
          <w:tab w:val="num" w:pos="1742"/>
        </w:tabs>
        <w:ind w:left="1267"/>
        <w:rPr>
          <w:rFonts w:eastAsia="Times New Roman"/>
          <w:snapToGrid w:val="0"/>
          <w:spacing w:val="0"/>
          <w:w w:val="100"/>
          <w:kern w:val="0"/>
          <w:szCs w:val="20"/>
          <w:lang w:val="fr-CH"/>
        </w:rPr>
      </w:pPr>
      <w:r w:rsidRPr="0052681A">
        <w:rPr>
          <w:rFonts w:eastAsia="Times New Roman"/>
          <w:spacing w:val="0"/>
          <w:w w:val="100"/>
          <w:kern w:val="0"/>
          <w:szCs w:val="20"/>
          <w:lang w:val="fr-CH"/>
        </w:rPr>
        <w:t>Le Comité d’administration a noté que le Gouvernement de la République tchèque avait fourni des renseignements sur l’agrément d’un organisme de visite dans le cadre de l’ADN conformément aux dispositions du paragraphe 1.16.4 (document informel INF.1). Le Comité a pensé que cet organisme pourrait être invité à participer à une prochaine réunion des sociétés de classification ADN recommandées. Le Comité a également noté que le Gouvernement allemand avait communiqué un rapport d’accident conformément aux dispositions du paragraphe 1.8.5.2 (document informel INF.2).</w:t>
      </w:r>
    </w:p>
    <w:p w:rsidR="00834BBB" w:rsidRPr="0052681A" w:rsidRDefault="00834BBB" w:rsidP="00834BBB">
      <w:pPr>
        <w:pStyle w:val="SingleTxt"/>
        <w:spacing w:after="0" w:line="120" w:lineRule="exact"/>
        <w:rPr>
          <w:rFonts w:eastAsia="Times New Roman"/>
          <w:spacing w:val="0"/>
          <w:w w:val="100"/>
          <w:kern w:val="0"/>
          <w:sz w:val="10"/>
          <w:szCs w:val="20"/>
          <w:lang w:val="fr-CH"/>
        </w:rPr>
      </w:pPr>
    </w:p>
    <w:p w:rsidR="00834BBB" w:rsidRPr="0052681A" w:rsidRDefault="00834BBB" w:rsidP="00834BBB">
      <w:pPr>
        <w:pStyle w:val="SingleTxt"/>
        <w:spacing w:after="0" w:line="120" w:lineRule="exact"/>
        <w:rPr>
          <w:rFonts w:eastAsia="Times New Roman"/>
          <w:snapToGrid w:val="0"/>
          <w:spacing w:val="0"/>
          <w:w w:val="100"/>
          <w:kern w:val="0"/>
          <w:sz w:val="10"/>
          <w:szCs w:val="20"/>
          <w:lang w:val="fr-CH"/>
        </w:rPr>
      </w:pPr>
    </w:p>
    <w:p w:rsidR="000C6EEF" w:rsidRPr="0052681A" w:rsidRDefault="000C6EEF" w:rsidP="00834BB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CH"/>
        </w:rPr>
      </w:pPr>
      <w:r w:rsidRPr="0052681A">
        <w:rPr>
          <w:w w:val="100"/>
          <w:lang w:val="fr-CH"/>
        </w:rPr>
        <w:tab/>
        <w:t>D.</w:t>
      </w:r>
      <w:r w:rsidRPr="0052681A">
        <w:rPr>
          <w:w w:val="100"/>
          <w:lang w:val="fr-CH"/>
        </w:rPr>
        <w:tab/>
        <w:t>Autres questions</w:t>
      </w:r>
    </w:p>
    <w:p w:rsidR="00834BBB" w:rsidRPr="0052681A" w:rsidRDefault="00834BBB" w:rsidP="00834BBB">
      <w:pPr>
        <w:pStyle w:val="SingleTxt"/>
        <w:spacing w:after="0" w:line="120" w:lineRule="exact"/>
        <w:rPr>
          <w:sz w:val="10"/>
          <w:lang w:val="fr-CH"/>
        </w:rPr>
      </w:pPr>
    </w:p>
    <w:p w:rsidR="00834BBB" w:rsidRPr="0052681A" w:rsidRDefault="00834BBB" w:rsidP="00834BBB">
      <w:pPr>
        <w:pStyle w:val="SingleTxt"/>
        <w:spacing w:after="0" w:line="120" w:lineRule="exact"/>
        <w:rPr>
          <w:sz w:val="10"/>
          <w:lang w:val="fr-CH"/>
        </w:rPr>
      </w:pPr>
    </w:p>
    <w:p w:rsidR="000C6EEF" w:rsidRPr="0052681A" w:rsidRDefault="000C6EEF" w:rsidP="006D6351">
      <w:pPr>
        <w:pStyle w:val="SingleTxt"/>
        <w:numPr>
          <w:ilvl w:val="0"/>
          <w:numId w:val="10"/>
        </w:numPr>
        <w:tabs>
          <w:tab w:val="clear" w:pos="475"/>
          <w:tab w:val="num" w:pos="1742"/>
        </w:tabs>
        <w:ind w:left="1267"/>
        <w:rPr>
          <w:rFonts w:eastAsia="Times New Roman"/>
          <w:snapToGrid w:val="0"/>
          <w:spacing w:val="0"/>
          <w:w w:val="100"/>
          <w:kern w:val="0"/>
          <w:szCs w:val="20"/>
          <w:lang w:val="fr-CH"/>
        </w:rPr>
      </w:pPr>
      <w:r w:rsidRPr="0052681A">
        <w:rPr>
          <w:rFonts w:eastAsia="Times New Roman"/>
          <w:spacing w:val="0"/>
          <w:w w:val="100"/>
          <w:kern w:val="0"/>
          <w:szCs w:val="20"/>
          <w:lang w:val="fr-CH"/>
        </w:rPr>
        <w:t>Le Comité a invité les pays à vérifier les coordonnées de leur autorité compétente et, s’ils ne l’avaient pas déjà fait, à agréer les sociétés de classification de la liste recommandée, conformément aux dispositions du paragraphe 1.15.2.4 du Règlement annexé.</w:t>
      </w:r>
    </w:p>
    <w:p w:rsidR="00834BBB" w:rsidRPr="0052681A" w:rsidRDefault="00834BBB" w:rsidP="00834BBB">
      <w:pPr>
        <w:pStyle w:val="SingleTxt"/>
        <w:spacing w:after="0" w:line="120" w:lineRule="exact"/>
        <w:rPr>
          <w:rFonts w:eastAsia="Times New Roman"/>
          <w:spacing w:val="0"/>
          <w:w w:val="100"/>
          <w:kern w:val="0"/>
          <w:sz w:val="10"/>
          <w:szCs w:val="20"/>
          <w:lang w:val="fr-CH"/>
        </w:rPr>
      </w:pPr>
    </w:p>
    <w:p w:rsidR="00834BBB" w:rsidRPr="0052681A" w:rsidRDefault="00834BBB" w:rsidP="00834BBB">
      <w:pPr>
        <w:pStyle w:val="SingleTxt"/>
        <w:spacing w:after="0" w:line="120" w:lineRule="exact"/>
        <w:rPr>
          <w:rFonts w:eastAsia="Times New Roman"/>
          <w:snapToGrid w:val="0"/>
          <w:spacing w:val="0"/>
          <w:w w:val="100"/>
          <w:kern w:val="0"/>
          <w:sz w:val="10"/>
          <w:szCs w:val="20"/>
          <w:lang w:val="fr-CH"/>
        </w:rPr>
      </w:pPr>
    </w:p>
    <w:p w:rsidR="000C6EEF" w:rsidRPr="0052681A" w:rsidRDefault="000C6EEF" w:rsidP="00834BB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CH"/>
        </w:rPr>
      </w:pPr>
      <w:r w:rsidRPr="0052681A">
        <w:rPr>
          <w:w w:val="100"/>
          <w:lang w:val="fr-CH"/>
        </w:rPr>
        <w:tab/>
        <w:t>V.</w:t>
      </w:r>
      <w:r w:rsidRPr="0052681A">
        <w:rPr>
          <w:w w:val="100"/>
          <w:lang w:val="fr-CH"/>
        </w:rPr>
        <w:tab/>
        <w:t xml:space="preserve">Travaux du Comité de sécurité </w:t>
      </w:r>
      <w:r w:rsidR="00834BBB" w:rsidRPr="0052681A">
        <w:rPr>
          <w:w w:val="100"/>
          <w:lang w:val="fr-CH"/>
        </w:rPr>
        <w:br/>
      </w:r>
      <w:r w:rsidRPr="0052681A">
        <w:rPr>
          <w:w w:val="100"/>
          <w:lang w:val="fr-CH"/>
        </w:rPr>
        <w:t>(point 4 de l’ordre du jour)</w:t>
      </w:r>
    </w:p>
    <w:p w:rsidR="00834BBB" w:rsidRPr="0052681A" w:rsidRDefault="00834BBB" w:rsidP="00834BBB">
      <w:pPr>
        <w:pStyle w:val="SingleTxt"/>
        <w:spacing w:after="0" w:line="120" w:lineRule="exact"/>
        <w:rPr>
          <w:sz w:val="10"/>
          <w:lang w:val="fr-CH"/>
        </w:rPr>
      </w:pPr>
    </w:p>
    <w:p w:rsidR="00834BBB" w:rsidRPr="0052681A" w:rsidRDefault="00834BBB" w:rsidP="00834BBB">
      <w:pPr>
        <w:pStyle w:val="SingleTxt"/>
        <w:spacing w:after="0" w:line="120" w:lineRule="exact"/>
        <w:rPr>
          <w:sz w:val="10"/>
          <w:lang w:val="fr-CH"/>
        </w:rPr>
      </w:pPr>
    </w:p>
    <w:p w:rsidR="000C6EEF" w:rsidRPr="0052681A" w:rsidRDefault="000C6EEF" w:rsidP="006D6351">
      <w:pPr>
        <w:pStyle w:val="SingleTxt"/>
        <w:numPr>
          <w:ilvl w:val="0"/>
          <w:numId w:val="10"/>
        </w:numPr>
        <w:tabs>
          <w:tab w:val="clear" w:pos="475"/>
          <w:tab w:val="num" w:pos="1742"/>
        </w:tabs>
        <w:ind w:left="1267"/>
        <w:rPr>
          <w:rFonts w:eastAsia="Times New Roman"/>
          <w:snapToGrid w:val="0"/>
          <w:spacing w:val="0"/>
          <w:w w:val="100"/>
          <w:kern w:val="0"/>
          <w:szCs w:val="20"/>
          <w:lang w:val="fr-CH"/>
        </w:rPr>
      </w:pPr>
      <w:r w:rsidRPr="0052681A">
        <w:rPr>
          <w:rFonts w:eastAsia="Times New Roman"/>
          <w:spacing w:val="0"/>
          <w:w w:val="100"/>
          <w:kern w:val="0"/>
          <w:szCs w:val="20"/>
          <w:lang w:val="fr-CH"/>
        </w:rPr>
        <w:t>Le Comité a pris note des travaux du Comité de sécurité tels que présentés dans le rapport sur sa vingt-septième session, approuvé sur la base du projet de rapport établi par le secrétariat (ECE/TRANS/WP.15/AC.2/2015</w:t>
      </w:r>
      <w:r w:rsidR="00754A41" w:rsidRPr="0052681A">
        <w:rPr>
          <w:rFonts w:eastAsia="Times New Roman"/>
          <w:spacing w:val="0"/>
          <w:w w:val="100"/>
          <w:kern w:val="0"/>
          <w:szCs w:val="20"/>
          <w:lang w:val="fr-CH"/>
        </w:rPr>
        <w:t>/CRP.3 et Add.1-7 et ECE/TRANS/</w:t>
      </w:r>
      <w:r w:rsidRPr="0052681A">
        <w:rPr>
          <w:rFonts w:eastAsia="Times New Roman"/>
          <w:spacing w:val="0"/>
          <w:w w:val="100"/>
          <w:kern w:val="0"/>
          <w:szCs w:val="20"/>
          <w:lang w:val="fr-CH"/>
        </w:rPr>
        <w:t>WP.15/</w:t>
      </w:r>
      <w:r w:rsidR="00754A41" w:rsidRPr="0052681A">
        <w:rPr>
          <w:rFonts w:eastAsia="Times New Roman"/>
          <w:spacing w:val="0"/>
          <w:w w:val="100"/>
          <w:kern w:val="0"/>
          <w:szCs w:val="20"/>
          <w:lang w:val="fr-CH"/>
        </w:rPr>
        <w:t xml:space="preserve"> </w:t>
      </w:r>
      <w:r w:rsidRPr="0052681A">
        <w:rPr>
          <w:rFonts w:eastAsia="Times New Roman"/>
          <w:spacing w:val="0"/>
          <w:w w:val="100"/>
          <w:kern w:val="0"/>
          <w:szCs w:val="20"/>
          <w:lang w:val="fr-CH"/>
        </w:rPr>
        <w:t xml:space="preserve">AC.2/2015/CRP.4 et Add.1) et adopté par le Comité de sécurité au cours de la lecture du rapport (ECE/TRANS/WP.15/AC.2/56). </w:t>
      </w:r>
    </w:p>
    <w:p w:rsidR="000C6EEF" w:rsidRPr="0052681A" w:rsidRDefault="000C6EEF" w:rsidP="006D6351">
      <w:pPr>
        <w:pStyle w:val="SingleTxt"/>
        <w:numPr>
          <w:ilvl w:val="0"/>
          <w:numId w:val="10"/>
        </w:numPr>
        <w:tabs>
          <w:tab w:val="clear" w:pos="475"/>
          <w:tab w:val="num" w:pos="1742"/>
        </w:tabs>
        <w:ind w:left="1267"/>
        <w:rPr>
          <w:rFonts w:eastAsia="Times New Roman"/>
          <w:snapToGrid w:val="0"/>
          <w:spacing w:val="0"/>
          <w:w w:val="100"/>
          <w:kern w:val="0"/>
          <w:szCs w:val="20"/>
          <w:lang w:val="fr-CH"/>
        </w:rPr>
      </w:pPr>
      <w:r w:rsidRPr="0052681A">
        <w:rPr>
          <w:rFonts w:eastAsia="Times New Roman"/>
          <w:spacing w:val="0"/>
          <w:w w:val="100"/>
          <w:kern w:val="0"/>
          <w:szCs w:val="20"/>
          <w:lang w:val="fr-CH"/>
        </w:rPr>
        <w:t>Le Comité a décidé d’examiner en bloc à sa seizième session, le 29</w:t>
      </w:r>
      <w:r w:rsidR="00754A41" w:rsidRPr="0052681A">
        <w:rPr>
          <w:rFonts w:eastAsia="Times New Roman"/>
          <w:spacing w:val="0"/>
          <w:w w:val="100"/>
          <w:kern w:val="0"/>
          <w:szCs w:val="20"/>
          <w:lang w:val="fr-CH"/>
        </w:rPr>
        <w:t> </w:t>
      </w:r>
      <w:r w:rsidRPr="0052681A">
        <w:rPr>
          <w:rFonts w:eastAsia="Times New Roman"/>
          <w:spacing w:val="0"/>
          <w:w w:val="100"/>
          <w:kern w:val="0"/>
          <w:szCs w:val="20"/>
          <w:lang w:val="fr-CH"/>
        </w:rPr>
        <w:t>janvier 2016, les amendements qu’il était proposé d’apporter au Règlement annexé à l’ADN, qui prendront effet le 1</w:t>
      </w:r>
      <w:r w:rsidRPr="0052681A">
        <w:rPr>
          <w:rFonts w:eastAsia="Times New Roman"/>
          <w:spacing w:val="0"/>
          <w:w w:val="100"/>
          <w:kern w:val="0"/>
          <w:szCs w:val="20"/>
          <w:vertAlign w:val="superscript"/>
          <w:lang w:val="fr-CH"/>
        </w:rPr>
        <w:t>er</w:t>
      </w:r>
      <w:r w:rsidR="00754A41" w:rsidRPr="0052681A">
        <w:rPr>
          <w:rFonts w:eastAsia="Times New Roman"/>
          <w:spacing w:val="0"/>
          <w:w w:val="100"/>
          <w:kern w:val="0"/>
          <w:szCs w:val="20"/>
          <w:lang w:val="fr-CH"/>
        </w:rPr>
        <w:t> </w:t>
      </w:r>
      <w:r w:rsidRPr="0052681A">
        <w:rPr>
          <w:rFonts w:eastAsia="Times New Roman"/>
          <w:spacing w:val="0"/>
          <w:w w:val="100"/>
          <w:kern w:val="0"/>
          <w:szCs w:val="20"/>
          <w:lang w:val="fr-CH"/>
        </w:rPr>
        <w:t xml:space="preserve">janvier 2017, tels qu’ils sont présentés à l’annexe I du document ECE/TRANS/WP.15/AC.2/56, ainsi que tous les autres projets d’amendements adoptés en 2014 et 2015, qui n’avaient pas encore été approuvés par le Comité d’administration. </w:t>
      </w:r>
    </w:p>
    <w:p w:rsidR="00834BBB" w:rsidRPr="0052681A" w:rsidRDefault="00834BBB" w:rsidP="00834BBB">
      <w:pPr>
        <w:pStyle w:val="SingleTxt"/>
        <w:spacing w:after="0" w:line="120" w:lineRule="exact"/>
        <w:rPr>
          <w:rFonts w:eastAsia="Times New Roman"/>
          <w:spacing w:val="0"/>
          <w:w w:val="100"/>
          <w:kern w:val="0"/>
          <w:sz w:val="10"/>
          <w:szCs w:val="20"/>
          <w:lang w:val="fr-CH"/>
        </w:rPr>
      </w:pPr>
    </w:p>
    <w:p w:rsidR="00834BBB" w:rsidRPr="0052681A" w:rsidRDefault="00834BBB" w:rsidP="00834BBB">
      <w:pPr>
        <w:pStyle w:val="SingleTxt"/>
        <w:spacing w:after="0" w:line="120" w:lineRule="exact"/>
        <w:rPr>
          <w:rFonts w:eastAsia="Times New Roman"/>
          <w:snapToGrid w:val="0"/>
          <w:spacing w:val="0"/>
          <w:w w:val="100"/>
          <w:kern w:val="0"/>
          <w:sz w:val="10"/>
          <w:szCs w:val="20"/>
          <w:lang w:val="fr-CH"/>
        </w:rPr>
      </w:pPr>
    </w:p>
    <w:p w:rsidR="00834BBB" w:rsidRPr="0052681A" w:rsidRDefault="000C6EEF" w:rsidP="00834BB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CH"/>
        </w:rPr>
      </w:pPr>
      <w:r w:rsidRPr="0052681A">
        <w:rPr>
          <w:w w:val="100"/>
          <w:lang w:val="fr-CH"/>
        </w:rPr>
        <w:tab/>
        <w:t>VI.</w:t>
      </w:r>
      <w:r w:rsidRPr="0052681A">
        <w:rPr>
          <w:w w:val="100"/>
          <w:lang w:val="fr-CH"/>
        </w:rPr>
        <w:tab/>
        <w:t xml:space="preserve">Programme de travail et calendrier des réunions </w:t>
      </w:r>
      <w:r w:rsidR="00834BBB" w:rsidRPr="0052681A">
        <w:rPr>
          <w:w w:val="100"/>
          <w:lang w:val="fr-CH"/>
        </w:rPr>
        <w:br/>
      </w:r>
      <w:r w:rsidRPr="0052681A">
        <w:rPr>
          <w:w w:val="100"/>
          <w:lang w:val="fr-CH"/>
        </w:rPr>
        <w:t xml:space="preserve">(point 5 de l’ordre du jour) </w:t>
      </w:r>
    </w:p>
    <w:p w:rsidR="00834BBB" w:rsidRPr="0052681A" w:rsidRDefault="00834BBB" w:rsidP="00834BBB">
      <w:pPr>
        <w:pStyle w:val="SingleTxt"/>
        <w:spacing w:after="0" w:line="120" w:lineRule="exact"/>
        <w:rPr>
          <w:sz w:val="10"/>
          <w:lang w:val="fr-CH"/>
        </w:rPr>
      </w:pPr>
    </w:p>
    <w:p w:rsidR="00834BBB" w:rsidRPr="0052681A" w:rsidRDefault="00834BBB" w:rsidP="00834BBB">
      <w:pPr>
        <w:pStyle w:val="SingleTxt"/>
        <w:spacing w:after="0" w:line="120" w:lineRule="exact"/>
        <w:rPr>
          <w:sz w:val="10"/>
          <w:lang w:val="fr-CH"/>
        </w:rPr>
      </w:pPr>
    </w:p>
    <w:p w:rsidR="000C6EEF" w:rsidRPr="0052681A" w:rsidRDefault="000C6EEF" w:rsidP="00834BBB">
      <w:pPr>
        <w:pStyle w:val="SingleTxt"/>
        <w:numPr>
          <w:ilvl w:val="0"/>
          <w:numId w:val="10"/>
        </w:numPr>
        <w:tabs>
          <w:tab w:val="clear" w:pos="475"/>
          <w:tab w:val="num" w:pos="1742"/>
        </w:tabs>
        <w:ind w:left="1267"/>
        <w:rPr>
          <w:snapToGrid w:val="0"/>
          <w:w w:val="100"/>
          <w:lang w:val="fr-CH"/>
        </w:rPr>
      </w:pPr>
      <w:r w:rsidRPr="0052681A">
        <w:rPr>
          <w:w w:val="100"/>
          <w:lang w:val="fr-CH"/>
        </w:rPr>
        <w:t>Le Comité a noté que sa proch</w:t>
      </w:r>
      <w:r w:rsidR="00754A41" w:rsidRPr="0052681A">
        <w:rPr>
          <w:w w:val="100"/>
          <w:lang w:val="fr-CH"/>
        </w:rPr>
        <w:t>aine session se tiendrait le 29 </w:t>
      </w:r>
      <w:r w:rsidRPr="0052681A">
        <w:rPr>
          <w:w w:val="100"/>
          <w:lang w:val="fr-CH"/>
        </w:rPr>
        <w:t>janvier 2016 à midi et que la date limite de soumission des documents</w:t>
      </w:r>
      <w:r w:rsidR="00754A41" w:rsidRPr="0052681A">
        <w:rPr>
          <w:w w:val="100"/>
          <w:lang w:val="fr-CH"/>
        </w:rPr>
        <w:t xml:space="preserve"> pour cette réunion était le 30 </w:t>
      </w:r>
      <w:r w:rsidRPr="0052681A">
        <w:rPr>
          <w:w w:val="100"/>
          <w:lang w:val="fr-CH"/>
        </w:rPr>
        <w:t xml:space="preserve">octobre 2015. </w:t>
      </w:r>
    </w:p>
    <w:p w:rsidR="00834BBB" w:rsidRPr="0052681A" w:rsidRDefault="00834BBB" w:rsidP="00834BBB">
      <w:pPr>
        <w:pStyle w:val="SingleTxt"/>
        <w:spacing w:after="0" w:line="120" w:lineRule="exact"/>
        <w:rPr>
          <w:w w:val="100"/>
          <w:sz w:val="10"/>
          <w:lang w:val="fr-CH"/>
        </w:rPr>
      </w:pPr>
    </w:p>
    <w:p w:rsidR="00834BBB" w:rsidRPr="0052681A" w:rsidRDefault="00834BBB" w:rsidP="00834BBB">
      <w:pPr>
        <w:pStyle w:val="SingleTxt"/>
        <w:spacing w:after="0" w:line="120" w:lineRule="exact"/>
        <w:rPr>
          <w:snapToGrid w:val="0"/>
          <w:w w:val="100"/>
          <w:sz w:val="10"/>
          <w:lang w:val="fr-CH"/>
        </w:rPr>
      </w:pPr>
    </w:p>
    <w:p w:rsidR="000C6EEF" w:rsidRPr="0052681A" w:rsidRDefault="000C6EEF" w:rsidP="00834BBB">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CH"/>
        </w:rPr>
      </w:pPr>
      <w:r w:rsidRPr="0052681A">
        <w:rPr>
          <w:w w:val="100"/>
          <w:lang w:val="fr-CH"/>
        </w:rPr>
        <w:tab/>
        <w:t>VII.</w:t>
      </w:r>
      <w:r w:rsidRPr="0052681A">
        <w:rPr>
          <w:w w:val="100"/>
          <w:lang w:val="fr-CH"/>
        </w:rPr>
        <w:tab/>
        <w:t>Questions diverses (point 6 de l’ordre du jour)</w:t>
      </w:r>
    </w:p>
    <w:p w:rsidR="00834BBB" w:rsidRPr="0052681A" w:rsidRDefault="00834BBB" w:rsidP="00834BBB">
      <w:pPr>
        <w:pStyle w:val="SingleTxt"/>
        <w:spacing w:after="0" w:line="120" w:lineRule="exact"/>
        <w:rPr>
          <w:sz w:val="10"/>
          <w:lang w:val="fr-CH"/>
        </w:rPr>
      </w:pPr>
    </w:p>
    <w:p w:rsidR="00834BBB" w:rsidRPr="0052681A" w:rsidRDefault="00834BBB" w:rsidP="00834BBB">
      <w:pPr>
        <w:pStyle w:val="SingleTxt"/>
        <w:spacing w:after="0" w:line="120" w:lineRule="exact"/>
        <w:rPr>
          <w:sz w:val="10"/>
          <w:lang w:val="fr-CH"/>
        </w:rPr>
      </w:pPr>
    </w:p>
    <w:p w:rsidR="000C6EEF" w:rsidRPr="0052681A" w:rsidRDefault="000C6EEF" w:rsidP="006D6351">
      <w:pPr>
        <w:pStyle w:val="SingleTxt"/>
        <w:numPr>
          <w:ilvl w:val="0"/>
          <w:numId w:val="10"/>
        </w:numPr>
        <w:tabs>
          <w:tab w:val="clear" w:pos="475"/>
          <w:tab w:val="num" w:pos="1742"/>
        </w:tabs>
        <w:ind w:left="1267"/>
        <w:rPr>
          <w:rFonts w:eastAsia="Times New Roman"/>
          <w:spacing w:val="0"/>
          <w:w w:val="100"/>
          <w:kern w:val="0"/>
          <w:szCs w:val="20"/>
          <w:lang w:val="fr-CH"/>
        </w:rPr>
      </w:pPr>
      <w:r w:rsidRPr="0052681A">
        <w:rPr>
          <w:rFonts w:eastAsia="Times New Roman"/>
          <w:spacing w:val="0"/>
          <w:w w:val="100"/>
          <w:kern w:val="0"/>
          <w:szCs w:val="20"/>
          <w:lang w:val="fr-CH"/>
        </w:rPr>
        <w:t>Aucune question n’a été soulevée au titre de ce point de l’ordre du jour.</w:t>
      </w:r>
    </w:p>
    <w:p w:rsidR="00834BBB" w:rsidRPr="0052681A" w:rsidRDefault="00834BBB" w:rsidP="00834BBB">
      <w:pPr>
        <w:pStyle w:val="SingleTxt"/>
        <w:spacing w:after="0" w:line="120" w:lineRule="exact"/>
        <w:rPr>
          <w:rFonts w:eastAsia="Times New Roman"/>
          <w:spacing w:val="0"/>
          <w:w w:val="100"/>
          <w:kern w:val="0"/>
          <w:sz w:val="10"/>
          <w:szCs w:val="20"/>
          <w:lang w:val="fr-CH"/>
        </w:rPr>
      </w:pPr>
    </w:p>
    <w:p w:rsidR="00834BBB" w:rsidRPr="0052681A" w:rsidRDefault="00834BBB" w:rsidP="00834BBB">
      <w:pPr>
        <w:pStyle w:val="SingleTxt"/>
        <w:spacing w:after="0" w:line="120" w:lineRule="exact"/>
        <w:rPr>
          <w:rFonts w:eastAsia="Times New Roman"/>
          <w:spacing w:val="0"/>
          <w:w w:val="100"/>
          <w:kern w:val="0"/>
          <w:sz w:val="10"/>
          <w:szCs w:val="20"/>
          <w:lang w:val="fr-CH"/>
        </w:rPr>
      </w:pPr>
    </w:p>
    <w:p w:rsidR="000C6EEF" w:rsidRPr="0052681A" w:rsidRDefault="000C6EEF" w:rsidP="00834BBB">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CH"/>
        </w:rPr>
      </w:pPr>
      <w:r w:rsidRPr="0052681A">
        <w:rPr>
          <w:w w:val="100"/>
          <w:lang w:val="fr-CH"/>
        </w:rPr>
        <w:tab/>
        <w:t>VIII.</w:t>
      </w:r>
      <w:r w:rsidRPr="0052681A">
        <w:rPr>
          <w:w w:val="100"/>
          <w:lang w:val="fr-CH"/>
        </w:rPr>
        <w:tab/>
        <w:t>Adoption du rapport (point 7 de l’ordre du jour)</w:t>
      </w:r>
    </w:p>
    <w:p w:rsidR="00834BBB" w:rsidRPr="0052681A" w:rsidRDefault="00834BBB" w:rsidP="00834BBB">
      <w:pPr>
        <w:pStyle w:val="SingleTxt"/>
        <w:spacing w:after="0" w:line="120" w:lineRule="exact"/>
        <w:rPr>
          <w:sz w:val="10"/>
          <w:lang w:val="fr-CH"/>
        </w:rPr>
      </w:pPr>
    </w:p>
    <w:p w:rsidR="00834BBB" w:rsidRPr="0052681A" w:rsidRDefault="00834BBB" w:rsidP="00834BBB">
      <w:pPr>
        <w:pStyle w:val="SingleTxt"/>
        <w:spacing w:after="0" w:line="120" w:lineRule="exact"/>
        <w:rPr>
          <w:sz w:val="10"/>
          <w:lang w:val="fr-CH"/>
        </w:rPr>
      </w:pPr>
    </w:p>
    <w:p w:rsidR="000C6EEF" w:rsidRPr="0052681A" w:rsidRDefault="000C6EEF" w:rsidP="006D6351">
      <w:pPr>
        <w:pStyle w:val="SingleTxt"/>
        <w:numPr>
          <w:ilvl w:val="0"/>
          <w:numId w:val="10"/>
        </w:numPr>
        <w:tabs>
          <w:tab w:val="clear" w:pos="475"/>
          <w:tab w:val="num" w:pos="1742"/>
        </w:tabs>
        <w:ind w:left="1267"/>
        <w:rPr>
          <w:rFonts w:eastAsia="Times New Roman"/>
          <w:snapToGrid w:val="0"/>
          <w:spacing w:val="0"/>
          <w:w w:val="100"/>
          <w:kern w:val="0"/>
          <w:szCs w:val="20"/>
          <w:lang w:val="fr-CH"/>
        </w:rPr>
      </w:pPr>
      <w:r w:rsidRPr="0052681A">
        <w:rPr>
          <w:rFonts w:eastAsia="Times New Roman"/>
          <w:spacing w:val="0"/>
          <w:w w:val="100"/>
          <w:kern w:val="0"/>
          <w:szCs w:val="20"/>
          <w:lang w:val="fr-CH"/>
        </w:rPr>
        <w:t xml:space="preserve">Le Comité d’administration a adopté le rapport sur sa quinzième session en se fondant sur un projet établi par le secrétariat et adressé aux participants pour approbation après la </w:t>
      </w:r>
      <w:r w:rsidRPr="0052681A">
        <w:rPr>
          <w:rFonts w:eastAsia="Times New Roman"/>
          <w:b/>
          <w:spacing w:val="0"/>
          <w:w w:val="100"/>
          <w:kern w:val="0"/>
          <w:szCs w:val="20"/>
          <w:lang w:val="fr-CH"/>
        </w:rPr>
        <w:t>s</w:t>
      </w:r>
      <w:r w:rsidRPr="0052681A">
        <w:rPr>
          <w:rFonts w:eastAsia="Times New Roman"/>
          <w:spacing w:val="0"/>
          <w:w w:val="100"/>
          <w:kern w:val="0"/>
          <w:szCs w:val="20"/>
          <w:lang w:val="fr-CH"/>
        </w:rPr>
        <w:t>ession.</w:t>
      </w:r>
    </w:p>
    <w:p w:rsidR="00834BBB" w:rsidRPr="0052681A" w:rsidRDefault="00834BBB">
      <w:pPr>
        <w:spacing w:line="240" w:lineRule="auto"/>
        <w:rPr>
          <w:rFonts w:eastAsia="Times New Roman"/>
          <w:spacing w:val="0"/>
          <w:w w:val="100"/>
          <w:kern w:val="0"/>
          <w:szCs w:val="20"/>
          <w:lang w:val="fr-CH"/>
        </w:rPr>
      </w:pPr>
      <w:r w:rsidRPr="0052681A">
        <w:rPr>
          <w:rFonts w:eastAsia="Times New Roman"/>
          <w:spacing w:val="0"/>
          <w:w w:val="100"/>
          <w:kern w:val="0"/>
          <w:szCs w:val="20"/>
          <w:lang w:val="fr-CH"/>
        </w:rPr>
        <w:br w:type="page"/>
      </w:r>
    </w:p>
    <w:p w:rsidR="000C6EEF" w:rsidRPr="0052681A" w:rsidRDefault="000C6EEF" w:rsidP="00834BBB">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CH"/>
        </w:rPr>
      </w:pPr>
      <w:r w:rsidRPr="0052681A">
        <w:rPr>
          <w:w w:val="100"/>
          <w:lang w:val="fr-CH"/>
        </w:rPr>
        <w:t>Annexe I</w:t>
      </w:r>
    </w:p>
    <w:p w:rsidR="00834BBB" w:rsidRPr="0052681A" w:rsidRDefault="00834BBB" w:rsidP="00834BBB">
      <w:pPr>
        <w:pStyle w:val="SingleTxt"/>
        <w:spacing w:after="0" w:line="120" w:lineRule="exact"/>
        <w:rPr>
          <w:sz w:val="10"/>
          <w:lang w:val="fr-CH"/>
        </w:rPr>
      </w:pPr>
    </w:p>
    <w:p w:rsidR="00834BBB" w:rsidRPr="0052681A" w:rsidRDefault="00834BBB" w:rsidP="00834BBB">
      <w:pPr>
        <w:pStyle w:val="SingleTxt"/>
        <w:spacing w:after="0" w:line="120" w:lineRule="exact"/>
        <w:rPr>
          <w:sz w:val="10"/>
          <w:lang w:val="fr-CH"/>
        </w:rPr>
      </w:pPr>
    </w:p>
    <w:p w:rsidR="000C6EEF" w:rsidRPr="0052681A" w:rsidRDefault="000C6EEF" w:rsidP="00834BB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CH"/>
        </w:rPr>
      </w:pPr>
      <w:r w:rsidRPr="0052681A">
        <w:rPr>
          <w:w w:val="100"/>
          <w:lang w:val="fr-CH"/>
        </w:rPr>
        <w:tab/>
      </w:r>
      <w:r w:rsidRPr="0052681A">
        <w:rPr>
          <w:w w:val="100"/>
          <w:lang w:val="fr-CH"/>
        </w:rPr>
        <w:tab/>
        <w:t xml:space="preserve">Décision du Comité d’administration de l’ADN au sujet </w:t>
      </w:r>
      <w:r w:rsidR="00834BBB" w:rsidRPr="0052681A">
        <w:rPr>
          <w:w w:val="100"/>
          <w:lang w:val="fr-CH"/>
        </w:rPr>
        <w:br/>
      </w:r>
      <w:r w:rsidRPr="0052681A">
        <w:rPr>
          <w:w w:val="100"/>
          <w:lang w:val="fr-CH"/>
        </w:rPr>
        <w:t xml:space="preserve">du bateau-citerne </w:t>
      </w:r>
      <w:r w:rsidRPr="0052681A">
        <w:rPr>
          <w:i/>
          <w:w w:val="100"/>
          <w:lang w:val="fr-CH"/>
        </w:rPr>
        <w:t>Argos-GL</w:t>
      </w:r>
      <w:r w:rsidRPr="0052681A">
        <w:rPr>
          <w:w w:val="100"/>
          <w:lang w:val="fr-CH"/>
        </w:rPr>
        <w:t xml:space="preserve"> </w:t>
      </w:r>
    </w:p>
    <w:p w:rsidR="00834BBB" w:rsidRPr="0052681A" w:rsidRDefault="00834BBB" w:rsidP="00834BBB">
      <w:pPr>
        <w:pStyle w:val="SingleTxt"/>
        <w:spacing w:after="0" w:line="120" w:lineRule="exact"/>
        <w:rPr>
          <w:sz w:val="10"/>
          <w:lang w:val="fr-CH"/>
        </w:rPr>
      </w:pPr>
    </w:p>
    <w:p w:rsidR="00834BBB" w:rsidRPr="0052681A" w:rsidRDefault="00834BBB" w:rsidP="00834BBB">
      <w:pPr>
        <w:pStyle w:val="SingleTxt"/>
        <w:spacing w:after="0" w:line="120" w:lineRule="exact"/>
        <w:rPr>
          <w:sz w:val="10"/>
          <w:lang w:val="fr-CH"/>
        </w:rPr>
      </w:pPr>
    </w:p>
    <w:p w:rsidR="000C6EEF" w:rsidRPr="0052681A" w:rsidRDefault="000C6EEF" w:rsidP="00834BB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CH"/>
        </w:rPr>
      </w:pPr>
      <w:r w:rsidRPr="0052681A">
        <w:rPr>
          <w:w w:val="100"/>
          <w:lang w:val="fr-CH"/>
        </w:rPr>
        <w:tab/>
      </w:r>
      <w:r w:rsidRPr="0052681A">
        <w:rPr>
          <w:w w:val="100"/>
          <w:lang w:val="fr-CH"/>
        </w:rPr>
        <w:tab/>
        <w:t>Dérogation n</w:t>
      </w:r>
      <w:r w:rsidRPr="0052681A">
        <w:rPr>
          <w:w w:val="100"/>
          <w:vertAlign w:val="superscript"/>
          <w:lang w:val="fr-CH"/>
        </w:rPr>
        <w:t>o </w:t>
      </w:r>
      <w:r w:rsidR="00754A41" w:rsidRPr="0052681A">
        <w:rPr>
          <w:w w:val="100"/>
          <w:lang w:val="fr-CH"/>
        </w:rPr>
        <w:t>1/2015 du 28 </w:t>
      </w:r>
      <w:r w:rsidRPr="0052681A">
        <w:rPr>
          <w:w w:val="100"/>
          <w:lang w:val="fr-CH"/>
        </w:rPr>
        <w:t>août 2015</w:t>
      </w:r>
    </w:p>
    <w:p w:rsidR="00834BBB" w:rsidRPr="0052681A" w:rsidRDefault="00834BBB" w:rsidP="00834BBB">
      <w:pPr>
        <w:pStyle w:val="SingleTxt"/>
        <w:spacing w:after="0" w:line="120" w:lineRule="exact"/>
        <w:rPr>
          <w:sz w:val="10"/>
          <w:lang w:val="fr-CH"/>
        </w:rPr>
      </w:pPr>
    </w:p>
    <w:p w:rsidR="000C6EEF" w:rsidRPr="0052681A" w:rsidRDefault="00834BBB" w:rsidP="00834BBB">
      <w:pPr>
        <w:pStyle w:val="SingleTxt"/>
        <w:rPr>
          <w:rFonts w:eastAsia="Calibri"/>
          <w:w w:val="100"/>
          <w:lang w:val="fr-CH"/>
        </w:rPr>
      </w:pPr>
      <w:r w:rsidRPr="0052681A">
        <w:rPr>
          <w:w w:val="100"/>
          <w:lang w:val="fr-CH"/>
        </w:rPr>
        <w:tab/>
      </w:r>
      <w:r w:rsidR="000C6EEF" w:rsidRPr="0052681A">
        <w:rPr>
          <w:w w:val="100"/>
          <w:lang w:val="fr-CH"/>
        </w:rPr>
        <w:t xml:space="preserve">L’autorité compétente des Pays-Bas est autorisée à délivrer, à titre expérimental, un certificat d’agrément à l’automoteur-citerne </w:t>
      </w:r>
      <w:r w:rsidR="000C6EEF" w:rsidRPr="0052681A">
        <w:rPr>
          <w:i/>
          <w:w w:val="100"/>
          <w:lang w:val="fr-CH"/>
        </w:rPr>
        <w:t>Argos-GL</w:t>
      </w:r>
      <w:r w:rsidR="000C6EEF" w:rsidRPr="0052681A">
        <w:rPr>
          <w:w w:val="100"/>
          <w:lang w:val="fr-CH"/>
        </w:rPr>
        <w:t>, numéro européen d’identification à déterminer, aux fins de l’alimentation du système de propulsion en gaz naturel liquéfié (GNL).</w:t>
      </w:r>
    </w:p>
    <w:p w:rsidR="000C6EEF" w:rsidRPr="0052681A" w:rsidRDefault="00834BBB" w:rsidP="00834BBB">
      <w:pPr>
        <w:pStyle w:val="SingleTxt"/>
        <w:rPr>
          <w:rFonts w:eastAsia="Calibri"/>
          <w:w w:val="100"/>
          <w:lang w:val="fr-CH"/>
        </w:rPr>
      </w:pPr>
      <w:r w:rsidRPr="0052681A">
        <w:rPr>
          <w:w w:val="100"/>
          <w:lang w:val="fr-CH"/>
        </w:rPr>
        <w:tab/>
      </w:r>
      <w:r w:rsidR="000C6EEF" w:rsidRPr="0052681A">
        <w:rPr>
          <w:w w:val="100"/>
          <w:lang w:val="fr-CH"/>
        </w:rPr>
        <w:t>Conformément aux dispositions du paragraphe 1.5.3.2 du Règlement annexé à l’ADN, le bateau susmentionné peut déroger</w:t>
      </w:r>
      <w:r w:rsidR="00754A41" w:rsidRPr="0052681A">
        <w:rPr>
          <w:w w:val="100"/>
          <w:lang w:val="fr-CH"/>
        </w:rPr>
        <w:t xml:space="preserve"> aux prescriptions des 7.1.3.31</w:t>
      </w:r>
      <w:r w:rsidR="000C6EEF" w:rsidRPr="0052681A">
        <w:rPr>
          <w:w w:val="100"/>
          <w:lang w:val="fr-CH"/>
        </w:rPr>
        <w:t xml:space="preserve"> et 9.1.0.31</w:t>
      </w:r>
      <w:r w:rsidR="00754A41" w:rsidRPr="0052681A">
        <w:rPr>
          <w:w w:val="100"/>
          <w:lang w:val="fr-CH"/>
        </w:rPr>
        <w:t>.1 jusqu’au 30 </w:t>
      </w:r>
      <w:r w:rsidR="000C6EEF" w:rsidRPr="0052681A">
        <w:rPr>
          <w:w w:val="100"/>
          <w:lang w:val="fr-CH"/>
        </w:rPr>
        <w:t>juin 2019. Le Comité d’administration a décidé que l’utilisation du GNL était suffisamment sûre si les conditions ci-après étaient réunies en toute circonstance</w:t>
      </w:r>
      <w:r w:rsidRPr="0052681A">
        <w:rPr>
          <w:w w:val="100"/>
          <w:lang w:val="fr-CH"/>
        </w:rPr>
        <w:t> </w:t>
      </w:r>
      <w:r w:rsidR="000C6EEF" w:rsidRPr="0052681A">
        <w:rPr>
          <w:w w:val="100"/>
          <w:lang w:val="fr-CH"/>
        </w:rPr>
        <w:t>:</w:t>
      </w:r>
    </w:p>
    <w:p w:rsidR="000C6EEF" w:rsidRPr="0052681A" w:rsidRDefault="000C6EEF" w:rsidP="00834BBB">
      <w:pPr>
        <w:pStyle w:val="SingleTxt"/>
        <w:rPr>
          <w:rFonts w:eastAsia="Calibri"/>
          <w:color w:val="000000"/>
          <w:w w:val="100"/>
          <w:lang w:val="fr-CH"/>
        </w:rPr>
      </w:pPr>
      <w:r w:rsidRPr="0052681A">
        <w:rPr>
          <w:w w:val="100"/>
          <w:lang w:val="fr-CH"/>
        </w:rPr>
        <w:t>1.</w:t>
      </w:r>
      <w:r w:rsidRPr="0052681A">
        <w:rPr>
          <w:w w:val="100"/>
          <w:lang w:val="fr-CH"/>
        </w:rPr>
        <w:tab/>
        <w:t>Le bateau possède un certificat d’agrément valable selon le Règlement de visite des bateaux du Rhin, sur la base de la recommandation</w:t>
      </w:r>
      <w:r w:rsidR="00B21BB0">
        <w:rPr>
          <w:w w:val="100"/>
          <w:lang w:val="fr-CH"/>
        </w:rPr>
        <w:t xml:space="preserve"> 19/2014 de la CCNR, datée du 9 </w:t>
      </w:r>
      <w:r w:rsidRPr="0052681A">
        <w:rPr>
          <w:w w:val="100"/>
          <w:lang w:val="fr-CH"/>
        </w:rPr>
        <w:t xml:space="preserve">septembre 2014. </w:t>
      </w:r>
    </w:p>
    <w:p w:rsidR="000C6EEF" w:rsidRPr="0052681A" w:rsidRDefault="000C6EEF" w:rsidP="00834BBB">
      <w:pPr>
        <w:pStyle w:val="SingleTxt"/>
        <w:rPr>
          <w:rFonts w:eastAsia="Calibri"/>
          <w:color w:val="000000"/>
          <w:w w:val="100"/>
          <w:lang w:val="fr-CH"/>
        </w:rPr>
      </w:pPr>
      <w:r w:rsidRPr="0052681A">
        <w:rPr>
          <w:w w:val="100"/>
          <w:lang w:val="fr-CH"/>
        </w:rPr>
        <w:t>2.</w:t>
      </w:r>
      <w:r w:rsidRPr="0052681A">
        <w:rPr>
          <w:w w:val="100"/>
          <w:lang w:val="fr-CH"/>
        </w:rPr>
        <w:tab/>
        <w:t>Une étude HAZID effectuée par la société de classification agréée</w:t>
      </w:r>
      <w:r w:rsidR="00754A41" w:rsidRPr="00B21BB0">
        <w:rPr>
          <w:rStyle w:val="FootnoteReference"/>
          <w:vertAlign w:val="baseline"/>
          <w:lang w:val="fr-CH"/>
        </w:rPr>
        <w:footnoteReference w:customMarkFollows="1" w:id="2"/>
        <w:t>*</w:t>
      </w:r>
      <w:r w:rsidRPr="0052681A">
        <w:rPr>
          <w:w w:val="100"/>
          <w:lang w:val="fr-CH"/>
        </w:rPr>
        <w:t xml:space="preserve"> montre que le niveau de sécurité du système de propulsion au GNL est suffisant. Cette étude a porté sur les points suivants, notamment</w:t>
      </w:r>
      <w:r w:rsidR="00834BBB" w:rsidRPr="0052681A">
        <w:rPr>
          <w:w w:val="100"/>
          <w:lang w:val="fr-CH"/>
        </w:rPr>
        <w:t> </w:t>
      </w:r>
      <w:r w:rsidRPr="0052681A">
        <w:rPr>
          <w:w w:val="100"/>
          <w:lang w:val="fr-CH"/>
        </w:rPr>
        <w:t>:</w:t>
      </w:r>
    </w:p>
    <w:p w:rsidR="000C6EEF" w:rsidRPr="0052681A" w:rsidRDefault="000C6EEF" w:rsidP="00834BBB">
      <w:pPr>
        <w:pStyle w:val="Bullet1"/>
        <w:rPr>
          <w:rFonts w:eastAsia="Calibri"/>
          <w:w w:val="100"/>
          <w:lang w:val="fr-CH"/>
        </w:rPr>
      </w:pPr>
      <w:r w:rsidRPr="0052681A">
        <w:rPr>
          <w:w w:val="100"/>
          <w:lang w:val="fr-CH"/>
        </w:rPr>
        <w:t>Interaction entre la cargaison et le GNL;</w:t>
      </w:r>
    </w:p>
    <w:p w:rsidR="000C6EEF" w:rsidRPr="0052681A" w:rsidRDefault="000C6EEF" w:rsidP="00834BBB">
      <w:pPr>
        <w:pStyle w:val="Bullet1"/>
        <w:rPr>
          <w:rFonts w:eastAsia="Calibri"/>
          <w:w w:val="100"/>
          <w:lang w:val="fr-CH"/>
        </w:rPr>
      </w:pPr>
      <w:r w:rsidRPr="0052681A">
        <w:rPr>
          <w:w w:val="100"/>
          <w:lang w:val="fr-CH"/>
        </w:rPr>
        <w:t>Effets d’une fuite de GNL sur l’ensemble de la structure;</w:t>
      </w:r>
    </w:p>
    <w:p w:rsidR="000C6EEF" w:rsidRPr="0052681A" w:rsidRDefault="000C6EEF" w:rsidP="00834BBB">
      <w:pPr>
        <w:pStyle w:val="Bullet1"/>
        <w:rPr>
          <w:rFonts w:eastAsia="Calibri"/>
          <w:w w:val="100"/>
          <w:lang w:val="fr-CH"/>
        </w:rPr>
      </w:pPr>
      <w:r w:rsidRPr="0052681A">
        <w:rPr>
          <w:w w:val="100"/>
          <w:lang w:val="fr-CH"/>
        </w:rPr>
        <w:t>Effets d’un incendie de la cargaison sur l’installation GNL;</w:t>
      </w:r>
    </w:p>
    <w:p w:rsidR="000C6EEF" w:rsidRPr="0052681A" w:rsidRDefault="000C6EEF" w:rsidP="00834BBB">
      <w:pPr>
        <w:pStyle w:val="Bullet1"/>
        <w:rPr>
          <w:rFonts w:eastAsia="Calibri"/>
          <w:w w:val="100"/>
          <w:lang w:val="fr-CH"/>
        </w:rPr>
      </w:pPr>
      <w:r w:rsidRPr="0052681A">
        <w:rPr>
          <w:w w:val="100"/>
          <w:lang w:val="fr-CH"/>
        </w:rPr>
        <w:t>Différents types de dangers que pose l’utilisation du GNL et du diesel en tant que carburants;</w:t>
      </w:r>
    </w:p>
    <w:p w:rsidR="000C6EEF" w:rsidRPr="0052681A" w:rsidRDefault="000C6EEF" w:rsidP="00834BBB">
      <w:pPr>
        <w:pStyle w:val="Bullet1"/>
        <w:rPr>
          <w:rFonts w:eastAsia="Calibri"/>
          <w:w w:val="100"/>
          <w:lang w:val="fr-CH"/>
        </w:rPr>
      </w:pPr>
      <w:r w:rsidRPr="0052681A">
        <w:rPr>
          <w:w w:val="100"/>
          <w:lang w:val="fr-CH"/>
        </w:rPr>
        <w:t xml:space="preserve">Distance de sécurité à respecter lors des opérations de </w:t>
      </w:r>
      <w:proofErr w:type="spellStart"/>
      <w:r w:rsidRPr="0052681A">
        <w:rPr>
          <w:w w:val="100"/>
          <w:lang w:val="fr-CH"/>
        </w:rPr>
        <w:t>soutage</w:t>
      </w:r>
      <w:proofErr w:type="spellEnd"/>
      <w:r w:rsidRPr="0052681A">
        <w:rPr>
          <w:w w:val="100"/>
          <w:lang w:val="fr-CH"/>
        </w:rPr>
        <w:t>.</w:t>
      </w:r>
    </w:p>
    <w:p w:rsidR="000C6EEF" w:rsidRPr="0052681A" w:rsidRDefault="000C6EEF" w:rsidP="00834BBB">
      <w:pPr>
        <w:pStyle w:val="SingleTxt"/>
        <w:rPr>
          <w:rFonts w:eastAsia="Calibri"/>
          <w:spacing w:val="0"/>
          <w:w w:val="100"/>
          <w:kern w:val="0"/>
          <w:szCs w:val="20"/>
          <w:lang w:val="fr-CH"/>
        </w:rPr>
      </w:pPr>
      <w:r w:rsidRPr="0052681A">
        <w:rPr>
          <w:rFonts w:eastAsia="Times New Roman"/>
          <w:spacing w:val="0"/>
          <w:w w:val="100"/>
          <w:kern w:val="0"/>
          <w:szCs w:val="20"/>
          <w:lang w:val="fr-CH"/>
        </w:rPr>
        <w:t>3.</w:t>
      </w:r>
      <w:r w:rsidRPr="0052681A">
        <w:rPr>
          <w:rFonts w:eastAsia="Times New Roman"/>
          <w:spacing w:val="0"/>
          <w:w w:val="100"/>
          <w:kern w:val="0"/>
          <w:szCs w:val="20"/>
          <w:lang w:val="fr-CH"/>
        </w:rPr>
        <w:tab/>
        <w:t>Il est fait mention de l’utilisation de GNL comme carburant dans le compte rendu sur les marchandises dangereuses communiqué aux autorités de régulation du trafic et dans les consignes d’urgence.</w:t>
      </w:r>
    </w:p>
    <w:p w:rsidR="000C6EEF" w:rsidRPr="0052681A" w:rsidRDefault="000C6EEF" w:rsidP="00834BBB">
      <w:pPr>
        <w:pStyle w:val="SingleTxt"/>
        <w:rPr>
          <w:rFonts w:eastAsia="Calibri"/>
          <w:spacing w:val="0"/>
          <w:w w:val="100"/>
          <w:kern w:val="0"/>
          <w:szCs w:val="20"/>
          <w:lang w:val="fr-CH"/>
        </w:rPr>
      </w:pPr>
      <w:r w:rsidRPr="0052681A">
        <w:rPr>
          <w:rFonts w:eastAsia="Times New Roman"/>
          <w:spacing w:val="0"/>
          <w:w w:val="100"/>
          <w:kern w:val="0"/>
          <w:szCs w:val="20"/>
          <w:lang w:val="fr-CH"/>
        </w:rPr>
        <w:t>4.</w:t>
      </w:r>
      <w:r w:rsidRPr="0052681A">
        <w:rPr>
          <w:rFonts w:eastAsia="Times New Roman"/>
          <w:spacing w:val="0"/>
          <w:w w:val="100"/>
          <w:kern w:val="0"/>
          <w:szCs w:val="20"/>
          <w:lang w:val="fr-CH"/>
        </w:rPr>
        <w:tab/>
        <w:t>Toutes les données concernant l’utilisation du système de propulsion au GNL doivent être rassemblées par le transporteur. Elles doivent être envoyées à l’autorité compétente lorsque celle-ci en fait la demande.</w:t>
      </w:r>
    </w:p>
    <w:p w:rsidR="000C6EEF" w:rsidRPr="0052681A" w:rsidRDefault="000C6EEF" w:rsidP="00834BBB">
      <w:pPr>
        <w:pStyle w:val="SingleTxt"/>
        <w:rPr>
          <w:rFonts w:eastAsia="Calibri"/>
          <w:spacing w:val="0"/>
          <w:w w:val="100"/>
          <w:kern w:val="0"/>
          <w:szCs w:val="20"/>
          <w:lang w:val="fr-CH"/>
        </w:rPr>
      </w:pPr>
      <w:r w:rsidRPr="0052681A">
        <w:rPr>
          <w:rFonts w:eastAsia="Times New Roman"/>
          <w:spacing w:val="0"/>
          <w:w w:val="100"/>
          <w:kern w:val="0"/>
          <w:szCs w:val="20"/>
          <w:lang w:val="fr-CH"/>
        </w:rPr>
        <w:t>5.</w:t>
      </w:r>
      <w:r w:rsidRPr="0052681A">
        <w:rPr>
          <w:rFonts w:eastAsia="Times New Roman"/>
          <w:spacing w:val="0"/>
          <w:w w:val="100"/>
          <w:kern w:val="0"/>
          <w:szCs w:val="20"/>
          <w:lang w:val="fr-CH"/>
        </w:rPr>
        <w:tab/>
        <w:t>Un rapport d’évaluation annuel doit être adressé au secrétariat de la CEE pour informer le Comité d’administration. Ce rapport doit au minimum fournir des renseignements sur les points suivants</w:t>
      </w:r>
      <w:r w:rsidR="007F637D" w:rsidRPr="0052681A">
        <w:rPr>
          <w:rFonts w:eastAsia="Times New Roman"/>
          <w:spacing w:val="0"/>
          <w:w w:val="100"/>
          <w:kern w:val="0"/>
          <w:szCs w:val="20"/>
          <w:lang w:val="fr-CH"/>
        </w:rPr>
        <w:t> </w:t>
      </w:r>
      <w:r w:rsidRPr="0052681A">
        <w:rPr>
          <w:rFonts w:eastAsia="Times New Roman"/>
          <w:spacing w:val="0"/>
          <w:w w:val="100"/>
          <w:kern w:val="0"/>
          <w:szCs w:val="20"/>
          <w:lang w:val="fr-CH"/>
        </w:rPr>
        <w:t>:</w:t>
      </w:r>
    </w:p>
    <w:p w:rsidR="000C6EEF" w:rsidRPr="0052681A" w:rsidRDefault="00834BBB" w:rsidP="00834BBB">
      <w:pPr>
        <w:pStyle w:val="SingleTxt"/>
        <w:rPr>
          <w:rFonts w:eastAsia="Calibri"/>
          <w:spacing w:val="0"/>
          <w:w w:val="100"/>
          <w:kern w:val="0"/>
          <w:szCs w:val="20"/>
          <w:lang w:val="fr-CH"/>
        </w:rPr>
      </w:pPr>
      <w:r w:rsidRPr="0052681A">
        <w:rPr>
          <w:rFonts w:eastAsia="Times New Roman"/>
          <w:spacing w:val="0"/>
          <w:w w:val="100"/>
          <w:kern w:val="0"/>
          <w:szCs w:val="20"/>
          <w:lang w:val="fr-CH"/>
        </w:rPr>
        <w:tab/>
      </w:r>
      <w:r w:rsidR="000C6EEF" w:rsidRPr="0052681A">
        <w:rPr>
          <w:rFonts w:eastAsia="Times New Roman"/>
          <w:spacing w:val="0"/>
          <w:w w:val="100"/>
          <w:kern w:val="0"/>
          <w:szCs w:val="20"/>
          <w:lang w:val="fr-CH"/>
        </w:rPr>
        <w:t>a)</w:t>
      </w:r>
      <w:r w:rsidR="000C6EEF" w:rsidRPr="0052681A">
        <w:rPr>
          <w:rFonts w:eastAsia="Times New Roman"/>
          <w:spacing w:val="0"/>
          <w:w w:val="100"/>
          <w:kern w:val="0"/>
          <w:szCs w:val="20"/>
          <w:lang w:val="fr-CH"/>
        </w:rPr>
        <w:tab/>
        <w:t>défaillances du système;</w:t>
      </w:r>
    </w:p>
    <w:p w:rsidR="000C6EEF" w:rsidRPr="0052681A" w:rsidRDefault="00834BBB" w:rsidP="00834BBB">
      <w:pPr>
        <w:pStyle w:val="SingleTxt"/>
        <w:rPr>
          <w:rFonts w:eastAsia="Calibri"/>
          <w:spacing w:val="0"/>
          <w:w w:val="100"/>
          <w:kern w:val="0"/>
          <w:szCs w:val="20"/>
          <w:lang w:val="fr-CH"/>
        </w:rPr>
      </w:pPr>
      <w:r w:rsidRPr="0052681A">
        <w:rPr>
          <w:rFonts w:eastAsia="Times New Roman"/>
          <w:spacing w:val="0"/>
          <w:w w:val="100"/>
          <w:kern w:val="0"/>
          <w:szCs w:val="20"/>
          <w:lang w:val="fr-CH"/>
        </w:rPr>
        <w:tab/>
      </w:r>
      <w:r w:rsidR="000C6EEF" w:rsidRPr="0052681A">
        <w:rPr>
          <w:rFonts w:eastAsia="Times New Roman"/>
          <w:spacing w:val="0"/>
          <w:w w:val="100"/>
          <w:kern w:val="0"/>
          <w:szCs w:val="20"/>
          <w:lang w:val="fr-CH"/>
        </w:rPr>
        <w:t>b)</w:t>
      </w:r>
      <w:r w:rsidR="000C6EEF" w:rsidRPr="0052681A">
        <w:rPr>
          <w:rFonts w:eastAsia="Times New Roman"/>
          <w:spacing w:val="0"/>
          <w:w w:val="100"/>
          <w:kern w:val="0"/>
          <w:szCs w:val="20"/>
          <w:lang w:val="fr-CH"/>
        </w:rPr>
        <w:tab/>
        <w:t>fuites;</w:t>
      </w:r>
    </w:p>
    <w:p w:rsidR="000C6EEF" w:rsidRPr="0052681A" w:rsidRDefault="00834BBB" w:rsidP="00834BBB">
      <w:pPr>
        <w:pStyle w:val="SingleTxt"/>
        <w:rPr>
          <w:rFonts w:eastAsia="Calibri"/>
          <w:spacing w:val="0"/>
          <w:w w:val="100"/>
          <w:kern w:val="0"/>
          <w:szCs w:val="20"/>
          <w:lang w:val="fr-CH"/>
        </w:rPr>
      </w:pPr>
      <w:r w:rsidRPr="0052681A">
        <w:rPr>
          <w:rFonts w:eastAsia="Times New Roman"/>
          <w:spacing w:val="0"/>
          <w:w w:val="100"/>
          <w:kern w:val="0"/>
          <w:szCs w:val="20"/>
          <w:lang w:val="fr-CH"/>
        </w:rPr>
        <w:tab/>
      </w:r>
      <w:r w:rsidR="000C6EEF" w:rsidRPr="0052681A">
        <w:rPr>
          <w:rFonts w:eastAsia="Times New Roman"/>
          <w:spacing w:val="0"/>
          <w:w w:val="100"/>
          <w:kern w:val="0"/>
          <w:szCs w:val="20"/>
          <w:lang w:val="fr-CH"/>
        </w:rPr>
        <w:t>c)</w:t>
      </w:r>
      <w:r w:rsidR="000C6EEF" w:rsidRPr="0052681A">
        <w:rPr>
          <w:rFonts w:eastAsia="Times New Roman"/>
          <w:spacing w:val="0"/>
          <w:w w:val="100"/>
          <w:kern w:val="0"/>
          <w:szCs w:val="20"/>
          <w:lang w:val="fr-CH"/>
        </w:rPr>
        <w:tab/>
        <w:t xml:space="preserve">données relatives au </w:t>
      </w:r>
      <w:proofErr w:type="spellStart"/>
      <w:r w:rsidR="000C6EEF" w:rsidRPr="0052681A">
        <w:rPr>
          <w:rFonts w:eastAsia="Times New Roman"/>
          <w:spacing w:val="0"/>
          <w:w w:val="100"/>
          <w:kern w:val="0"/>
          <w:szCs w:val="20"/>
          <w:lang w:val="fr-CH"/>
        </w:rPr>
        <w:t>soutage</w:t>
      </w:r>
      <w:proofErr w:type="spellEnd"/>
      <w:r w:rsidR="000C6EEF" w:rsidRPr="0052681A">
        <w:rPr>
          <w:rFonts w:eastAsia="Times New Roman"/>
          <w:spacing w:val="0"/>
          <w:w w:val="100"/>
          <w:kern w:val="0"/>
          <w:szCs w:val="20"/>
          <w:lang w:val="fr-CH"/>
        </w:rPr>
        <w:t xml:space="preserve"> (GNL);</w:t>
      </w:r>
    </w:p>
    <w:p w:rsidR="000C6EEF" w:rsidRPr="0052681A" w:rsidRDefault="00834BBB" w:rsidP="00834BBB">
      <w:pPr>
        <w:pStyle w:val="SingleTxt"/>
        <w:rPr>
          <w:rFonts w:eastAsia="Calibri"/>
          <w:spacing w:val="0"/>
          <w:w w:val="100"/>
          <w:kern w:val="0"/>
          <w:szCs w:val="20"/>
          <w:lang w:val="fr-CH"/>
        </w:rPr>
      </w:pPr>
      <w:r w:rsidRPr="0052681A">
        <w:rPr>
          <w:rFonts w:eastAsia="Times New Roman"/>
          <w:spacing w:val="0"/>
          <w:w w:val="100"/>
          <w:kern w:val="0"/>
          <w:szCs w:val="20"/>
          <w:lang w:val="fr-CH"/>
        </w:rPr>
        <w:tab/>
      </w:r>
      <w:r w:rsidR="000C6EEF" w:rsidRPr="0052681A">
        <w:rPr>
          <w:rFonts w:eastAsia="Times New Roman"/>
          <w:spacing w:val="0"/>
          <w:w w:val="100"/>
          <w:kern w:val="0"/>
          <w:szCs w:val="20"/>
          <w:lang w:val="fr-CH"/>
        </w:rPr>
        <w:t>d)</w:t>
      </w:r>
      <w:r w:rsidR="000C6EEF" w:rsidRPr="0052681A">
        <w:rPr>
          <w:rFonts w:eastAsia="Times New Roman"/>
          <w:spacing w:val="0"/>
          <w:w w:val="100"/>
          <w:kern w:val="0"/>
          <w:szCs w:val="20"/>
          <w:lang w:val="fr-CH"/>
        </w:rPr>
        <w:tab/>
        <w:t>données relatives à la pression;</w:t>
      </w:r>
    </w:p>
    <w:p w:rsidR="000C6EEF" w:rsidRPr="0052681A" w:rsidRDefault="00834BBB" w:rsidP="00834BBB">
      <w:pPr>
        <w:pStyle w:val="SingleTxt"/>
        <w:rPr>
          <w:rFonts w:eastAsia="Calibri"/>
          <w:spacing w:val="0"/>
          <w:w w:val="100"/>
          <w:kern w:val="0"/>
          <w:szCs w:val="20"/>
          <w:lang w:val="fr-CH"/>
        </w:rPr>
      </w:pPr>
      <w:r w:rsidRPr="0052681A">
        <w:rPr>
          <w:rFonts w:eastAsia="Times New Roman"/>
          <w:spacing w:val="0"/>
          <w:w w:val="100"/>
          <w:kern w:val="0"/>
          <w:szCs w:val="20"/>
          <w:lang w:val="fr-CH"/>
        </w:rPr>
        <w:tab/>
      </w:r>
      <w:r w:rsidR="000C6EEF" w:rsidRPr="0052681A">
        <w:rPr>
          <w:rFonts w:eastAsia="Times New Roman"/>
          <w:spacing w:val="0"/>
          <w:w w:val="100"/>
          <w:kern w:val="0"/>
          <w:szCs w:val="20"/>
          <w:lang w:val="fr-CH"/>
        </w:rPr>
        <w:t>e)</w:t>
      </w:r>
      <w:r w:rsidR="000C6EEF" w:rsidRPr="0052681A">
        <w:rPr>
          <w:rFonts w:eastAsia="Times New Roman"/>
          <w:spacing w:val="0"/>
          <w:w w:val="100"/>
          <w:kern w:val="0"/>
          <w:szCs w:val="20"/>
          <w:lang w:val="fr-CH"/>
        </w:rPr>
        <w:tab/>
        <w:t>anomalies, réparations et modifications du système de propulsion au GNL, y compris le réservoir;</w:t>
      </w:r>
    </w:p>
    <w:p w:rsidR="000C6EEF" w:rsidRPr="0052681A" w:rsidRDefault="00834BBB" w:rsidP="00834BBB">
      <w:pPr>
        <w:pStyle w:val="SingleTxt"/>
        <w:rPr>
          <w:rFonts w:eastAsia="Calibri"/>
          <w:spacing w:val="0"/>
          <w:w w:val="100"/>
          <w:kern w:val="0"/>
          <w:szCs w:val="20"/>
          <w:lang w:val="fr-CH"/>
        </w:rPr>
      </w:pPr>
      <w:r w:rsidRPr="0052681A">
        <w:rPr>
          <w:rFonts w:eastAsia="Times New Roman"/>
          <w:spacing w:val="0"/>
          <w:w w:val="100"/>
          <w:kern w:val="0"/>
          <w:szCs w:val="20"/>
          <w:lang w:val="fr-CH"/>
        </w:rPr>
        <w:tab/>
      </w:r>
      <w:r w:rsidR="000C6EEF" w:rsidRPr="0052681A">
        <w:rPr>
          <w:rFonts w:eastAsia="Times New Roman"/>
          <w:spacing w:val="0"/>
          <w:w w:val="100"/>
          <w:kern w:val="0"/>
          <w:szCs w:val="20"/>
          <w:lang w:val="fr-CH"/>
        </w:rPr>
        <w:t>f)</w:t>
      </w:r>
      <w:r w:rsidR="000C6EEF" w:rsidRPr="0052681A">
        <w:rPr>
          <w:rFonts w:eastAsia="Times New Roman"/>
          <w:spacing w:val="0"/>
          <w:w w:val="100"/>
          <w:kern w:val="0"/>
          <w:szCs w:val="20"/>
          <w:lang w:val="fr-CH"/>
        </w:rPr>
        <w:tab/>
        <w:t>données de fonctionnement;</w:t>
      </w:r>
    </w:p>
    <w:p w:rsidR="000C6EEF" w:rsidRPr="0052681A" w:rsidRDefault="00834BBB" w:rsidP="00834BBB">
      <w:pPr>
        <w:pStyle w:val="SingleTxt"/>
        <w:rPr>
          <w:rFonts w:eastAsia="Times New Roman"/>
          <w:spacing w:val="0"/>
          <w:w w:val="100"/>
          <w:kern w:val="0"/>
          <w:szCs w:val="20"/>
          <w:lang w:val="fr-CH"/>
        </w:rPr>
      </w:pPr>
      <w:r w:rsidRPr="0052681A">
        <w:rPr>
          <w:rFonts w:eastAsia="Times New Roman"/>
          <w:spacing w:val="0"/>
          <w:w w:val="100"/>
          <w:kern w:val="0"/>
          <w:szCs w:val="20"/>
          <w:lang w:val="fr-CH"/>
        </w:rPr>
        <w:tab/>
      </w:r>
      <w:r w:rsidR="000C6EEF" w:rsidRPr="0052681A">
        <w:rPr>
          <w:rFonts w:eastAsia="Times New Roman"/>
          <w:spacing w:val="0"/>
          <w:w w:val="100"/>
          <w:kern w:val="0"/>
          <w:szCs w:val="20"/>
          <w:lang w:val="fr-CH"/>
        </w:rPr>
        <w:t>g)</w:t>
      </w:r>
      <w:r w:rsidR="000C6EEF" w:rsidRPr="0052681A">
        <w:rPr>
          <w:rFonts w:eastAsia="Times New Roman"/>
          <w:spacing w:val="0"/>
          <w:w w:val="100"/>
          <w:kern w:val="0"/>
          <w:szCs w:val="20"/>
          <w:lang w:val="fr-CH"/>
        </w:rPr>
        <w:tab/>
        <w:t>rapport d’inspection établi par la société ayant procédé à la classification du bateau.</w:t>
      </w:r>
    </w:p>
    <w:p w:rsidR="007F637D" w:rsidRPr="0052681A" w:rsidRDefault="007F637D">
      <w:pPr>
        <w:spacing w:line="240" w:lineRule="auto"/>
        <w:rPr>
          <w:rFonts w:eastAsia="Times New Roman"/>
          <w:spacing w:val="0"/>
          <w:w w:val="100"/>
          <w:kern w:val="0"/>
          <w:szCs w:val="20"/>
          <w:lang w:val="fr-CH"/>
        </w:rPr>
      </w:pPr>
      <w:r w:rsidRPr="0052681A">
        <w:rPr>
          <w:rFonts w:eastAsia="Times New Roman"/>
          <w:spacing w:val="0"/>
          <w:w w:val="100"/>
          <w:kern w:val="0"/>
          <w:szCs w:val="20"/>
          <w:lang w:val="fr-CH"/>
        </w:rPr>
        <w:br w:type="page"/>
      </w:r>
    </w:p>
    <w:p w:rsidR="000C6EEF" w:rsidRPr="0052681A" w:rsidRDefault="000C6EEF" w:rsidP="00820F4E">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CH"/>
        </w:rPr>
      </w:pPr>
      <w:r w:rsidRPr="0052681A">
        <w:rPr>
          <w:w w:val="100"/>
          <w:lang w:val="fr-CH"/>
        </w:rPr>
        <w:t>Annexe II</w:t>
      </w:r>
    </w:p>
    <w:p w:rsidR="00820F4E" w:rsidRPr="0052681A" w:rsidRDefault="00820F4E" w:rsidP="00820F4E">
      <w:pPr>
        <w:pStyle w:val="SingleTxt"/>
        <w:spacing w:after="0" w:line="120" w:lineRule="exact"/>
        <w:rPr>
          <w:sz w:val="10"/>
          <w:lang w:val="fr-CH"/>
        </w:rPr>
      </w:pPr>
    </w:p>
    <w:p w:rsidR="00820F4E" w:rsidRPr="0052681A" w:rsidRDefault="00820F4E" w:rsidP="00820F4E">
      <w:pPr>
        <w:pStyle w:val="SingleTxt"/>
        <w:spacing w:after="0" w:line="120" w:lineRule="exact"/>
        <w:rPr>
          <w:sz w:val="10"/>
          <w:lang w:val="fr-CH"/>
        </w:rPr>
      </w:pPr>
    </w:p>
    <w:p w:rsidR="000C6EEF" w:rsidRPr="0052681A" w:rsidRDefault="000C6EEF" w:rsidP="00820F4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w w:val="100"/>
          <w:lang w:val="fr-CH"/>
        </w:rPr>
      </w:pPr>
      <w:r w:rsidRPr="0052681A">
        <w:rPr>
          <w:w w:val="100"/>
          <w:lang w:val="fr-CH"/>
        </w:rPr>
        <w:tab/>
      </w:r>
      <w:r w:rsidRPr="0052681A">
        <w:rPr>
          <w:w w:val="100"/>
          <w:lang w:val="fr-CH"/>
        </w:rPr>
        <w:tab/>
        <w:t xml:space="preserve">Décision du Comité d’administration de l’ADN relative </w:t>
      </w:r>
      <w:r w:rsidR="00820F4E" w:rsidRPr="0052681A">
        <w:rPr>
          <w:w w:val="100"/>
          <w:lang w:val="fr-CH"/>
        </w:rPr>
        <w:br/>
      </w:r>
      <w:r w:rsidRPr="0052681A">
        <w:rPr>
          <w:w w:val="100"/>
          <w:lang w:val="fr-CH"/>
        </w:rPr>
        <w:t xml:space="preserve">à l’utilisation de cuves à membrane pour le transport </w:t>
      </w:r>
      <w:r w:rsidR="00820F4E" w:rsidRPr="0052681A">
        <w:rPr>
          <w:w w:val="100"/>
          <w:lang w:val="fr-CH"/>
        </w:rPr>
        <w:br/>
      </w:r>
      <w:r w:rsidRPr="0052681A">
        <w:rPr>
          <w:w w:val="100"/>
          <w:lang w:val="fr-CH"/>
        </w:rPr>
        <w:t xml:space="preserve">de gaz naturel liquéfié (GNL) sur le bateau-citerne </w:t>
      </w:r>
      <w:r w:rsidR="00820F4E" w:rsidRPr="0052681A">
        <w:rPr>
          <w:w w:val="100"/>
          <w:lang w:val="fr-CH"/>
        </w:rPr>
        <w:br/>
      </w:r>
      <w:r w:rsidRPr="0052681A">
        <w:rPr>
          <w:i/>
          <w:w w:val="100"/>
          <w:lang w:val="fr-CH"/>
        </w:rPr>
        <w:t>Argos-GL</w:t>
      </w:r>
    </w:p>
    <w:p w:rsidR="00754A41" w:rsidRPr="0052681A" w:rsidRDefault="00754A41" w:rsidP="00754A41">
      <w:pPr>
        <w:pStyle w:val="SingleTxt"/>
        <w:spacing w:after="0" w:line="120" w:lineRule="exact"/>
        <w:rPr>
          <w:sz w:val="10"/>
          <w:lang w:val="fr-CH"/>
        </w:rPr>
      </w:pPr>
    </w:p>
    <w:p w:rsidR="00754A41" w:rsidRPr="0052681A" w:rsidRDefault="00754A41" w:rsidP="00754A41">
      <w:pPr>
        <w:pStyle w:val="SingleTxt"/>
        <w:spacing w:after="0" w:line="120" w:lineRule="exact"/>
        <w:rPr>
          <w:sz w:val="10"/>
          <w:lang w:val="fr-CH"/>
        </w:rPr>
      </w:pPr>
    </w:p>
    <w:p w:rsidR="000C6EEF" w:rsidRPr="0052681A" w:rsidRDefault="00754A41" w:rsidP="00754A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CH"/>
        </w:rPr>
      </w:pPr>
      <w:r w:rsidRPr="0052681A">
        <w:rPr>
          <w:w w:val="100"/>
          <w:lang w:val="fr-CH"/>
        </w:rPr>
        <w:tab/>
      </w:r>
      <w:r w:rsidRPr="0052681A">
        <w:rPr>
          <w:w w:val="100"/>
          <w:lang w:val="fr-CH"/>
        </w:rPr>
        <w:tab/>
      </w:r>
      <w:r w:rsidR="000C6EEF" w:rsidRPr="0052681A">
        <w:rPr>
          <w:w w:val="100"/>
          <w:lang w:val="fr-CH"/>
        </w:rPr>
        <w:t>Dérogation n</w:t>
      </w:r>
      <w:r w:rsidR="000C6EEF" w:rsidRPr="0052681A">
        <w:rPr>
          <w:w w:val="100"/>
          <w:vertAlign w:val="superscript"/>
          <w:lang w:val="fr-CH"/>
        </w:rPr>
        <w:t>o </w:t>
      </w:r>
      <w:r w:rsidR="000C6EEF" w:rsidRPr="0052681A">
        <w:rPr>
          <w:w w:val="100"/>
          <w:lang w:val="fr-CH"/>
        </w:rPr>
        <w:t>2/2015 du 28</w:t>
      </w:r>
      <w:r w:rsidR="007F637D" w:rsidRPr="0052681A">
        <w:rPr>
          <w:w w:val="100"/>
          <w:lang w:val="fr-CH"/>
        </w:rPr>
        <w:t> </w:t>
      </w:r>
      <w:r w:rsidR="000C6EEF" w:rsidRPr="0052681A">
        <w:rPr>
          <w:w w:val="100"/>
          <w:lang w:val="fr-CH"/>
        </w:rPr>
        <w:t>août 2015</w:t>
      </w:r>
    </w:p>
    <w:p w:rsidR="00754A41" w:rsidRPr="0052681A" w:rsidRDefault="00754A41" w:rsidP="00754A41">
      <w:pPr>
        <w:pStyle w:val="SingleTxt"/>
        <w:spacing w:after="0" w:line="120" w:lineRule="exact"/>
        <w:rPr>
          <w:sz w:val="10"/>
          <w:lang w:val="fr-CH"/>
        </w:rPr>
      </w:pPr>
    </w:p>
    <w:p w:rsidR="000C6EEF" w:rsidRPr="0052681A" w:rsidRDefault="00754A41" w:rsidP="00754A41">
      <w:pPr>
        <w:pStyle w:val="SingleTxt"/>
        <w:rPr>
          <w:w w:val="100"/>
          <w:lang w:val="fr-CH"/>
        </w:rPr>
      </w:pPr>
      <w:r w:rsidRPr="0052681A">
        <w:rPr>
          <w:w w:val="100"/>
          <w:lang w:val="fr-CH"/>
        </w:rPr>
        <w:tab/>
      </w:r>
      <w:r w:rsidR="000C6EEF" w:rsidRPr="0052681A">
        <w:rPr>
          <w:w w:val="100"/>
          <w:lang w:val="fr-CH"/>
        </w:rPr>
        <w:t xml:space="preserve">L’autorité compétente des Pays-Bas est autorisée à délivrer, à titre expérimental, un certificat d’agrément à l’automoteur-citerne </w:t>
      </w:r>
      <w:r w:rsidR="000C6EEF" w:rsidRPr="0052681A">
        <w:rPr>
          <w:i/>
          <w:w w:val="100"/>
          <w:lang w:val="fr-CH"/>
        </w:rPr>
        <w:t>Argos-GL</w:t>
      </w:r>
      <w:r w:rsidR="000C6EEF" w:rsidRPr="0052681A">
        <w:rPr>
          <w:w w:val="100"/>
          <w:lang w:val="fr-CH"/>
        </w:rPr>
        <w:t>, numéro d’identification à déterminer, de type G conformément à l’ADN, aux fins de l’utilisation de cuves à membrane pour le transport de gaz naturel liquéfié (GNL).</w:t>
      </w:r>
    </w:p>
    <w:p w:rsidR="000C6EEF" w:rsidRPr="0052681A" w:rsidRDefault="00754A41" w:rsidP="00754A41">
      <w:pPr>
        <w:pStyle w:val="SingleTxt"/>
        <w:rPr>
          <w:w w:val="100"/>
          <w:lang w:val="fr-CH"/>
        </w:rPr>
      </w:pPr>
      <w:r w:rsidRPr="0052681A">
        <w:rPr>
          <w:w w:val="100"/>
          <w:lang w:val="fr-CH"/>
        </w:rPr>
        <w:tab/>
      </w:r>
      <w:r w:rsidR="000C6EEF" w:rsidRPr="0052681A">
        <w:rPr>
          <w:w w:val="100"/>
          <w:lang w:val="fr-CH"/>
        </w:rPr>
        <w:t>Conformément aux dispositions du paragraphe 1.5.3.2 du Règlement annexé à l’ADN, le bateau susmentionné peut déroger aux prescriptions ci-après jusqu’au 31</w:t>
      </w:r>
      <w:r w:rsidR="007F637D" w:rsidRPr="0052681A">
        <w:rPr>
          <w:w w:val="100"/>
          <w:lang w:val="fr-CH"/>
        </w:rPr>
        <w:t> </w:t>
      </w:r>
      <w:r w:rsidR="000C6EEF" w:rsidRPr="0052681A">
        <w:rPr>
          <w:w w:val="100"/>
          <w:lang w:val="fr-CH"/>
        </w:rPr>
        <w:t>août 2020</w:t>
      </w:r>
      <w:r w:rsidR="007F637D" w:rsidRPr="0052681A">
        <w:rPr>
          <w:w w:val="100"/>
          <w:lang w:val="fr-CH"/>
        </w:rPr>
        <w:t> </w:t>
      </w:r>
      <w:r w:rsidR="000C6EEF" w:rsidRPr="0052681A">
        <w:rPr>
          <w:w w:val="100"/>
          <w:lang w:val="fr-CH"/>
        </w:rPr>
        <w:t>:</w:t>
      </w:r>
    </w:p>
    <w:p w:rsidR="000C6EEF" w:rsidRPr="0052681A" w:rsidRDefault="000C6EEF" w:rsidP="00754A41">
      <w:pPr>
        <w:pStyle w:val="SingleTxt"/>
        <w:ind w:left="1742" w:hanging="475"/>
        <w:rPr>
          <w:w w:val="100"/>
          <w:lang w:val="fr-CH"/>
        </w:rPr>
      </w:pPr>
      <w:r w:rsidRPr="0052681A">
        <w:rPr>
          <w:w w:val="100"/>
          <w:lang w:val="fr-CH"/>
        </w:rPr>
        <w:tab/>
        <w:t>1.</w:t>
      </w:r>
      <w:r w:rsidR="00754A41" w:rsidRPr="0052681A">
        <w:rPr>
          <w:w w:val="100"/>
          <w:lang w:val="fr-CH"/>
        </w:rPr>
        <w:tab/>
      </w:r>
      <w:r w:rsidRPr="00B21BB0">
        <w:rPr>
          <w:i/>
          <w:w w:val="100"/>
          <w:lang w:val="fr-CH"/>
        </w:rPr>
        <w:t>Tableau C, numéro ONU 1972 (GNL), colonne 7, conception de la citerne à cargaison</w:t>
      </w:r>
      <w:r w:rsidR="00A951F9" w:rsidRPr="0052681A">
        <w:rPr>
          <w:w w:val="100"/>
          <w:lang w:val="fr-CH"/>
        </w:rPr>
        <w:t> </w:t>
      </w:r>
      <w:r w:rsidRPr="0052681A">
        <w:rPr>
          <w:w w:val="100"/>
          <w:lang w:val="fr-CH"/>
        </w:rPr>
        <w:t>: 1 (citerne à pression).</w:t>
      </w:r>
    </w:p>
    <w:p w:rsidR="000C6EEF" w:rsidRPr="0052681A" w:rsidRDefault="000C6EEF" w:rsidP="00754A41">
      <w:pPr>
        <w:pStyle w:val="SingleTxt"/>
        <w:ind w:left="1742" w:hanging="475"/>
        <w:rPr>
          <w:w w:val="100"/>
          <w:lang w:val="fr-CH"/>
        </w:rPr>
      </w:pPr>
      <w:r w:rsidRPr="0052681A">
        <w:rPr>
          <w:w w:val="100"/>
          <w:lang w:val="fr-CH"/>
        </w:rPr>
        <w:tab/>
        <w:t>Bien que la cuve à membrane soit une cuve pressurisée (70 kPa), elle ne répond pas aux caractéristiques d’une citerne à pression telles qu’elles sont décrites dans l’ADN (400 kPa).</w:t>
      </w:r>
    </w:p>
    <w:p w:rsidR="000C6EEF" w:rsidRPr="0052681A" w:rsidRDefault="000C6EEF" w:rsidP="00754A41">
      <w:pPr>
        <w:pStyle w:val="SingleTxt"/>
        <w:ind w:left="1742" w:hanging="475"/>
        <w:rPr>
          <w:w w:val="100"/>
          <w:lang w:val="fr-CH"/>
        </w:rPr>
      </w:pPr>
      <w:r w:rsidRPr="0052681A">
        <w:rPr>
          <w:w w:val="100"/>
          <w:lang w:val="fr-CH"/>
        </w:rPr>
        <w:tab/>
        <w:t xml:space="preserve">Afin de réguler la pression dans les citernes à cargaison, on condense la vapeur à l’aide d’unités de liquéfaction doublées. Ainsi, on maintient la pression à l’intérieur de la citerne à une valeur proche de celle de la pression atmosphérique (voir la section 4.6 du rapport GTT, révision </w:t>
      </w:r>
      <w:r w:rsidR="00B21BB0">
        <w:rPr>
          <w:w w:val="100"/>
          <w:lang w:val="fr-CH"/>
        </w:rPr>
        <w:t>0</w:t>
      </w:r>
      <w:r w:rsidRPr="0052681A">
        <w:rPr>
          <w:w w:val="100"/>
          <w:lang w:val="fr-CH"/>
        </w:rPr>
        <w:t>2</w:t>
      </w:r>
      <w:r w:rsidR="007F637D" w:rsidRPr="0052681A">
        <w:rPr>
          <w:rStyle w:val="FootnoteReference"/>
          <w:lang w:val="fr-CH"/>
        </w:rPr>
        <w:footnoteReference w:id="3"/>
      </w:r>
      <w:r w:rsidRPr="0052681A">
        <w:rPr>
          <w:w w:val="100"/>
          <w:lang w:val="fr-CH"/>
        </w:rPr>
        <w:t>).</w:t>
      </w:r>
    </w:p>
    <w:p w:rsidR="000C6EEF" w:rsidRPr="0052681A" w:rsidRDefault="000C6EEF" w:rsidP="00754A41">
      <w:pPr>
        <w:pStyle w:val="SingleTxt"/>
        <w:ind w:left="1742" w:hanging="475"/>
        <w:rPr>
          <w:w w:val="100"/>
          <w:lang w:val="fr-CH"/>
        </w:rPr>
      </w:pPr>
      <w:r w:rsidRPr="0052681A">
        <w:rPr>
          <w:w w:val="100"/>
          <w:lang w:val="fr-CH"/>
        </w:rPr>
        <w:tab/>
        <w:t>2.</w:t>
      </w:r>
      <w:r w:rsidR="00754A41" w:rsidRPr="0052681A">
        <w:rPr>
          <w:w w:val="100"/>
          <w:lang w:val="fr-CH"/>
        </w:rPr>
        <w:tab/>
      </w:r>
      <w:r w:rsidRPr="0052681A">
        <w:rPr>
          <w:i/>
          <w:w w:val="100"/>
          <w:lang w:val="fr-CH"/>
        </w:rPr>
        <w:t>Tableau C, numéro ONU 1972 (GNL), colonne 8, type de citerne à cargaison</w:t>
      </w:r>
      <w:r w:rsidR="00A951F9" w:rsidRPr="0052681A">
        <w:rPr>
          <w:i/>
          <w:w w:val="100"/>
          <w:lang w:val="fr-CH"/>
        </w:rPr>
        <w:t> </w:t>
      </w:r>
      <w:r w:rsidRPr="0052681A">
        <w:rPr>
          <w:w w:val="100"/>
          <w:lang w:val="fr-CH"/>
        </w:rPr>
        <w:t>: 1 (citerne indépendante). Bien que la citerne soit indépendante de la structure du bateau en ce qui concerne la température, elle n’est pas indépendante structurellement.</w:t>
      </w:r>
    </w:p>
    <w:p w:rsidR="00754A41" w:rsidRPr="0052681A" w:rsidRDefault="000C6EEF" w:rsidP="00754A41">
      <w:pPr>
        <w:pStyle w:val="SingleTxt"/>
        <w:ind w:left="1742" w:hanging="475"/>
        <w:rPr>
          <w:w w:val="100"/>
          <w:lang w:val="fr-CH"/>
        </w:rPr>
      </w:pPr>
      <w:r w:rsidRPr="0052681A">
        <w:rPr>
          <w:w w:val="100"/>
          <w:lang w:val="fr-CH"/>
        </w:rPr>
        <w:tab/>
        <w:t xml:space="preserve">Les cuves à membrane sont maintenues par la structure interne du bateau. Celui-ci possède un double fond, un double pont et une double coque résistant à l’enfoncement. Il n’y a pas de transfert de froid entre la cargaison et la structure du bateau. La cargaison de GNL est en fait protégée par quatre (4) éléments (la coque externe et la coque interne du bateau, ainsi </w:t>
      </w:r>
      <w:r w:rsidR="00B21BB0">
        <w:rPr>
          <w:w w:val="100"/>
          <w:lang w:val="fr-CH"/>
        </w:rPr>
        <w:t xml:space="preserve">que </w:t>
      </w:r>
      <w:r w:rsidRPr="0052681A">
        <w:rPr>
          <w:w w:val="100"/>
          <w:lang w:val="fr-CH"/>
        </w:rPr>
        <w:t xml:space="preserve">la première membrane et la seconde membrane) (voir l’appendice 1, </w:t>
      </w:r>
      <w:r w:rsidR="007F637D" w:rsidRPr="0052681A">
        <w:rPr>
          <w:w w:val="100"/>
          <w:lang w:val="fr-CH"/>
        </w:rPr>
        <w:t>« </w:t>
      </w:r>
      <w:r w:rsidRPr="0052681A">
        <w:rPr>
          <w:w w:val="100"/>
          <w:lang w:val="fr-CH"/>
        </w:rPr>
        <w:t>General Arrangement », du rapport GTT, révis</w:t>
      </w:r>
      <w:r w:rsidR="007F637D" w:rsidRPr="0052681A">
        <w:rPr>
          <w:w w:val="100"/>
          <w:lang w:val="fr-CH"/>
        </w:rPr>
        <w:t>ion </w:t>
      </w:r>
      <w:r w:rsidR="00B21BB0">
        <w:rPr>
          <w:w w:val="100"/>
          <w:lang w:val="fr-CH"/>
        </w:rPr>
        <w:t>0</w:t>
      </w:r>
      <w:r w:rsidRPr="0052681A">
        <w:rPr>
          <w:w w:val="100"/>
          <w:lang w:val="fr-CH"/>
        </w:rPr>
        <w:t>2*).</w:t>
      </w:r>
    </w:p>
    <w:p w:rsidR="000C6EEF" w:rsidRPr="0052681A" w:rsidRDefault="000C6EEF" w:rsidP="00754A41">
      <w:pPr>
        <w:pStyle w:val="SingleTxt"/>
        <w:ind w:left="1742" w:hanging="475"/>
        <w:rPr>
          <w:w w:val="100"/>
          <w:lang w:val="fr-CH"/>
        </w:rPr>
      </w:pPr>
      <w:r w:rsidRPr="0052681A">
        <w:rPr>
          <w:w w:val="100"/>
          <w:lang w:val="fr-CH"/>
        </w:rPr>
        <w:tab/>
        <w:t>3.</w:t>
      </w:r>
      <w:r w:rsidRPr="0052681A">
        <w:rPr>
          <w:i/>
          <w:w w:val="100"/>
          <w:lang w:val="fr-CH"/>
        </w:rPr>
        <w:t>9.3.1.0.1 Matériaux de construction</w:t>
      </w:r>
      <w:r w:rsidRPr="0052681A">
        <w:rPr>
          <w:w w:val="100"/>
          <w:lang w:val="fr-CH"/>
        </w:rPr>
        <w:t>. Les cuves à membrane sont réalisées à partir des matériaux suivants</w:t>
      </w:r>
      <w:r w:rsidR="00A951F9" w:rsidRPr="0052681A">
        <w:rPr>
          <w:w w:val="100"/>
          <w:lang w:val="fr-CH"/>
        </w:rPr>
        <w:t> </w:t>
      </w:r>
      <w:r w:rsidRPr="0052681A">
        <w:rPr>
          <w:w w:val="100"/>
          <w:lang w:val="fr-CH"/>
        </w:rPr>
        <w:t>: contreplaqué, mousse de polyuréthane, a</w:t>
      </w:r>
      <w:r w:rsidR="007F637D" w:rsidRPr="0052681A">
        <w:rPr>
          <w:w w:val="100"/>
          <w:lang w:val="fr-CH"/>
        </w:rPr>
        <w:t xml:space="preserve">lumiphane et acier inoxydable. </w:t>
      </w:r>
    </w:p>
    <w:p w:rsidR="000C6EEF" w:rsidRPr="0052681A" w:rsidRDefault="000C6EEF" w:rsidP="00754A41">
      <w:pPr>
        <w:pStyle w:val="SingleTxt"/>
        <w:ind w:left="1742" w:hanging="475"/>
        <w:rPr>
          <w:w w:val="100"/>
          <w:lang w:val="fr-CH"/>
        </w:rPr>
      </w:pPr>
      <w:r w:rsidRPr="0052681A">
        <w:rPr>
          <w:w w:val="100"/>
          <w:lang w:val="fr-CH"/>
        </w:rPr>
        <w:tab/>
        <w:t xml:space="preserve">La membrane principale, qui est en contact avec le GNL à basse température, est en acier inoxydable. Les autres matériaux, qui servent d’isolants uniquement, ne sont pas en contact avec le GNL (voir la section 4.4 du rapport GTT, révision </w:t>
      </w:r>
      <w:r w:rsidR="00B21BB0">
        <w:rPr>
          <w:w w:val="100"/>
          <w:lang w:val="fr-CH"/>
        </w:rPr>
        <w:t>0</w:t>
      </w:r>
      <w:r w:rsidRPr="0052681A">
        <w:rPr>
          <w:w w:val="100"/>
          <w:lang w:val="fr-CH"/>
        </w:rPr>
        <w:t>2*).</w:t>
      </w:r>
    </w:p>
    <w:p w:rsidR="000C6EEF" w:rsidRPr="0052681A" w:rsidRDefault="000C6EEF" w:rsidP="00754A41">
      <w:pPr>
        <w:pStyle w:val="SingleTxt"/>
        <w:ind w:left="1742" w:hanging="475"/>
        <w:rPr>
          <w:w w:val="100"/>
          <w:lang w:val="fr-CH"/>
        </w:rPr>
      </w:pPr>
      <w:r w:rsidRPr="0052681A">
        <w:rPr>
          <w:w w:val="100"/>
          <w:lang w:val="fr-CH"/>
        </w:rPr>
        <w:tab/>
        <w:t>4.</w:t>
      </w:r>
      <w:r w:rsidRPr="0052681A">
        <w:rPr>
          <w:i/>
          <w:w w:val="100"/>
          <w:lang w:val="fr-CH"/>
        </w:rPr>
        <w:t>9.3.1.0.2 Utilisation de bois, d’aluminium et de matières plastiques dans la zone de cargaison</w:t>
      </w:r>
      <w:r w:rsidRPr="0052681A">
        <w:rPr>
          <w:w w:val="100"/>
          <w:lang w:val="fr-CH"/>
        </w:rPr>
        <w:t>. Les cuves à membrane sont construites à partir de contreplaqué, de mousse de polyuréthane, d’alu</w:t>
      </w:r>
      <w:r w:rsidR="00754A41" w:rsidRPr="0052681A">
        <w:rPr>
          <w:w w:val="100"/>
          <w:lang w:val="fr-CH"/>
        </w:rPr>
        <w:t xml:space="preserve">miphane et d’acier inoxydable. </w:t>
      </w:r>
    </w:p>
    <w:p w:rsidR="000C6EEF" w:rsidRPr="0052681A" w:rsidRDefault="000C6EEF" w:rsidP="00754A41">
      <w:pPr>
        <w:pStyle w:val="SingleTxt"/>
        <w:ind w:left="1742" w:hanging="475"/>
        <w:rPr>
          <w:w w:val="100"/>
          <w:lang w:val="fr-CH"/>
        </w:rPr>
      </w:pPr>
      <w:r w:rsidRPr="0052681A">
        <w:rPr>
          <w:w w:val="100"/>
          <w:lang w:val="fr-CH"/>
        </w:rPr>
        <w:tab/>
        <w:t>Le risque d’inflammation et d’incendie dans l’enveloppe de confinement du GNL est éliminé en raison de l’</w:t>
      </w:r>
      <w:proofErr w:type="spellStart"/>
      <w:r w:rsidRPr="0052681A">
        <w:rPr>
          <w:w w:val="100"/>
          <w:lang w:val="fr-CH"/>
        </w:rPr>
        <w:t>inertage</w:t>
      </w:r>
      <w:proofErr w:type="spellEnd"/>
      <w:r w:rsidRPr="0052681A">
        <w:rPr>
          <w:w w:val="100"/>
          <w:lang w:val="fr-CH"/>
        </w:rPr>
        <w:t xml:space="preserve"> de cette partie de la citerne par l’azote (voir la section 3.3 du rapport GTT, révision </w:t>
      </w:r>
      <w:r w:rsidR="00B21BB0">
        <w:rPr>
          <w:w w:val="100"/>
          <w:lang w:val="fr-CH"/>
        </w:rPr>
        <w:t>0</w:t>
      </w:r>
      <w:r w:rsidRPr="0052681A">
        <w:rPr>
          <w:w w:val="100"/>
          <w:lang w:val="fr-CH"/>
        </w:rPr>
        <w:t xml:space="preserve">2*). </w:t>
      </w:r>
    </w:p>
    <w:p w:rsidR="000C6EEF" w:rsidRPr="0052681A" w:rsidRDefault="000C6EEF" w:rsidP="00754A41">
      <w:pPr>
        <w:pStyle w:val="SingleTxt"/>
        <w:ind w:left="1742" w:hanging="475"/>
        <w:rPr>
          <w:i/>
          <w:w w:val="100"/>
          <w:lang w:val="fr-CH"/>
        </w:rPr>
      </w:pPr>
      <w:r w:rsidRPr="0052681A">
        <w:rPr>
          <w:w w:val="100"/>
          <w:lang w:val="fr-CH"/>
        </w:rPr>
        <w:tab/>
        <w:t>5.</w:t>
      </w:r>
      <w:r w:rsidRPr="0052681A">
        <w:rPr>
          <w:i/>
          <w:w w:val="100"/>
          <w:lang w:val="fr-CH"/>
        </w:rPr>
        <w:t>9.3.1.23.1 Les citernes à cargaison doivent être conformes aux prescriptions d’une société de classification relatives aux récipients à pression</w:t>
      </w:r>
      <w:r w:rsidRPr="0052681A">
        <w:rPr>
          <w:w w:val="100"/>
          <w:lang w:val="fr-CH"/>
        </w:rPr>
        <w:t xml:space="preserve">. Comme les citernes visées ne sont pas considérées comme des récipients à pression, ces prescriptions ne sont pas applicables. Toutefois, les cuves à membrane sont homologuées par la société de classification qui classe le bateau (Lloyd’s </w:t>
      </w:r>
      <w:proofErr w:type="spellStart"/>
      <w:r w:rsidRPr="0052681A">
        <w:rPr>
          <w:w w:val="100"/>
          <w:lang w:val="fr-CH"/>
        </w:rPr>
        <w:t>Register</w:t>
      </w:r>
      <w:proofErr w:type="spellEnd"/>
      <w:r w:rsidRPr="0052681A">
        <w:rPr>
          <w:w w:val="100"/>
          <w:lang w:val="fr-CH"/>
        </w:rPr>
        <w:t xml:space="preserve">) et par d’autres sociétés de classification agréées (voir la section 3 du rapport GTT, révision </w:t>
      </w:r>
      <w:r w:rsidR="00B21BB0">
        <w:rPr>
          <w:w w:val="100"/>
          <w:lang w:val="fr-CH"/>
        </w:rPr>
        <w:t>0</w:t>
      </w:r>
      <w:r w:rsidRPr="0052681A">
        <w:rPr>
          <w:w w:val="100"/>
          <w:lang w:val="fr-CH"/>
        </w:rPr>
        <w:t>2*).</w:t>
      </w:r>
    </w:p>
    <w:p w:rsidR="000C6EEF" w:rsidRPr="0052681A" w:rsidRDefault="00754A41" w:rsidP="00754A41">
      <w:pPr>
        <w:pStyle w:val="SingleTxt"/>
        <w:ind w:left="1742" w:hanging="475"/>
        <w:rPr>
          <w:w w:val="100"/>
          <w:lang w:val="fr-CH"/>
        </w:rPr>
      </w:pPr>
      <w:r w:rsidRPr="0052681A">
        <w:rPr>
          <w:w w:val="100"/>
          <w:lang w:val="fr-CH"/>
        </w:rPr>
        <w:tab/>
      </w:r>
      <w:r w:rsidR="000C6EEF" w:rsidRPr="0052681A">
        <w:rPr>
          <w:w w:val="100"/>
          <w:lang w:val="fr-CH"/>
        </w:rPr>
        <w:t>Outre les considérations ci-dessus, relatives aux cuves à membrane, les prescriptions ci-après peuvent également être ignorées</w:t>
      </w:r>
      <w:r w:rsidR="00A951F9" w:rsidRPr="0052681A">
        <w:rPr>
          <w:w w:val="100"/>
          <w:lang w:val="fr-CH"/>
        </w:rPr>
        <w:t> </w:t>
      </w:r>
      <w:r w:rsidR="000C6EEF" w:rsidRPr="0052681A">
        <w:rPr>
          <w:w w:val="100"/>
          <w:lang w:val="fr-CH"/>
        </w:rPr>
        <w:t>:</w:t>
      </w:r>
    </w:p>
    <w:p w:rsidR="000C6EEF" w:rsidRPr="0052681A" w:rsidRDefault="00754A41" w:rsidP="00754A41">
      <w:pPr>
        <w:pStyle w:val="SingleTxt"/>
        <w:ind w:left="1742" w:hanging="475"/>
        <w:rPr>
          <w:w w:val="100"/>
          <w:lang w:val="fr-CH"/>
        </w:rPr>
      </w:pPr>
      <w:r w:rsidRPr="0052681A">
        <w:rPr>
          <w:w w:val="100"/>
          <w:lang w:val="fr-CH"/>
        </w:rPr>
        <w:tab/>
      </w:r>
      <w:r w:rsidR="000C6EEF" w:rsidRPr="0052681A">
        <w:rPr>
          <w:w w:val="100"/>
          <w:lang w:val="fr-CH"/>
        </w:rPr>
        <w:t>6.</w:t>
      </w:r>
      <w:r w:rsidR="000C6EEF" w:rsidRPr="0052681A">
        <w:rPr>
          <w:i/>
          <w:w w:val="100"/>
          <w:lang w:val="fr-CH"/>
        </w:rPr>
        <w:t>1.2.1 Citernes montées dans les bateaux-citernes de type G</w:t>
      </w:r>
      <w:r w:rsidR="000C6EEF" w:rsidRPr="0052681A">
        <w:rPr>
          <w:w w:val="100"/>
          <w:lang w:val="fr-CH"/>
        </w:rPr>
        <w:t xml:space="preserve">. Les bateaux-citernes de type G sont définis comme des bateaux équipés de citernes indépendantes. Outre les cuves à membrane, ils possèdent quatre citernes pour le transport des produits pétroliers. Ces dernières sont intégrées à la structure du bateau et sont séparées de ses autres parties par des </w:t>
      </w:r>
      <w:proofErr w:type="spellStart"/>
      <w:r w:rsidR="000C6EEF" w:rsidRPr="0052681A">
        <w:rPr>
          <w:w w:val="100"/>
          <w:lang w:val="fr-CH"/>
        </w:rPr>
        <w:t>cofferdams</w:t>
      </w:r>
      <w:proofErr w:type="spellEnd"/>
      <w:r w:rsidR="000C6EEF" w:rsidRPr="0052681A">
        <w:rPr>
          <w:w w:val="100"/>
          <w:lang w:val="fr-CH"/>
        </w:rPr>
        <w:t xml:space="preserve"> transversaux (voir l’appendice 1, </w:t>
      </w:r>
      <w:r w:rsidR="00A951F9" w:rsidRPr="0052681A">
        <w:rPr>
          <w:w w:val="100"/>
          <w:lang w:val="fr-CH"/>
        </w:rPr>
        <w:t>« </w:t>
      </w:r>
      <w:r w:rsidR="000C6EEF" w:rsidRPr="0052681A">
        <w:rPr>
          <w:w w:val="100"/>
          <w:lang w:val="fr-CH"/>
        </w:rPr>
        <w:t xml:space="preserve">General Arrangement », du rapport GTT, révision </w:t>
      </w:r>
      <w:r w:rsidR="00B21BB0">
        <w:rPr>
          <w:w w:val="100"/>
          <w:lang w:val="fr-CH"/>
        </w:rPr>
        <w:t>0</w:t>
      </w:r>
      <w:r w:rsidR="000C6EEF" w:rsidRPr="0052681A">
        <w:rPr>
          <w:w w:val="100"/>
          <w:lang w:val="fr-CH"/>
        </w:rPr>
        <w:t xml:space="preserve">2*). </w:t>
      </w:r>
    </w:p>
    <w:p w:rsidR="00754A41" w:rsidRPr="0052681A" w:rsidRDefault="00754A41" w:rsidP="00754A41">
      <w:pPr>
        <w:pStyle w:val="SingleTxt"/>
        <w:spacing w:after="0" w:line="120" w:lineRule="exact"/>
        <w:ind w:left="1742" w:hanging="475"/>
        <w:rPr>
          <w:w w:val="100"/>
          <w:sz w:val="10"/>
          <w:lang w:val="fr-CH"/>
        </w:rPr>
      </w:pPr>
    </w:p>
    <w:p w:rsidR="000C6EEF" w:rsidRPr="0052681A" w:rsidRDefault="00754A41" w:rsidP="00754A4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CH"/>
        </w:rPr>
      </w:pPr>
      <w:r w:rsidRPr="0052681A">
        <w:rPr>
          <w:w w:val="100"/>
          <w:lang w:val="fr-CH"/>
        </w:rPr>
        <w:tab/>
      </w:r>
      <w:r w:rsidRPr="0052681A">
        <w:rPr>
          <w:w w:val="100"/>
          <w:lang w:val="fr-CH"/>
        </w:rPr>
        <w:tab/>
      </w:r>
      <w:r w:rsidR="000C6EEF" w:rsidRPr="0052681A">
        <w:rPr>
          <w:w w:val="100"/>
          <w:lang w:val="fr-CH"/>
        </w:rPr>
        <w:t>Conditions</w:t>
      </w:r>
    </w:p>
    <w:p w:rsidR="00754A41" w:rsidRPr="0052681A" w:rsidRDefault="00754A41" w:rsidP="007F637D">
      <w:pPr>
        <w:pStyle w:val="SingleTxt"/>
        <w:spacing w:after="0" w:line="120" w:lineRule="exact"/>
        <w:rPr>
          <w:w w:val="100"/>
          <w:sz w:val="10"/>
          <w:lang w:val="fr-CH"/>
        </w:rPr>
      </w:pPr>
    </w:p>
    <w:p w:rsidR="000C6EEF" w:rsidRPr="0052681A" w:rsidRDefault="00A951F9" w:rsidP="00754A41">
      <w:pPr>
        <w:pStyle w:val="SingleTxt"/>
        <w:rPr>
          <w:w w:val="100"/>
          <w:lang w:val="fr-CH"/>
        </w:rPr>
      </w:pPr>
      <w:r w:rsidRPr="0052681A">
        <w:rPr>
          <w:w w:val="100"/>
          <w:lang w:val="fr-CH"/>
        </w:rPr>
        <w:tab/>
      </w:r>
      <w:r w:rsidR="000C6EEF" w:rsidRPr="0052681A">
        <w:rPr>
          <w:w w:val="100"/>
          <w:lang w:val="fr-CH"/>
        </w:rPr>
        <w:t>Le Comité d’administration a décidé que l’utilisation de cuves à membrane était suffisamment sûre si les conditions ci-après étaient réunies en toute circonstance</w:t>
      </w:r>
      <w:r w:rsidRPr="0052681A">
        <w:rPr>
          <w:w w:val="100"/>
          <w:lang w:val="fr-CH"/>
        </w:rPr>
        <w:t> </w:t>
      </w:r>
      <w:r w:rsidR="000C6EEF" w:rsidRPr="0052681A">
        <w:rPr>
          <w:w w:val="100"/>
          <w:lang w:val="fr-CH"/>
        </w:rPr>
        <w:t>:</w:t>
      </w:r>
    </w:p>
    <w:p w:rsidR="000C6EEF" w:rsidRPr="0052681A" w:rsidRDefault="000C6EEF" w:rsidP="00754A41">
      <w:pPr>
        <w:pStyle w:val="SingleTxt"/>
        <w:rPr>
          <w:w w:val="100"/>
          <w:lang w:val="fr-CH"/>
        </w:rPr>
      </w:pPr>
      <w:r w:rsidRPr="0052681A">
        <w:rPr>
          <w:w w:val="100"/>
          <w:lang w:val="fr-CH"/>
        </w:rPr>
        <w:t>1.</w:t>
      </w:r>
      <w:r w:rsidRPr="0052681A">
        <w:rPr>
          <w:w w:val="100"/>
          <w:lang w:val="fr-CH"/>
        </w:rPr>
        <w:tab/>
        <w:t>Le bateau est censé circuler uniquement dans le secteur Amsterdam-Rotterdam-Anvers.</w:t>
      </w:r>
    </w:p>
    <w:p w:rsidR="000C6EEF" w:rsidRPr="0052681A" w:rsidRDefault="000C6EEF" w:rsidP="00754A41">
      <w:pPr>
        <w:pStyle w:val="SingleTxt"/>
        <w:rPr>
          <w:w w:val="100"/>
          <w:lang w:val="fr-CH"/>
        </w:rPr>
      </w:pPr>
      <w:r w:rsidRPr="0052681A">
        <w:rPr>
          <w:w w:val="100"/>
          <w:lang w:val="fr-CH"/>
        </w:rPr>
        <w:t>2.</w:t>
      </w:r>
      <w:r w:rsidRPr="0052681A">
        <w:rPr>
          <w:w w:val="100"/>
          <w:lang w:val="fr-CH"/>
        </w:rPr>
        <w:tab/>
        <w:t>Les citernes à GNL du bateau doivent être chargées uniquement au port de Rotterdam, où cette opération est autorisée par l’autorité portuaire. Le chargement doit s’effectuer selon les procédures de chargement reconnues par l’Association internationale des ports (AIP).</w:t>
      </w:r>
    </w:p>
    <w:p w:rsidR="000C6EEF" w:rsidRPr="0052681A" w:rsidRDefault="000C6EEF" w:rsidP="00754A41">
      <w:pPr>
        <w:pStyle w:val="SingleTxt"/>
        <w:rPr>
          <w:w w:val="100"/>
          <w:lang w:val="fr-CH"/>
        </w:rPr>
      </w:pPr>
      <w:r w:rsidRPr="0052681A">
        <w:rPr>
          <w:w w:val="100"/>
          <w:lang w:val="fr-CH"/>
        </w:rPr>
        <w:t>3.</w:t>
      </w:r>
      <w:r w:rsidRPr="0052681A">
        <w:rPr>
          <w:w w:val="100"/>
          <w:lang w:val="fr-CH"/>
        </w:rPr>
        <w:tab/>
        <w:t xml:space="preserve">Le bateau doit être conforme aux dispositions réglementaires relatives à la classification des bateaux de navigation intérieure de Lloyd’s </w:t>
      </w:r>
      <w:proofErr w:type="spellStart"/>
      <w:r w:rsidRPr="0052681A">
        <w:rPr>
          <w:w w:val="100"/>
          <w:lang w:val="fr-CH"/>
        </w:rPr>
        <w:t>Register</w:t>
      </w:r>
      <w:proofErr w:type="spellEnd"/>
      <w:r w:rsidRPr="0052681A">
        <w:rPr>
          <w:w w:val="100"/>
          <w:lang w:val="fr-CH"/>
        </w:rPr>
        <w:t xml:space="preserve"> (</w:t>
      </w:r>
      <w:proofErr w:type="spellStart"/>
      <w:r w:rsidRPr="0052681A">
        <w:rPr>
          <w:w w:val="100"/>
          <w:lang w:val="fr-CH"/>
        </w:rPr>
        <w:t>Rules</w:t>
      </w:r>
      <w:proofErr w:type="spellEnd"/>
      <w:r w:rsidRPr="0052681A">
        <w:rPr>
          <w:w w:val="100"/>
          <w:lang w:val="fr-CH"/>
        </w:rPr>
        <w:t xml:space="preserve"> and </w:t>
      </w:r>
      <w:proofErr w:type="spellStart"/>
      <w:r w:rsidRPr="0052681A">
        <w:rPr>
          <w:w w:val="100"/>
          <w:lang w:val="fr-CH"/>
        </w:rPr>
        <w:t>Regulations</w:t>
      </w:r>
      <w:proofErr w:type="spellEnd"/>
      <w:r w:rsidRPr="0052681A">
        <w:rPr>
          <w:w w:val="100"/>
          <w:lang w:val="fr-CH"/>
        </w:rPr>
        <w:t xml:space="preserve"> for the Classification of </w:t>
      </w:r>
      <w:proofErr w:type="spellStart"/>
      <w:r w:rsidRPr="0052681A">
        <w:rPr>
          <w:w w:val="100"/>
          <w:lang w:val="fr-CH"/>
        </w:rPr>
        <w:t>Inland</w:t>
      </w:r>
      <w:proofErr w:type="spellEnd"/>
      <w:r w:rsidRPr="0052681A">
        <w:rPr>
          <w:w w:val="100"/>
          <w:lang w:val="fr-CH"/>
        </w:rPr>
        <w:t xml:space="preserve"> </w:t>
      </w:r>
      <w:proofErr w:type="spellStart"/>
      <w:r w:rsidRPr="0052681A">
        <w:rPr>
          <w:w w:val="100"/>
          <w:lang w:val="fr-CH"/>
        </w:rPr>
        <w:t>Waterway</w:t>
      </w:r>
      <w:proofErr w:type="spellEnd"/>
      <w:r w:rsidRPr="0052681A">
        <w:rPr>
          <w:w w:val="100"/>
          <w:lang w:val="fr-CH"/>
        </w:rPr>
        <w:t xml:space="preserve"> </w:t>
      </w:r>
      <w:proofErr w:type="spellStart"/>
      <w:r w:rsidRPr="0052681A">
        <w:rPr>
          <w:w w:val="100"/>
          <w:lang w:val="fr-CH"/>
        </w:rPr>
        <w:t>Vessels</w:t>
      </w:r>
      <w:proofErr w:type="spellEnd"/>
      <w:r w:rsidRPr="0052681A">
        <w:rPr>
          <w:w w:val="100"/>
          <w:lang w:val="fr-CH"/>
        </w:rPr>
        <w:t>).</w:t>
      </w:r>
    </w:p>
    <w:p w:rsidR="000C6EEF" w:rsidRPr="0052681A" w:rsidRDefault="000C6EEF" w:rsidP="00754A41">
      <w:pPr>
        <w:pStyle w:val="SingleTxt"/>
        <w:rPr>
          <w:w w:val="100"/>
          <w:lang w:val="fr-CH"/>
        </w:rPr>
      </w:pPr>
      <w:r w:rsidRPr="0052681A">
        <w:rPr>
          <w:w w:val="100"/>
          <w:lang w:val="fr-CH"/>
        </w:rPr>
        <w:t>4.</w:t>
      </w:r>
      <w:r w:rsidRPr="0052681A">
        <w:rPr>
          <w:w w:val="100"/>
          <w:lang w:val="fr-CH"/>
        </w:rPr>
        <w:tab/>
        <w:t xml:space="preserve">Le bateau doit en outre posséder des équipements de sécurité supplémentaires, comme indiqué dans le rapport GTT, révision </w:t>
      </w:r>
      <w:r w:rsidR="00B21BB0">
        <w:rPr>
          <w:w w:val="100"/>
          <w:lang w:val="fr-CH"/>
        </w:rPr>
        <w:t>0</w:t>
      </w:r>
      <w:r w:rsidRPr="0052681A">
        <w:rPr>
          <w:w w:val="100"/>
          <w:lang w:val="fr-CH"/>
        </w:rPr>
        <w:t>2*. Ces équipements sont les suivants</w:t>
      </w:r>
      <w:r w:rsidR="007F637D" w:rsidRPr="0052681A">
        <w:rPr>
          <w:w w:val="100"/>
          <w:lang w:val="fr-CH"/>
        </w:rPr>
        <w:t> </w:t>
      </w:r>
      <w:r w:rsidRPr="0052681A">
        <w:rPr>
          <w:w w:val="100"/>
          <w:lang w:val="fr-CH"/>
        </w:rPr>
        <w:t>:</w:t>
      </w:r>
    </w:p>
    <w:p w:rsidR="000C6EEF" w:rsidRPr="0052681A" w:rsidRDefault="00754A41" w:rsidP="00754A41">
      <w:pPr>
        <w:pStyle w:val="SingleTxt"/>
        <w:rPr>
          <w:w w:val="100"/>
          <w:lang w:val="fr-CH"/>
        </w:rPr>
      </w:pPr>
      <w:r w:rsidRPr="0052681A">
        <w:rPr>
          <w:w w:val="100"/>
          <w:lang w:val="fr-CH"/>
        </w:rPr>
        <w:tab/>
      </w:r>
      <w:r w:rsidR="000C6EEF" w:rsidRPr="0052681A">
        <w:rPr>
          <w:w w:val="100"/>
          <w:lang w:val="fr-CH"/>
        </w:rPr>
        <w:t>a)</w:t>
      </w:r>
      <w:r w:rsidR="000C6EEF" w:rsidRPr="0052681A">
        <w:rPr>
          <w:w w:val="100"/>
          <w:lang w:val="fr-CH"/>
        </w:rPr>
        <w:tab/>
        <w:t xml:space="preserve">Toutes les citernes à cargaison sont séparées par des </w:t>
      </w:r>
      <w:proofErr w:type="spellStart"/>
      <w:r w:rsidR="000C6EEF" w:rsidRPr="0052681A">
        <w:rPr>
          <w:w w:val="100"/>
          <w:lang w:val="fr-CH"/>
        </w:rPr>
        <w:t>cofferdams</w:t>
      </w:r>
      <w:proofErr w:type="spellEnd"/>
      <w:r w:rsidR="000C6EEF" w:rsidRPr="0052681A">
        <w:rPr>
          <w:w w:val="100"/>
          <w:lang w:val="fr-CH"/>
        </w:rPr>
        <w:t>;</w:t>
      </w:r>
    </w:p>
    <w:p w:rsidR="000C6EEF" w:rsidRPr="0052681A" w:rsidRDefault="00754A41" w:rsidP="00754A41">
      <w:pPr>
        <w:pStyle w:val="SingleTxt"/>
        <w:rPr>
          <w:w w:val="100"/>
          <w:lang w:val="fr-CH"/>
        </w:rPr>
      </w:pPr>
      <w:r w:rsidRPr="0052681A">
        <w:rPr>
          <w:w w:val="100"/>
          <w:lang w:val="fr-CH"/>
        </w:rPr>
        <w:tab/>
      </w:r>
      <w:r w:rsidR="000C6EEF" w:rsidRPr="0052681A">
        <w:rPr>
          <w:w w:val="100"/>
          <w:lang w:val="fr-CH"/>
        </w:rPr>
        <w:t>b)</w:t>
      </w:r>
      <w:r w:rsidR="000C6EEF" w:rsidRPr="0052681A">
        <w:rPr>
          <w:w w:val="100"/>
          <w:lang w:val="fr-CH"/>
        </w:rPr>
        <w:tab/>
        <w:t xml:space="preserve">Les citernes à produits pétroliers peuvent être </w:t>
      </w:r>
      <w:proofErr w:type="spellStart"/>
      <w:r w:rsidR="000C6EEF" w:rsidRPr="0052681A">
        <w:rPr>
          <w:w w:val="100"/>
          <w:lang w:val="fr-CH"/>
        </w:rPr>
        <w:t>inertées</w:t>
      </w:r>
      <w:proofErr w:type="spellEnd"/>
      <w:r w:rsidR="000C6EEF" w:rsidRPr="0052681A">
        <w:rPr>
          <w:w w:val="100"/>
          <w:lang w:val="fr-CH"/>
        </w:rPr>
        <w:t>;</w:t>
      </w:r>
    </w:p>
    <w:p w:rsidR="000C6EEF" w:rsidRPr="0052681A" w:rsidRDefault="00754A41" w:rsidP="00754A41">
      <w:pPr>
        <w:pStyle w:val="SingleTxt"/>
        <w:rPr>
          <w:w w:val="100"/>
          <w:lang w:val="fr-CH"/>
        </w:rPr>
      </w:pPr>
      <w:r w:rsidRPr="0052681A">
        <w:rPr>
          <w:w w:val="100"/>
          <w:lang w:val="fr-CH"/>
        </w:rPr>
        <w:tab/>
      </w:r>
      <w:r w:rsidR="000C6EEF" w:rsidRPr="0052681A">
        <w:rPr>
          <w:w w:val="100"/>
          <w:lang w:val="fr-CH"/>
        </w:rPr>
        <w:t>c)</w:t>
      </w:r>
      <w:r w:rsidR="000C6EEF" w:rsidRPr="0052681A">
        <w:rPr>
          <w:w w:val="100"/>
          <w:lang w:val="fr-CH"/>
        </w:rPr>
        <w:tab/>
        <w:t>Tous les dispositifs de sécurité sont doublés;</w:t>
      </w:r>
    </w:p>
    <w:p w:rsidR="000C6EEF" w:rsidRPr="0052681A" w:rsidRDefault="00754A41" w:rsidP="00754A41">
      <w:pPr>
        <w:pStyle w:val="SingleTxt"/>
        <w:rPr>
          <w:w w:val="100"/>
          <w:lang w:val="fr-CH"/>
        </w:rPr>
      </w:pPr>
      <w:r w:rsidRPr="0052681A">
        <w:rPr>
          <w:w w:val="100"/>
          <w:lang w:val="fr-CH"/>
        </w:rPr>
        <w:tab/>
      </w:r>
      <w:r w:rsidR="000C6EEF" w:rsidRPr="0052681A">
        <w:rPr>
          <w:w w:val="100"/>
          <w:lang w:val="fr-CH"/>
        </w:rPr>
        <w:t>d)</w:t>
      </w:r>
      <w:r w:rsidR="000C6EEF" w:rsidRPr="0052681A">
        <w:rPr>
          <w:w w:val="100"/>
          <w:lang w:val="fr-CH"/>
        </w:rPr>
        <w:tab/>
        <w:t xml:space="preserve">Les soupapes de surpression doivent être dimensionnées en fonction du risque d’incendie dans les espaces adjacents. </w:t>
      </w:r>
    </w:p>
    <w:p w:rsidR="000C6EEF" w:rsidRPr="0052681A" w:rsidRDefault="000C6EEF" w:rsidP="00754A41">
      <w:pPr>
        <w:pStyle w:val="SingleTxt"/>
        <w:rPr>
          <w:w w:val="100"/>
          <w:lang w:val="fr-CH"/>
        </w:rPr>
      </w:pPr>
      <w:r w:rsidRPr="0052681A">
        <w:rPr>
          <w:w w:val="100"/>
          <w:lang w:val="fr-CH"/>
        </w:rPr>
        <w:t>5.</w:t>
      </w:r>
      <w:r w:rsidRPr="0052681A">
        <w:rPr>
          <w:w w:val="100"/>
          <w:lang w:val="fr-CH"/>
        </w:rPr>
        <w:tab/>
        <w:t>L’utilisation du système de confinement à basse pression (70</w:t>
      </w:r>
      <w:r w:rsidR="007F637D" w:rsidRPr="0052681A">
        <w:rPr>
          <w:w w:val="100"/>
          <w:lang w:val="fr-CH"/>
        </w:rPr>
        <w:t> </w:t>
      </w:r>
      <w:r w:rsidRPr="0052681A">
        <w:rPr>
          <w:w w:val="100"/>
          <w:lang w:val="fr-CH"/>
        </w:rPr>
        <w:t>kPa) permet ce qui suit</w:t>
      </w:r>
      <w:r w:rsidR="00A951F9" w:rsidRPr="0052681A">
        <w:rPr>
          <w:w w:val="100"/>
          <w:lang w:val="fr-CH"/>
        </w:rPr>
        <w:t> </w:t>
      </w:r>
      <w:r w:rsidRPr="0052681A">
        <w:rPr>
          <w:w w:val="100"/>
          <w:lang w:val="fr-CH"/>
        </w:rPr>
        <w:t xml:space="preserve">: </w:t>
      </w:r>
    </w:p>
    <w:p w:rsidR="000C6EEF" w:rsidRPr="0052681A" w:rsidRDefault="00754A41" w:rsidP="00754A41">
      <w:pPr>
        <w:pStyle w:val="SingleTxt"/>
        <w:rPr>
          <w:w w:val="100"/>
          <w:lang w:val="fr-CH"/>
        </w:rPr>
      </w:pPr>
      <w:r w:rsidRPr="0052681A">
        <w:rPr>
          <w:w w:val="100"/>
          <w:lang w:val="fr-CH"/>
        </w:rPr>
        <w:tab/>
      </w:r>
      <w:proofErr w:type="gramStart"/>
      <w:r w:rsidR="000C6EEF" w:rsidRPr="0052681A">
        <w:rPr>
          <w:w w:val="100"/>
          <w:lang w:val="fr-CH"/>
        </w:rPr>
        <w:t>a</w:t>
      </w:r>
      <w:proofErr w:type="gramEnd"/>
      <w:r w:rsidR="000C6EEF" w:rsidRPr="0052681A">
        <w:rPr>
          <w:w w:val="100"/>
          <w:lang w:val="fr-CH"/>
        </w:rPr>
        <w:t>)</w:t>
      </w:r>
      <w:r w:rsidR="000C6EEF" w:rsidRPr="0052681A">
        <w:rPr>
          <w:w w:val="100"/>
          <w:lang w:val="fr-CH"/>
        </w:rPr>
        <w:tab/>
        <w:t xml:space="preserve">Aucun risque de BLEVE (voir la section 3.2 du rapport GTT, révision </w:t>
      </w:r>
      <w:r w:rsidR="00B21BB0">
        <w:rPr>
          <w:w w:val="100"/>
          <w:lang w:val="fr-CH"/>
        </w:rPr>
        <w:t>0</w:t>
      </w:r>
      <w:r w:rsidR="000C6EEF" w:rsidRPr="0052681A">
        <w:rPr>
          <w:w w:val="100"/>
          <w:lang w:val="fr-CH"/>
        </w:rPr>
        <w:t>2*).</w:t>
      </w:r>
    </w:p>
    <w:p w:rsidR="000C6EEF" w:rsidRPr="0052681A" w:rsidRDefault="00754A41" w:rsidP="00754A41">
      <w:pPr>
        <w:pStyle w:val="SingleTxt"/>
        <w:rPr>
          <w:w w:val="100"/>
          <w:lang w:val="fr-CH"/>
        </w:rPr>
      </w:pPr>
      <w:r w:rsidRPr="0052681A">
        <w:rPr>
          <w:w w:val="100"/>
          <w:lang w:val="fr-CH"/>
        </w:rPr>
        <w:tab/>
      </w:r>
      <w:r w:rsidR="000C6EEF" w:rsidRPr="0052681A">
        <w:rPr>
          <w:w w:val="100"/>
          <w:lang w:val="fr-CH"/>
        </w:rPr>
        <w:t>b)</w:t>
      </w:r>
      <w:r w:rsidR="000C6EEF" w:rsidRPr="0052681A">
        <w:rPr>
          <w:w w:val="100"/>
          <w:lang w:val="fr-CH"/>
        </w:rPr>
        <w:tab/>
        <w:t>Un nuage de gaz de taille limitée qui se dilue rapidement dans l’air et passe sous la limite inférieure d’explosivité (5</w:t>
      </w:r>
      <w:r w:rsidR="007F637D" w:rsidRPr="0052681A">
        <w:rPr>
          <w:w w:val="100"/>
          <w:lang w:val="fr-CH"/>
        </w:rPr>
        <w:t> </w:t>
      </w:r>
      <w:r w:rsidR="000C6EEF" w:rsidRPr="0052681A">
        <w:rPr>
          <w:w w:val="100"/>
          <w:lang w:val="fr-CH"/>
        </w:rPr>
        <w:t>%).</w:t>
      </w:r>
    </w:p>
    <w:p w:rsidR="000C6EEF" w:rsidRPr="0052681A" w:rsidRDefault="000C6EEF" w:rsidP="00754A41">
      <w:pPr>
        <w:pStyle w:val="SingleTxt"/>
        <w:rPr>
          <w:w w:val="100"/>
          <w:lang w:val="fr-CH"/>
        </w:rPr>
      </w:pPr>
      <w:r w:rsidRPr="0052681A">
        <w:rPr>
          <w:w w:val="100"/>
          <w:lang w:val="fr-CH"/>
        </w:rPr>
        <w:t>6.</w:t>
      </w:r>
      <w:r w:rsidRPr="0052681A">
        <w:rPr>
          <w:w w:val="100"/>
          <w:lang w:val="fr-CH"/>
        </w:rPr>
        <w:tab/>
        <w:t>Le bateau doit être certifié comme bateau-citerne de type G et classé dans cette catégorie. Dans l’ADN, les citernes à cargaison pour les bateaux de ce type doivent être cylindriques. Les prescriptions relatives à la stabilité et les calculs correspondants sont fondés sur des citernes de cette forme. Le bateau dont il est question possède des citernes à cargaison rectangulaires, si bien que les calculs indiqués dans l’ADN pour les bateaux-citernes de type G ne sont pas applicables. Compte tenu de la forme rectangulaire des citernes, les calculs de stabilité doivent être faits en considérant qu</w:t>
      </w:r>
      <w:r w:rsidR="00B21BB0">
        <w:rPr>
          <w:w w:val="100"/>
          <w:lang w:val="fr-CH"/>
        </w:rPr>
        <w:t>e le bateau est du type </w:t>
      </w:r>
      <w:r w:rsidRPr="0052681A">
        <w:rPr>
          <w:w w:val="100"/>
          <w:lang w:val="fr-CH"/>
        </w:rPr>
        <w:t>C. Les exigences de stabilité pour les bateaux du type G étant moins rigoureuses que celles pour les bateaux du type C, la norme de stabilité n’est pas moins contraignante.</w:t>
      </w:r>
    </w:p>
    <w:p w:rsidR="000C6EEF" w:rsidRPr="0052681A" w:rsidRDefault="000C6EEF" w:rsidP="00754A41">
      <w:pPr>
        <w:pStyle w:val="SingleTxt"/>
        <w:rPr>
          <w:w w:val="100"/>
          <w:lang w:val="fr-CH"/>
        </w:rPr>
      </w:pPr>
      <w:r w:rsidRPr="0052681A">
        <w:rPr>
          <w:w w:val="100"/>
          <w:lang w:val="fr-CH"/>
        </w:rPr>
        <w:t>7.</w:t>
      </w:r>
      <w:r w:rsidRPr="0052681A">
        <w:rPr>
          <w:w w:val="100"/>
          <w:lang w:val="fr-CH"/>
        </w:rPr>
        <w:tab/>
        <w:t xml:space="preserve">Les calculs de résistance à l’enfoncement selon le 9.3.4 de l’ADN doivent également être faits en considérant que le bateau est du type C, du fait que les citernes à cargaison sont rectangulaires. Ils sont par conséquent plus développés que dans le cas d’un bateau-citerne de type G (voir la section 4.4 du rapport GTT, révision </w:t>
      </w:r>
      <w:r w:rsidR="00B21BB0">
        <w:rPr>
          <w:w w:val="100"/>
          <w:lang w:val="fr-CH"/>
        </w:rPr>
        <w:t>0</w:t>
      </w:r>
      <w:r w:rsidRPr="0052681A">
        <w:rPr>
          <w:w w:val="100"/>
          <w:lang w:val="fr-CH"/>
        </w:rPr>
        <w:t>2*).</w:t>
      </w:r>
    </w:p>
    <w:p w:rsidR="000C6EEF" w:rsidRPr="0052681A" w:rsidRDefault="000C6EEF" w:rsidP="00754A41">
      <w:pPr>
        <w:pStyle w:val="SingleTxt"/>
        <w:rPr>
          <w:w w:val="100"/>
          <w:lang w:val="fr-CH"/>
        </w:rPr>
      </w:pPr>
      <w:r w:rsidRPr="0052681A">
        <w:rPr>
          <w:w w:val="100"/>
          <w:lang w:val="fr-CH"/>
        </w:rPr>
        <w:t>8.</w:t>
      </w:r>
      <w:r w:rsidRPr="0052681A">
        <w:rPr>
          <w:w w:val="100"/>
          <w:lang w:val="fr-CH"/>
        </w:rPr>
        <w:tab/>
        <w:t>Un rapport d’évaluation doit être communiqué au secrétariat de la CEE chaque année aux fins d’information du Comité d’administration. Ce rapport doit au minimum fournir des renseignements sur les points suivants</w:t>
      </w:r>
      <w:r w:rsidR="00754A41" w:rsidRPr="0052681A">
        <w:rPr>
          <w:w w:val="100"/>
          <w:lang w:val="fr-CH"/>
        </w:rPr>
        <w:t> </w:t>
      </w:r>
      <w:r w:rsidRPr="0052681A">
        <w:rPr>
          <w:w w:val="100"/>
          <w:lang w:val="fr-CH"/>
        </w:rPr>
        <w:t>:</w:t>
      </w:r>
    </w:p>
    <w:p w:rsidR="000C6EEF" w:rsidRPr="0052681A" w:rsidRDefault="00754A41" w:rsidP="00754A41">
      <w:pPr>
        <w:pStyle w:val="SingleTxt"/>
        <w:rPr>
          <w:w w:val="100"/>
          <w:lang w:val="fr-CH"/>
        </w:rPr>
      </w:pPr>
      <w:r w:rsidRPr="0052681A">
        <w:rPr>
          <w:w w:val="100"/>
          <w:lang w:val="fr-CH"/>
        </w:rPr>
        <w:tab/>
      </w:r>
      <w:r w:rsidR="000C6EEF" w:rsidRPr="0052681A">
        <w:rPr>
          <w:w w:val="100"/>
          <w:lang w:val="fr-CH"/>
        </w:rPr>
        <w:t>a)</w:t>
      </w:r>
      <w:r w:rsidR="000C6EEF" w:rsidRPr="0052681A">
        <w:rPr>
          <w:w w:val="100"/>
          <w:lang w:val="fr-CH"/>
        </w:rPr>
        <w:tab/>
        <w:t>Données de fonctionnement (telles que la température et la pression à l’intérieur d’une citerne);</w:t>
      </w:r>
    </w:p>
    <w:p w:rsidR="000C6EEF" w:rsidRPr="0052681A" w:rsidRDefault="00754A41" w:rsidP="00754A41">
      <w:pPr>
        <w:pStyle w:val="SingleTxt"/>
        <w:rPr>
          <w:w w:val="100"/>
          <w:lang w:val="fr-CH"/>
        </w:rPr>
      </w:pPr>
      <w:r w:rsidRPr="0052681A">
        <w:rPr>
          <w:w w:val="100"/>
          <w:lang w:val="fr-CH"/>
        </w:rPr>
        <w:tab/>
      </w:r>
      <w:r w:rsidR="000C6EEF" w:rsidRPr="0052681A">
        <w:rPr>
          <w:w w:val="100"/>
          <w:lang w:val="fr-CH"/>
        </w:rPr>
        <w:t>b)</w:t>
      </w:r>
      <w:r w:rsidR="000C6EEF" w:rsidRPr="0052681A">
        <w:rPr>
          <w:w w:val="100"/>
          <w:lang w:val="fr-CH"/>
        </w:rPr>
        <w:tab/>
        <w:t>Anomalies, réparations et modifications concernant la citerne;</w:t>
      </w:r>
    </w:p>
    <w:p w:rsidR="000C6EEF" w:rsidRPr="0052681A" w:rsidRDefault="00754A41" w:rsidP="00754A41">
      <w:pPr>
        <w:pStyle w:val="SingleTxt"/>
        <w:rPr>
          <w:w w:val="100"/>
          <w:lang w:val="fr-CH"/>
        </w:rPr>
      </w:pPr>
      <w:r w:rsidRPr="0052681A">
        <w:rPr>
          <w:w w:val="100"/>
          <w:lang w:val="fr-CH"/>
        </w:rPr>
        <w:tab/>
      </w:r>
      <w:r w:rsidR="000C6EEF" w:rsidRPr="0052681A">
        <w:rPr>
          <w:w w:val="100"/>
          <w:lang w:val="fr-CH"/>
        </w:rPr>
        <w:t>c)</w:t>
      </w:r>
      <w:r w:rsidR="000C6EEF" w:rsidRPr="0052681A">
        <w:rPr>
          <w:w w:val="100"/>
          <w:lang w:val="fr-CH"/>
        </w:rPr>
        <w:tab/>
        <w:t>Rapport d’inspection établi par la société ayant procéd</w:t>
      </w:r>
      <w:r w:rsidR="007F637D" w:rsidRPr="0052681A">
        <w:rPr>
          <w:w w:val="100"/>
          <w:lang w:val="fr-CH"/>
        </w:rPr>
        <w:t>é à la classification du bateau;</w:t>
      </w:r>
    </w:p>
    <w:p w:rsidR="000C6EEF" w:rsidRPr="0052681A" w:rsidRDefault="00754A41" w:rsidP="00754A41">
      <w:pPr>
        <w:pStyle w:val="SingleTxt"/>
        <w:rPr>
          <w:w w:val="100"/>
          <w:lang w:val="fr-CH"/>
        </w:rPr>
      </w:pPr>
      <w:r w:rsidRPr="0052681A">
        <w:rPr>
          <w:w w:val="100"/>
          <w:lang w:val="fr-CH"/>
        </w:rPr>
        <w:tab/>
      </w:r>
      <w:r w:rsidR="000C6EEF" w:rsidRPr="0052681A">
        <w:rPr>
          <w:w w:val="100"/>
          <w:lang w:val="fr-CH"/>
        </w:rPr>
        <w:t>d)</w:t>
      </w:r>
      <w:r w:rsidR="000C6EEF" w:rsidRPr="0052681A">
        <w:rPr>
          <w:w w:val="100"/>
          <w:lang w:val="fr-CH"/>
        </w:rPr>
        <w:tab/>
        <w:t>Ces renseignements doivent être envoyés à l’autorité compétente lorsque celle-ci en fait la demande.</w:t>
      </w:r>
    </w:p>
    <w:p w:rsidR="000C6EEF" w:rsidRPr="0052681A" w:rsidRDefault="000C6EEF" w:rsidP="00754A41">
      <w:pPr>
        <w:pStyle w:val="SingleTxt"/>
        <w:rPr>
          <w:w w:val="100"/>
          <w:lang w:val="fr-CH"/>
        </w:rPr>
      </w:pPr>
      <w:r w:rsidRPr="0052681A">
        <w:rPr>
          <w:w w:val="100"/>
          <w:lang w:val="fr-CH"/>
        </w:rPr>
        <w:t>9.</w:t>
      </w:r>
      <w:r w:rsidRPr="0052681A">
        <w:rPr>
          <w:w w:val="100"/>
          <w:lang w:val="fr-CH"/>
        </w:rPr>
        <w:tab/>
        <w:t>Une fois que la construction du bateau a été achevée, un calcul de stabilité final approuvé doit être communiqué au secrétariat de la CEE. Le bateau peut être mis en service dès que le calcul a été confirmé.</w:t>
      </w:r>
    </w:p>
    <w:p w:rsidR="000C6EEF" w:rsidRPr="0052681A" w:rsidRDefault="000C6EEF" w:rsidP="00754A41">
      <w:pPr>
        <w:pStyle w:val="SingleTxt"/>
        <w:rPr>
          <w:w w:val="100"/>
          <w:lang w:val="fr-CH"/>
        </w:rPr>
      </w:pPr>
      <w:r w:rsidRPr="0052681A">
        <w:rPr>
          <w:w w:val="100"/>
          <w:lang w:val="fr-CH"/>
        </w:rPr>
        <w:t>10.</w:t>
      </w:r>
      <w:r w:rsidRPr="0052681A">
        <w:rPr>
          <w:w w:val="100"/>
          <w:lang w:val="fr-CH"/>
        </w:rPr>
        <w:tab/>
        <w:t>La liste des matières du bateau selon le 1.16.1.2.5 de l’ADN doit être limitée au transport du GNL (numéro ONU 1972) et du gazole (numéro ONU 1202).</w:t>
      </w:r>
    </w:p>
    <w:p w:rsidR="008A6623" w:rsidRPr="0052681A" w:rsidRDefault="00A951F9" w:rsidP="00754A41">
      <w:pPr>
        <w:pStyle w:val="SingleTxt"/>
        <w:rPr>
          <w:w w:val="100"/>
          <w:lang w:val="fr-CH"/>
        </w:rPr>
      </w:pPr>
      <w:r w:rsidRPr="0052681A">
        <w:rPr>
          <w:w w:val="100"/>
          <w:lang w:val="fr-CH"/>
        </w:rPr>
        <w:tab/>
      </w:r>
      <w:r w:rsidR="000C6EEF" w:rsidRPr="0052681A">
        <w:rPr>
          <w:w w:val="100"/>
          <w:lang w:val="fr-CH"/>
        </w:rPr>
        <w:t>L’annexe 2 du document informel INF.6 soumis à la vingt-septième session du Comité de sécurité de l’ADN fait partie intégrante de la présente dérogation</w:t>
      </w:r>
      <w:r w:rsidR="00754A41" w:rsidRPr="0052681A">
        <w:rPr>
          <w:rStyle w:val="FootnoteReference"/>
          <w:vertAlign w:val="baseline"/>
          <w:lang w:val="fr-CH"/>
        </w:rPr>
        <w:footnoteReference w:customMarkFollows="1" w:id="4"/>
        <w:t>**</w:t>
      </w:r>
      <w:r w:rsidR="00754A41" w:rsidRPr="0052681A">
        <w:rPr>
          <w:lang w:val="fr-CH"/>
        </w:rPr>
        <w:t>.</w:t>
      </w:r>
    </w:p>
    <w:p w:rsidR="000C6EEF" w:rsidRPr="0052681A" w:rsidRDefault="000C6EEF" w:rsidP="000C6EEF">
      <w:pPr>
        <w:pStyle w:val="SingleTxt"/>
        <w:spacing w:after="0" w:line="240" w:lineRule="auto"/>
        <w:rPr>
          <w:lang w:val="fr-CH"/>
        </w:rPr>
      </w:pPr>
      <w:r w:rsidRPr="0052681A">
        <w:rPr>
          <w:noProof/>
          <w:w w:val="100"/>
          <w:lang w:val="en-GB" w:eastAsia="en-GB"/>
        </w:rPr>
        <mc:AlternateContent>
          <mc:Choice Requires="wps">
            <w:drawing>
              <wp:anchor distT="0" distB="0" distL="114300" distR="114300" simplePos="0" relativeHeight="251659264" behindDoc="0" locked="0" layoutInCell="1" allowOverlap="1" wp14:anchorId="5367C27A" wp14:editId="4E9C9F02">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0C6EEF" w:rsidRPr="0052681A" w:rsidSect="008A6623">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3E4" w:rsidRDefault="008D23E4" w:rsidP="00F3330B">
      <w:pPr>
        <w:spacing w:line="240" w:lineRule="auto"/>
      </w:pPr>
      <w:r>
        <w:separator/>
      </w:r>
    </w:p>
  </w:endnote>
  <w:endnote w:type="continuationSeparator" w:id="0">
    <w:p w:rsidR="008D23E4" w:rsidRDefault="008D23E4"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A6623" w:rsidTr="008A6623">
      <w:trPr>
        <w:jc w:val="center"/>
      </w:trPr>
      <w:tc>
        <w:tcPr>
          <w:tcW w:w="5126" w:type="dxa"/>
          <w:shd w:val="clear" w:color="auto" w:fill="auto"/>
        </w:tcPr>
        <w:p w:rsidR="008A6623" w:rsidRPr="008A6623" w:rsidRDefault="008A6623" w:rsidP="008A662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E2B18">
            <w:rPr>
              <w:b w:val="0"/>
              <w:w w:val="103"/>
              <w:sz w:val="14"/>
            </w:rPr>
            <w:t>GE.15-15572</w:t>
          </w:r>
          <w:r>
            <w:rPr>
              <w:b w:val="0"/>
              <w:w w:val="103"/>
              <w:sz w:val="14"/>
            </w:rPr>
            <w:fldChar w:fldCharType="end"/>
          </w:r>
        </w:p>
      </w:tc>
      <w:tc>
        <w:tcPr>
          <w:tcW w:w="5127" w:type="dxa"/>
          <w:shd w:val="clear" w:color="auto" w:fill="auto"/>
        </w:tcPr>
        <w:p w:rsidR="008A6623" w:rsidRPr="008A6623" w:rsidRDefault="008A6623" w:rsidP="008A6623">
          <w:pPr>
            <w:pStyle w:val="Footer"/>
            <w:rPr>
              <w:w w:val="103"/>
            </w:rPr>
          </w:pPr>
          <w:r>
            <w:rPr>
              <w:w w:val="103"/>
            </w:rPr>
            <w:fldChar w:fldCharType="begin"/>
          </w:r>
          <w:r>
            <w:rPr>
              <w:w w:val="103"/>
            </w:rPr>
            <w:instrText xml:space="preserve"> PAGE  \* Arabic  \* MERGEFORMAT </w:instrText>
          </w:r>
          <w:r>
            <w:rPr>
              <w:w w:val="103"/>
            </w:rPr>
            <w:fldChar w:fldCharType="separate"/>
          </w:r>
          <w:r w:rsidR="005E2B18">
            <w:rPr>
              <w:noProof/>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E2B18">
            <w:rPr>
              <w:noProof/>
              <w:w w:val="103"/>
            </w:rPr>
            <w:t>10</w:t>
          </w:r>
          <w:r>
            <w:rPr>
              <w:w w:val="103"/>
            </w:rPr>
            <w:fldChar w:fldCharType="end"/>
          </w:r>
        </w:p>
      </w:tc>
    </w:tr>
  </w:tbl>
  <w:p w:rsidR="008A6623" w:rsidRPr="008A6623" w:rsidRDefault="008A6623" w:rsidP="008A66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A6623" w:rsidTr="008A6623">
      <w:trPr>
        <w:jc w:val="center"/>
      </w:trPr>
      <w:tc>
        <w:tcPr>
          <w:tcW w:w="5126" w:type="dxa"/>
          <w:shd w:val="clear" w:color="auto" w:fill="auto"/>
        </w:tcPr>
        <w:p w:rsidR="008A6623" w:rsidRPr="008A6623" w:rsidRDefault="008A6623" w:rsidP="008A662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E2B18">
            <w:rPr>
              <w:noProof/>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E2B18">
            <w:rPr>
              <w:noProof/>
              <w:w w:val="103"/>
            </w:rPr>
            <w:t>10</w:t>
          </w:r>
          <w:r>
            <w:rPr>
              <w:w w:val="103"/>
            </w:rPr>
            <w:fldChar w:fldCharType="end"/>
          </w:r>
        </w:p>
      </w:tc>
      <w:tc>
        <w:tcPr>
          <w:tcW w:w="5127" w:type="dxa"/>
          <w:shd w:val="clear" w:color="auto" w:fill="auto"/>
        </w:tcPr>
        <w:p w:rsidR="008A6623" w:rsidRPr="008A6623" w:rsidRDefault="008A6623" w:rsidP="008A662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E2B18">
            <w:rPr>
              <w:b w:val="0"/>
              <w:w w:val="103"/>
              <w:sz w:val="14"/>
            </w:rPr>
            <w:t>GE.15-15572</w:t>
          </w:r>
          <w:r>
            <w:rPr>
              <w:b w:val="0"/>
              <w:w w:val="103"/>
              <w:sz w:val="14"/>
            </w:rPr>
            <w:fldChar w:fldCharType="end"/>
          </w:r>
        </w:p>
      </w:tc>
    </w:tr>
  </w:tbl>
  <w:p w:rsidR="008A6623" w:rsidRPr="008A6623" w:rsidRDefault="008A6623" w:rsidP="008A66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623" w:rsidRDefault="008A6623">
    <w:pPr>
      <w:pStyle w:val="Footer"/>
    </w:pPr>
    <w:r>
      <w:rPr>
        <w:noProof/>
        <w:lang w:val="en-GB" w:eastAsia="en-GB"/>
      </w:rPr>
      <w:drawing>
        <wp:anchor distT="0" distB="0" distL="114300" distR="114300" simplePos="0" relativeHeight="251658240" behindDoc="0" locked="0" layoutInCell="1" allowOverlap="1" wp14:anchorId="1209A5A7" wp14:editId="1724C24D">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ADN/3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ADN/3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8A6623" w:rsidTr="008A6623">
      <w:tc>
        <w:tcPr>
          <w:tcW w:w="3859" w:type="dxa"/>
        </w:tcPr>
        <w:p w:rsidR="008A6623" w:rsidRDefault="008A6623" w:rsidP="008A662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E2B18">
            <w:rPr>
              <w:b w:val="0"/>
              <w:sz w:val="20"/>
            </w:rPr>
            <w:t>GE.15-15572 (F)</w:t>
          </w:r>
          <w:r>
            <w:rPr>
              <w:b w:val="0"/>
              <w:sz w:val="20"/>
            </w:rPr>
            <w:fldChar w:fldCharType="end"/>
          </w:r>
          <w:r>
            <w:rPr>
              <w:b w:val="0"/>
              <w:sz w:val="20"/>
            </w:rPr>
            <w:t xml:space="preserve">    260116    2</w:t>
          </w:r>
          <w:r w:rsidR="006D6351">
            <w:rPr>
              <w:b w:val="0"/>
              <w:sz w:val="20"/>
            </w:rPr>
            <w:t>7</w:t>
          </w:r>
          <w:r>
            <w:rPr>
              <w:b w:val="0"/>
              <w:sz w:val="20"/>
            </w:rPr>
            <w:t>0116</w:t>
          </w:r>
        </w:p>
        <w:p w:rsidR="008A6623" w:rsidRPr="008A6623" w:rsidRDefault="008A6623" w:rsidP="008A6623">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E2B18">
            <w:rPr>
              <w:rFonts w:ascii="Barcode 3 of 9 by request" w:hAnsi="Barcode 3 of 9 by request"/>
              <w:b w:val="0"/>
              <w:spacing w:val="0"/>
              <w:w w:val="100"/>
              <w:sz w:val="24"/>
            </w:rPr>
            <w:t>*1515572*</w:t>
          </w:r>
          <w:r>
            <w:rPr>
              <w:rFonts w:ascii="Barcode 3 of 9 by request" w:hAnsi="Barcode 3 of 9 by request"/>
              <w:b w:val="0"/>
              <w:spacing w:val="0"/>
              <w:w w:val="100"/>
              <w:sz w:val="24"/>
            </w:rPr>
            <w:fldChar w:fldCharType="end"/>
          </w:r>
        </w:p>
      </w:tc>
      <w:tc>
        <w:tcPr>
          <w:tcW w:w="5127" w:type="dxa"/>
        </w:tcPr>
        <w:p w:rsidR="008A6623" w:rsidRDefault="008A6623" w:rsidP="008A6623">
          <w:pPr>
            <w:pStyle w:val="Footer"/>
            <w:spacing w:line="240" w:lineRule="atLeast"/>
            <w:jc w:val="right"/>
            <w:rPr>
              <w:b w:val="0"/>
              <w:sz w:val="20"/>
            </w:rPr>
          </w:pPr>
          <w:r>
            <w:rPr>
              <w:b w:val="0"/>
              <w:noProof/>
              <w:sz w:val="20"/>
              <w:lang w:val="en-GB" w:eastAsia="en-GB"/>
            </w:rPr>
            <w:drawing>
              <wp:inline distT="0" distB="0" distL="0" distR="0" wp14:anchorId="783EB426" wp14:editId="18920E2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8A6623" w:rsidRPr="008A6623" w:rsidRDefault="008A6623" w:rsidP="008A6623">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3E4" w:rsidRPr="007F637D" w:rsidRDefault="007F637D" w:rsidP="007F637D">
      <w:pPr>
        <w:pStyle w:val="Footer"/>
        <w:spacing w:after="80"/>
        <w:ind w:left="792"/>
        <w:rPr>
          <w:sz w:val="16"/>
        </w:rPr>
      </w:pPr>
      <w:r w:rsidRPr="007F637D">
        <w:rPr>
          <w:sz w:val="16"/>
        </w:rPr>
        <w:t>__________________</w:t>
      </w:r>
    </w:p>
  </w:footnote>
  <w:footnote w:type="continuationSeparator" w:id="0">
    <w:p w:rsidR="008D23E4" w:rsidRPr="007F637D" w:rsidRDefault="007F637D" w:rsidP="007F637D">
      <w:pPr>
        <w:pStyle w:val="Footer"/>
        <w:spacing w:after="80"/>
        <w:ind w:left="792"/>
        <w:rPr>
          <w:sz w:val="16"/>
        </w:rPr>
      </w:pPr>
      <w:r w:rsidRPr="007F637D">
        <w:rPr>
          <w:sz w:val="16"/>
        </w:rPr>
        <w:t>__________________</w:t>
      </w:r>
    </w:p>
  </w:footnote>
  <w:footnote w:id="1">
    <w:p w:rsidR="000C6EEF" w:rsidRPr="001A6C2D" w:rsidRDefault="000C6EEF" w:rsidP="007F637D">
      <w:pPr>
        <w:pStyle w:val="FootnoteText"/>
        <w:tabs>
          <w:tab w:val="right" w:pos="1195"/>
          <w:tab w:val="left" w:pos="1267"/>
          <w:tab w:val="left" w:pos="1742"/>
          <w:tab w:val="left" w:pos="2218"/>
          <w:tab w:val="left" w:pos="2693"/>
        </w:tabs>
        <w:spacing w:line="200" w:lineRule="exact"/>
        <w:ind w:left="1267" w:right="1260" w:hanging="432"/>
      </w:pPr>
      <w:r>
        <w:rPr>
          <w:lang w:val="fr-FR"/>
        </w:rPr>
        <w:tab/>
        <w:t>*</w:t>
      </w:r>
      <w:r>
        <w:rPr>
          <w:lang w:val="fr-FR"/>
        </w:rPr>
        <w:tab/>
        <w:t>Document diffusé en langue allemande par la Commission centrale pour la navigation du Rhin sous la cote CCNR-ZKR/ADN/33.</w:t>
      </w:r>
    </w:p>
  </w:footnote>
  <w:footnote w:id="2">
    <w:p w:rsidR="00754A41" w:rsidRPr="00754A41" w:rsidRDefault="00754A41" w:rsidP="007F637D">
      <w:pPr>
        <w:pStyle w:val="FootnoteText"/>
        <w:tabs>
          <w:tab w:val="right" w:pos="1195"/>
          <w:tab w:val="left" w:pos="1267"/>
          <w:tab w:val="left" w:pos="1742"/>
          <w:tab w:val="left" w:pos="2218"/>
          <w:tab w:val="left" w:pos="2693"/>
        </w:tabs>
        <w:ind w:left="1267" w:right="1260" w:hanging="432"/>
        <w:rPr>
          <w:lang w:val="fr-CH"/>
        </w:rPr>
      </w:pPr>
      <w:r>
        <w:tab/>
      </w:r>
      <w:r w:rsidRPr="00754A41">
        <w:rPr>
          <w:rStyle w:val="FootnoteReference"/>
          <w:vertAlign w:val="baseline"/>
        </w:rPr>
        <w:t>*</w:t>
      </w:r>
      <w:r>
        <w:tab/>
      </w:r>
      <w:r>
        <w:rPr>
          <w:lang w:val="fr-FR"/>
        </w:rPr>
        <w:t>Rapport n</w:t>
      </w:r>
      <w:r w:rsidRPr="00834BBB">
        <w:rPr>
          <w:vertAlign w:val="superscript"/>
          <w:lang w:val="fr-FR"/>
        </w:rPr>
        <w:t>o</w:t>
      </w:r>
      <w:r w:rsidRPr="00834BBB">
        <w:rPr>
          <w:lang w:val="fr-FR"/>
        </w:rPr>
        <w:t> </w:t>
      </w:r>
      <w:r>
        <w:rPr>
          <w:lang w:val="fr-FR"/>
        </w:rPr>
        <w:t>50102448 R01, daté du 29 </w:t>
      </w:r>
      <w:r w:rsidR="007F637D">
        <w:rPr>
          <w:lang w:val="fr-FR"/>
        </w:rPr>
        <w:t>avril 2014, établi par Lloyd’</w:t>
      </w:r>
      <w:r>
        <w:rPr>
          <w:lang w:val="fr-FR"/>
        </w:rPr>
        <w:t xml:space="preserve">s </w:t>
      </w:r>
      <w:proofErr w:type="spellStart"/>
      <w:r>
        <w:rPr>
          <w:lang w:val="fr-FR"/>
        </w:rPr>
        <w:t>Register</w:t>
      </w:r>
      <w:proofErr w:type="spellEnd"/>
      <w:r>
        <w:rPr>
          <w:lang w:val="fr-FR"/>
        </w:rPr>
        <w:t xml:space="preserve"> Consulting (disponible dans le document informel INF.4 soumis à la vingt-cinquième session du Comité de sécurité de l’ADN).</w:t>
      </w:r>
    </w:p>
  </w:footnote>
  <w:footnote w:id="3">
    <w:p w:rsidR="007F637D" w:rsidRPr="007F637D" w:rsidRDefault="007F637D" w:rsidP="007F637D">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FR"/>
        </w:rPr>
        <w:t xml:space="preserve">« GTT report to ADN – Membrane </w:t>
      </w:r>
      <w:proofErr w:type="spellStart"/>
      <w:r>
        <w:rPr>
          <w:lang w:val="fr-FR"/>
        </w:rPr>
        <w:t>containment</w:t>
      </w:r>
      <w:proofErr w:type="spellEnd"/>
      <w:r>
        <w:rPr>
          <w:lang w:val="fr-FR"/>
        </w:rPr>
        <w:t xml:space="preserve"> system for LNG », </w:t>
      </w:r>
      <w:proofErr w:type="spellStart"/>
      <w:r>
        <w:rPr>
          <w:lang w:val="fr-FR"/>
        </w:rPr>
        <w:t>Revision</w:t>
      </w:r>
      <w:proofErr w:type="spellEnd"/>
      <w:r>
        <w:rPr>
          <w:lang w:val="fr-FR"/>
        </w:rPr>
        <w:t xml:space="preserve">: 02, 12/06/2015, tel qu’il figure dans l’annexe 2 du document informel INF.6 présenté à la vingt-septième session du Comité de sécurité de l’ADN : </w:t>
      </w:r>
      <w:hyperlink r:id="rId1" w:history="1">
        <w:r w:rsidRPr="007F637D">
          <w:rPr>
            <w:rStyle w:val="Hyperlink"/>
            <w:color w:val="auto"/>
            <w:u w:val="none"/>
            <w:lang w:val="fr-FR"/>
          </w:rPr>
          <w:t>http://www.unece.org/fileadmin/DAM/trans/doc/2015/dgwp15ac2/</w:t>
        </w:r>
      </w:hyperlink>
      <w:r w:rsidRPr="007F637D">
        <w:rPr>
          <w:lang w:val="fr-FR"/>
        </w:rPr>
        <w:t xml:space="preserve"> WP15-AC2-27-inf06e.pdf</w:t>
      </w:r>
      <w:r w:rsidR="00B21BB0">
        <w:rPr>
          <w:lang w:val="fr-FR"/>
        </w:rPr>
        <w:t>.</w:t>
      </w:r>
    </w:p>
  </w:footnote>
  <w:footnote w:id="4">
    <w:p w:rsidR="00754A41" w:rsidRPr="00754A41" w:rsidRDefault="00754A41" w:rsidP="007F637D">
      <w:pPr>
        <w:pStyle w:val="FootnoteText"/>
        <w:tabs>
          <w:tab w:val="right" w:pos="1195"/>
          <w:tab w:val="left" w:pos="1267"/>
          <w:tab w:val="left" w:pos="1742"/>
          <w:tab w:val="left" w:pos="2218"/>
          <w:tab w:val="left" w:pos="2693"/>
        </w:tabs>
        <w:ind w:left="1267" w:right="1260" w:hanging="432"/>
        <w:rPr>
          <w:lang w:val="fr-CH"/>
        </w:rPr>
      </w:pPr>
      <w:r>
        <w:tab/>
      </w:r>
      <w:r w:rsidRPr="00754A41">
        <w:rPr>
          <w:rStyle w:val="FootnoteReference"/>
          <w:vertAlign w:val="baseline"/>
        </w:rPr>
        <w:t>**</w:t>
      </w:r>
      <w:r>
        <w:tab/>
      </w:r>
      <w:r>
        <w:rPr>
          <w:lang w:val="fr-FR"/>
        </w:rPr>
        <w:t>Voir http://www.unece.org/fileadmin/DAM/trans/doc/2015/dgwp15ac2/WP15-AC2-27-inf06e.pdf.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A6623" w:rsidTr="008A6623">
      <w:trPr>
        <w:trHeight w:hRule="exact" w:val="864"/>
        <w:jc w:val="center"/>
      </w:trPr>
      <w:tc>
        <w:tcPr>
          <w:tcW w:w="4882" w:type="dxa"/>
          <w:shd w:val="clear" w:color="auto" w:fill="auto"/>
          <w:vAlign w:val="bottom"/>
        </w:tcPr>
        <w:p w:rsidR="008A6623" w:rsidRPr="008A6623" w:rsidRDefault="008A6623" w:rsidP="008A662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E2B18">
            <w:rPr>
              <w:b/>
              <w:color w:val="000000"/>
            </w:rPr>
            <w:t>ECE/ADN/33</w:t>
          </w:r>
          <w:r>
            <w:rPr>
              <w:b/>
              <w:color w:val="000000"/>
            </w:rPr>
            <w:fldChar w:fldCharType="end"/>
          </w:r>
        </w:p>
      </w:tc>
      <w:tc>
        <w:tcPr>
          <w:tcW w:w="5127" w:type="dxa"/>
          <w:shd w:val="clear" w:color="auto" w:fill="auto"/>
          <w:vAlign w:val="bottom"/>
        </w:tcPr>
        <w:p w:rsidR="008A6623" w:rsidRDefault="008A6623" w:rsidP="008A6623">
          <w:pPr>
            <w:pStyle w:val="Header"/>
          </w:pPr>
        </w:p>
      </w:tc>
    </w:tr>
  </w:tbl>
  <w:p w:rsidR="008A6623" w:rsidRPr="008A6623" w:rsidRDefault="008A6623" w:rsidP="008A6623">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A6623" w:rsidTr="008A6623">
      <w:trPr>
        <w:trHeight w:hRule="exact" w:val="864"/>
        <w:jc w:val="center"/>
      </w:trPr>
      <w:tc>
        <w:tcPr>
          <w:tcW w:w="4882" w:type="dxa"/>
          <w:shd w:val="clear" w:color="auto" w:fill="auto"/>
          <w:vAlign w:val="bottom"/>
        </w:tcPr>
        <w:p w:rsidR="008A6623" w:rsidRDefault="008A6623" w:rsidP="008A6623">
          <w:pPr>
            <w:pStyle w:val="Header"/>
          </w:pPr>
        </w:p>
      </w:tc>
      <w:tc>
        <w:tcPr>
          <w:tcW w:w="5127" w:type="dxa"/>
          <w:shd w:val="clear" w:color="auto" w:fill="auto"/>
          <w:vAlign w:val="bottom"/>
        </w:tcPr>
        <w:p w:rsidR="008A6623" w:rsidRPr="008A6623" w:rsidRDefault="008A6623" w:rsidP="008A662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E2B18">
            <w:rPr>
              <w:b/>
              <w:color w:val="000000"/>
            </w:rPr>
            <w:t>ECE/ADN/33</w:t>
          </w:r>
          <w:r>
            <w:rPr>
              <w:b/>
              <w:color w:val="000000"/>
            </w:rPr>
            <w:fldChar w:fldCharType="end"/>
          </w:r>
        </w:p>
      </w:tc>
    </w:tr>
  </w:tbl>
  <w:p w:rsidR="008A6623" w:rsidRPr="008A6623" w:rsidRDefault="008A6623" w:rsidP="008A6623">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8A6623" w:rsidTr="008A6623">
      <w:trPr>
        <w:trHeight w:hRule="exact" w:val="864"/>
      </w:trPr>
      <w:tc>
        <w:tcPr>
          <w:tcW w:w="1267" w:type="dxa"/>
          <w:tcBorders>
            <w:bottom w:val="single" w:sz="4" w:space="0" w:color="auto"/>
          </w:tcBorders>
          <w:shd w:val="clear" w:color="auto" w:fill="auto"/>
          <w:vAlign w:val="bottom"/>
        </w:tcPr>
        <w:p w:rsidR="008A6623" w:rsidRDefault="008A6623" w:rsidP="008A6623">
          <w:pPr>
            <w:pStyle w:val="Header"/>
            <w:spacing w:after="120"/>
          </w:pPr>
        </w:p>
      </w:tc>
      <w:tc>
        <w:tcPr>
          <w:tcW w:w="2059" w:type="dxa"/>
          <w:tcBorders>
            <w:bottom w:val="single" w:sz="4" w:space="0" w:color="auto"/>
          </w:tcBorders>
          <w:shd w:val="clear" w:color="auto" w:fill="auto"/>
          <w:vAlign w:val="bottom"/>
        </w:tcPr>
        <w:p w:rsidR="008A6623" w:rsidRPr="008A6623" w:rsidRDefault="008A6623" w:rsidP="008A662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8A6623" w:rsidRDefault="008A6623" w:rsidP="008A6623">
          <w:pPr>
            <w:pStyle w:val="Header"/>
            <w:spacing w:after="120"/>
          </w:pPr>
        </w:p>
      </w:tc>
      <w:tc>
        <w:tcPr>
          <w:tcW w:w="6653" w:type="dxa"/>
          <w:gridSpan w:val="4"/>
          <w:tcBorders>
            <w:bottom w:val="single" w:sz="4" w:space="0" w:color="auto"/>
          </w:tcBorders>
          <w:shd w:val="clear" w:color="auto" w:fill="auto"/>
          <w:vAlign w:val="bottom"/>
        </w:tcPr>
        <w:p w:rsidR="008A6623" w:rsidRPr="008A6623" w:rsidRDefault="008A6623" w:rsidP="008A6623">
          <w:pPr>
            <w:spacing w:after="80" w:line="240" w:lineRule="auto"/>
            <w:jc w:val="right"/>
            <w:rPr>
              <w:position w:val="-4"/>
            </w:rPr>
          </w:pPr>
          <w:r>
            <w:rPr>
              <w:position w:val="-4"/>
              <w:sz w:val="40"/>
            </w:rPr>
            <w:t>ECE</w:t>
          </w:r>
          <w:r>
            <w:rPr>
              <w:position w:val="-4"/>
            </w:rPr>
            <w:t>/ADN/33</w:t>
          </w:r>
        </w:p>
      </w:tc>
    </w:tr>
    <w:tr w:rsidR="008A6623" w:rsidRPr="008A6623" w:rsidTr="008A6623">
      <w:trPr>
        <w:gridAfter w:val="1"/>
        <w:wAfter w:w="18" w:type="dxa"/>
        <w:trHeight w:hRule="exact" w:val="2880"/>
      </w:trPr>
      <w:tc>
        <w:tcPr>
          <w:tcW w:w="1267" w:type="dxa"/>
          <w:tcBorders>
            <w:top w:val="single" w:sz="4" w:space="0" w:color="auto"/>
            <w:bottom w:val="single" w:sz="12" w:space="0" w:color="auto"/>
          </w:tcBorders>
          <w:shd w:val="clear" w:color="auto" w:fill="auto"/>
        </w:tcPr>
        <w:p w:rsidR="008A6623" w:rsidRPr="008A6623" w:rsidRDefault="008A6623" w:rsidP="008A6623">
          <w:pPr>
            <w:pStyle w:val="Header"/>
            <w:spacing w:before="120" w:line="240" w:lineRule="auto"/>
            <w:ind w:left="-72"/>
            <w:jc w:val="center"/>
          </w:pPr>
          <w:r>
            <w:t xml:space="preserve">  </w:t>
          </w:r>
          <w:r>
            <w:rPr>
              <w:noProof/>
              <w:lang w:val="en-GB" w:eastAsia="en-GB"/>
            </w:rPr>
            <w:drawing>
              <wp:inline distT="0" distB="0" distL="0" distR="0" wp14:anchorId="0A7BA3E4" wp14:editId="444B265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A6623" w:rsidRPr="008A6623" w:rsidRDefault="008A6623" w:rsidP="008A6623">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8A6623" w:rsidRPr="008A6623" w:rsidRDefault="008A6623" w:rsidP="008A6623">
          <w:pPr>
            <w:pStyle w:val="Header"/>
            <w:spacing w:before="109"/>
          </w:pPr>
        </w:p>
      </w:tc>
      <w:tc>
        <w:tcPr>
          <w:tcW w:w="3280" w:type="dxa"/>
          <w:tcBorders>
            <w:top w:val="single" w:sz="4" w:space="0" w:color="auto"/>
            <w:bottom w:val="single" w:sz="12" w:space="0" w:color="auto"/>
          </w:tcBorders>
          <w:shd w:val="clear" w:color="auto" w:fill="auto"/>
        </w:tcPr>
        <w:p w:rsidR="008A6623" w:rsidRDefault="008A6623" w:rsidP="008A6623">
          <w:pPr>
            <w:pStyle w:val="Distribution"/>
            <w:rPr>
              <w:color w:val="000000"/>
            </w:rPr>
          </w:pPr>
          <w:r>
            <w:rPr>
              <w:color w:val="000000"/>
            </w:rPr>
            <w:t xml:space="preserve">Distr. </w:t>
          </w:r>
          <w:proofErr w:type="spellStart"/>
          <w:r>
            <w:rPr>
              <w:color w:val="000000"/>
            </w:rPr>
            <w:t>générale</w:t>
          </w:r>
          <w:proofErr w:type="spellEnd"/>
        </w:p>
        <w:p w:rsidR="008A6623" w:rsidRDefault="000C6EEF" w:rsidP="008A6623">
          <w:pPr>
            <w:pStyle w:val="Publication"/>
            <w:rPr>
              <w:color w:val="000000"/>
            </w:rPr>
          </w:pPr>
          <w:r>
            <w:rPr>
              <w:color w:val="000000"/>
            </w:rPr>
            <w:t xml:space="preserve">15 </w:t>
          </w:r>
          <w:proofErr w:type="spellStart"/>
          <w:r>
            <w:rPr>
              <w:color w:val="000000"/>
            </w:rPr>
            <w:t>septembre</w:t>
          </w:r>
          <w:proofErr w:type="spellEnd"/>
          <w:r>
            <w:rPr>
              <w:color w:val="000000"/>
            </w:rPr>
            <w:t xml:space="preserve"> 2015</w:t>
          </w:r>
        </w:p>
        <w:p w:rsidR="008A6623" w:rsidRDefault="008A6623" w:rsidP="008A6623">
          <w:pPr>
            <w:rPr>
              <w:lang w:val="en-US"/>
            </w:rPr>
          </w:pPr>
          <w:proofErr w:type="spellStart"/>
          <w:r>
            <w:rPr>
              <w:lang w:val="en-US"/>
            </w:rPr>
            <w:t>Français</w:t>
          </w:r>
          <w:proofErr w:type="spellEnd"/>
        </w:p>
        <w:p w:rsidR="008A6623" w:rsidRPr="008A6623" w:rsidRDefault="008A6623" w:rsidP="008A6623">
          <w:pPr>
            <w:pStyle w:val="Original"/>
            <w:rPr>
              <w:color w:val="000000"/>
            </w:rPr>
          </w:pPr>
          <w:r>
            <w:rPr>
              <w:color w:val="000000"/>
            </w:rPr>
            <w:t xml:space="preserve">Original : </w:t>
          </w:r>
          <w:proofErr w:type="spellStart"/>
          <w:r>
            <w:rPr>
              <w:color w:val="000000"/>
            </w:rPr>
            <w:t>anglais</w:t>
          </w:r>
          <w:proofErr w:type="spellEnd"/>
        </w:p>
      </w:tc>
    </w:tr>
  </w:tbl>
  <w:p w:rsidR="008A6623" w:rsidRPr="008A6623" w:rsidRDefault="008A6623" w:rsidP="008A6623">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9F8"/>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B0226D"/>
    <w:multiLevelType w:val="multilevel"/>
    <w:tmpl w:val="661A5696"/>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141C332A"/>
    <w:multiLevelType w:val="multilevel"/>
    <w:tmpl w:val="E1CAA20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6">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4778E"/>
    <w:multiLevelType w:val="singleLevel"/>
    <w:tmpl w:val="989E7E0C"/>
    <w:lvl w:ilvl="0">
      <w:start w:val="1"/>
      <w:numFmt w:val="decimal"/>
      <w:lvlRestart w:val="0"/>
      <w:lvlText w:val="%1."/>
      <w:lvlJc w:val="left"/>
      <w:pPr>
        <w:tabs>
          <w:tab w:val="num" w:pos="475"/>
        </w:tabs>
        <w:ind w:left="0" w:firstLine="0"/>
      </w:pPr>
      <w:rPr>
        <w:w w:val="100"/>
      </w:rPr>
    </w:lvl>
  </w:abstractNum>
  <w:abstractNum w:abstractNumId="8">
    <w:nsid w:val="2E843385"/>
    <w:multiLevelType w:val="singleLevel"/>
    <w:tmpl w:val="989E7E0C"/>
    <w:lvl w:ilvl="0">
      <w:start w:val="1"/>
      <w:numFmt w:val="decimal"/>
      <w:lvlRestart w:val="0"/>
      <w:lvlText w:val="%1."/>
      <w:lvlJc w:val="left"/>
      <w:pPr>
        <w:tabs>
          <w:tab w:val="num" w:pos="475"/>
        </w:tabs>
        <w:ind w:left="0" w:firstLine="0"/>
      </w:pPr>
      <w:rPr>
        <w:w w:val="100"/>
      </w:rPr>
    </w:lvl>
  </w:abstractNum>
  <w:abstractNum w:abstractNumId="9">
    <w:nsid w:val="33212679"/>
    <w:multiLevelType w:val="hybridMultilevel"/>
    <w:tmpl w:val="E82EC09E"/>
    <w:lvl w:ilvl="0" w:tplc="1EE45526">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0">
    <w:nsid w:val="43BD6FD8"/>
    <w:multiLevelType w:val="hybridMultilevel"/>
    <w:tmpl w:val="F2FC3BCE"/>
    <w:lvl w:ilvl="0" w:tplc="BED44B24">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BED44B24">
      <w:numFmt w:val="bullet"/>
      <w:lvlText w:val="-"/>
      <w:lvlJc w:val="left"/>
      <w:pPr>
        <w:ind w:left="2160" w:hanging="360"/>
      </w:pPr>
      <w:rPr>
        <w:rFonts w:ascii="Times New Roman" w:eastAsia="Calibri" w:hAnsi="Times New Roman" w:cs="Times New Roman"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7D090A"/>
    <w:multiLevelType w:val="singleLevel"/>
    <w:tmpl w:val="0409000F"/>
    <w:lvl w:ilvl="0">
      <w:start w:val="1"/>
      <w:numFmt w:val="decimal"/>
      <w:lvlText w:val="%1."/>
      <w:lvlJc w:val="left"/>
      <w:pPr>
        <w:ind w:left="720" w:hanging="360"/>
      </w:p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2"/>
  </w:num>
  <w:num w:numId="3">
    <w:abstractNumId w:val="6"/>
  </w:num>
  <w:num w:numId="4">
    <w:abstractNumId w:val="11"/>
  </w:num>
  <w:num w:numId="5">
    <w:abstractNumId w:val="1"/>
  </w:num>
  <w:num w:numId="6">
    <w:abstractNumId w:val="13"/>
  </w:num>
  <w:num w:numId="7">
    <w:abstractNumId w:val="10"/>
  </w:num>
  <w:num w:numId="8">
    <w:abstractNumId w:val="8"/>
  </w:num>
  <w:num w:numId="9">
    <w:abstractNumId w:val="9"/>
  </w:num>
  <w:num w:numId="10">
    <w:abstractNumId w:val="7"/>
  </w:num>
  <w:num w:numId="11">
    <w:abstractNumId w:val="3"/>
  </w:num>
  <w:num w:numId="12">
    <w:abstractNumId w:val="5"/>
  </w:num>
  <w:num w:numId="13">
    <w:abstractNumId w:val="12"/>
  </w:num>
  <w:num w:numId="14">
    <w:abstractNumId w:val="0"/>
  </w:num>
  <w:num w:numId="15">
    <w:abstractNumId w:val="0"/>
    <w:lvlOverride w:ilvl="0">
      <w:lvl w:ilvl="0">
        <w:start w:val="1"/>
        <w:numFmt w:val="decimal"/>
        <w:lvlText w:val="%1."/>
        <w:lvlJc w:val="left"/>
        <w:pPr>
          <w:ind w:left="72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SortMethod w:val="0003"/>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5572*"/>
    <w:docVar w:name="CreationDt" w:val="1/26/2016 3:25: PM"/>
    <w:docVar w:name="DocCategory" w:val="Doc"/>
    <w:docVar w:name="DocType" w:val="Final"/>
    <w:docVar w:name="DutyStation" w:val="Geneva"/>
    <w:docVar w:name="FooterJN" w:val="GE.15-15572"/>
    <w:docVar w:name="jobn" w:val="GE.15-15572 (F)"/>
    <w:docVar w:name="jobnDT" w:val="GE.15-15572 (F)   260116"/>
    <w:docVar w:name="jobnDTDT" w:val="GE.15-15572 (F)   260116   260116"/>
    <w:docVar w:name="JobNo" w:val="GE.1515572F"/>
    <w:docVar w:name="JobNo2" w:val="GE.1520826F"/>
    <w:docVar w:name="LocalDrive" w:val="0"/>
    <w:docVar w:name="OandT" w:val="BEAUNEE"/>
    <w:docVar w:name="PaperSize" w:val="A4"/>
    <w:docVar w:name="sss1" w:val="ECE/ADN/33"/>
    <w:docVar w:name="sss2" w:val="-"/>
    <w:docVar w:name="Symbol1" w:val="ECE/ADN/33"/>
    <w:docVar w:name="Symbol2" w:val="-"/>
  </w:docVars>
  <w:rsids>
    <w:rsidRoot w:val="008D23E4"/>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C6EEF"/>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96F32"/>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681A"/>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E2B18"/>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40C"/>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D6351"/>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25E97"/>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4A41"/>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37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0F4E"/>
    <w:rsid w:val="0082537E"/>
    <w:rsid w:val="00825C31"/>
    <w:rsid w:val="008276A3"/>
    <w:rsid w:val="00831BD0"/>
    <w:rsid w:val="00833A79"/>
    <w:rsid w:val="00833BFF"/>
    <w:rsid w:val="00834BBB"/>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6623"/>
    <w:rsid w:val="008A734B"/>
    <w:rsid w:val="008B24ED"/>
    <w:rsid w:val="008B5932"/>
    <w:rsid w:val="008C1225"/>
    <w:rsid w:val="008C1646"/>
    <w:rsid w:val="008C189A"/>
    <w:rsid w:val="008C1E51"/>
    <w:rsid w:val="008C2C0E"/>
    <w:rsid w:val="008C5E6B"/>
    <w:rsid w:val="008C6672"/>
    <w:rsid w:val="008D23E4"/>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1065"/>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51F9"/>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1373"/>
    <w:rsid w:val="00B145B5"/>
    <w:rsid w:val="00B152AC"/>
    <w:rsid w:val="00B16C8B"/>
    <w:rsid w:val="00B20969"/>
    <w:rsid w:val="00B21BB0"/>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46FC4"/>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C6158"/>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1168"/>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1E7E"/>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08FD"/>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8A6623"/>
    <w:rPr>
      <w:sz w:val="16"/>
      <w:szCs w:val="16"/>
    </w:rPr>
  </w:style>
  <w:style w:type="paragraph" w:styleId="CommentText">
    <w:name w:val="annotation text"/>
    <w:basedOn w:val="Normal"/>
    <w:link w:val="CommentTextChar"/>
    <w:uiPriority w:val="99"/>
    <w:semiHidden/>
    <w:unhideWhenUsed/>
    <w:rsid w:val="008A6623"/>
    <w:pPr>
      <w:spacing w:line="240" w:lineRule="auto"/>
    </w:pPr>
    <w:rPr>
      <w:szCs w:val="20"/>
    </w:rPr>
  </w:style>
  <w:style w:type="character" w:customStyle="1" w:styleId="CommentTextChar">
    <w:name w:val="Comment Text Char"/>
    <w:basedOn w:val="DefaultParagraphFont"/>
    <w:link w:val="CommentText"/>
    <w:uiPriority w:val="99"/>
    <w:semiHidden/>
    <w:rsid w:val="008A6623"/>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8A6623"/>
    <w:rPr>
      <w:b/>
      <w:bCs/>
    </w:rPr>
  </w:style>
  <w:style w:type="character" w:customStyle="1" w:styleId="CommentSubjectChar">
    <w:name w:val="Comment Subject Char"/>
    <w:basedOn w:val="CommentTextChar"/>
    <w:link w:val="CommentSubject"/>
    <w:uiPriority w:val="99"/>
    <w:semiHidden/>
    <w:rsid w:val="008A6623"/>
    <w:rPr>
      <w:rFonts w:ascii="Times New Roman" w:hAnsi="Times New Roman"/>
      <w:b/>
      <w:bCs/>
      <w:spacing w:val="4"/>
      <w:w w:val="103"/>
      <w:kern w:val="14"/>
      <w:lang w:val="fr-CA"/>
    </w:rPr>
  </w:style>
  <w:style w:type="paragraph" w:customStyle="1" w:styleId="Bullet1G">
    <w:name w:val="_Bullet 1_G"/>
    <w:basedOn w:val="Normal"/>
    <w:qFormat/>
    <w:rsid w:val="000C6EEF"/>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character" w:styleId="Hyperlink">
    <w:name w:val="Hyperlink"/>
    <w:basedOn w:val="DefaultParagraphFont"/>
    <w:uiPriority w:val="99"/>
    <w:unhideWhenUsed/>
    <w:rsid w:val="00834B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8A6623"/>
    <w:rPr>
      <w:sz w:val="16"/>
      <w:szCs w:val="16"/>
    </w:rPr>
  </w:style>
  <w:style w:type="paragraph" w:styleId="CommentText">
    <w:name w:val="annotation text"/>
    <w:basedOn w:val="Normal"/>
    <w:link w:val="CommentTextChar"/>
    <w:uiPriority w:val="99"/>
    <w:semiHidden/>
    <w:unhideWhenUsed/>
    <w:rsid w:val="008A6623"/>
    <w:pPr>
      <w:spacing w:line="240" w:lineRule="auto"/>
    </w:pPr>
    <w:rPr>
      <w:szCs w:val="20"/>
    </w:rPr>
  </w:style>
  <w:style w:type="character" w:customStyle="1" w:styleId="CommentTextChar">
    <w:name w:val="Comment Text Char"/>
    <w:basedOn w:val="DefaultParagraphFont"/>
    <w:link w:val="CommentText"/>
    <w:uiPriority w:val="99"/>
    <w:semiHidden/>
    <w:rsid w:val="008A6623"/>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8A6623"/>
    <w:rPr>
      <w:b/>
      <w:bCs/>
    </w:rPr>
  </w:style>
  <w:style w:type="character" w:customStyle="1" w:styleId="CommentSubjectChar">
    <w:name w:val="Comment Subject Char"/>
    <w:basedOn w:val="CommentTextChar"/>
    <w:link w:val="CommentSubject"/>
    <w:uiPriority w:val="99"/>
    <w:semiHidden/>
    <w:rsid w:val="008A6623"/>
    <w:rPr>
      <w:rFonts w:ascii="Times New Roman" w:hAnsi="Times New Roman"/>
      <w:b/>
      <w:bCs/>
      <w:spacing w:val="4"/>
      <w:w w:val="103"/>
      <w:kern w:val="14"/>
      <w:lang w:val="fr-CA"/>
    </w:rPr>
  </w:style>
  <w:style w:type="paragraph" w:customStyle="1" w:styleId="Bullet1G">
    <w:name w:val="_Bullet 1_G"/>
    <w:basedOn w:val="Normal"/>
    <w:qFormat/>
    <w:rsid w:val="000C6EEF"/>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character" w:styleId="Hyperlink">
    <w:name w:val="Hyperlink"/>
    <w:basedOn w:val="DefaultParagraphFont"/>
    <w:uiPriority w:val="99"/>
    <w:unhideWhenUsed/>
    <w:rsid w:val="00834B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nece.org/trans/danger/danger.htm"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unece.org/fileadmin/DAM/trans/doc/2015/dgwp15ac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0D8EC-510B-4EDE-9B34-963064ED7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3065</Words>
  <Characters>17477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Beaunee</dc:creator>
  <cp:lastModifiedBy>Caillot</cp:lastModifiedBy>
  <cp:revision>4</cp:revision>
  <cp:lastPrinted>2016-01-27T10:38:00Z</cp:lastPrinted>
  <dcterms:created xsi:type="dcterms:W3CDTF">2016-01-27T10:38:00Z</dcterms:created>
  <dcterms:modified xsi:type="dcterms:W3CDTF">2016-01-27T10:38:00Z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1515572F</vt:lpwstr>
  </property>
  <property fmtid="{D5CDD505-2E9C-101B-9397-08002B2CF9AE}" pid="3" name="ODSRefJobNo">
    <vt:lpwstr>1520826F</vt:lpwstr>
  </property>
  <property fmtid="{D5CDD505-2E9C-101B-9397-08002B2CF9AE}" pid="4" name="Symbol1">
    <vt:lpwstr>ECE/ADN/33</vt:lpwstr>
  </property>
  <property fmtid="{D5CDD505-2E9C-101B-9397-08002B2CF9AE}" pid="5" name="Symbol2">
    <vt:lpwstr/>
  </property>
  <property fmtid="{D5CDD505-2E9C-101B-9397-08002B2CF9AE}" pid="6" name="Translator">
    <vt:lpwstr/>
  </property>
  <property fmtid="{D5CDD505-2E9C-101B-9397-08002B2CF9AE}" pid="7" name="Operator">
    <vt:lpwstr>BEAUNEE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26 janvier 2016</vt:lpwstr>
  </property>
  <property fmtid="{D5CDD505-2E9C-101B-9397-08002B2CF9AE}" pid="12" name="Original">
    <vt:lpwstr>anglais</vt:lpwstr>
  </property>
  <property fmtid="{D5CDD505-2E9C-101B-9397-08002B2CF9AE}" pid="13" name="Release Date">
    <vt:lpwstr>260116</vt:lpwstr>
  </property>
</Properties>
</file>