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ayout w:type="fixed"/>
        <w:tblCellMar>
          <w:left w:w="0" w:type="dxa"/>
          <w:right w:w="0" w:type="dxa"/>
        </w:tblCellMar>
        <w:tblLook w:val="01E0" w:firstRow="1" w:lastRow="1" w:firstColumn="1" w:lastColumn="1" w:noHBand="0" w:noVBand="0"/>
      </w:tblPr>
      <w:tblGrid>
        <w:gridCol w:w="9356"/>
      </w:tblGrid>
      <w:tr w:rsidR="00E8039E" w:rsidRPr="0014095B" w:rsidTr="00E8039E">
        <w:trPr>
          <w:cantSplit/>
          <w:trHeight w:val="851"/>
        </w:trPr>
        <w:tc>
          <w:tcPr>
            <w:tcW w:w="9356" w:type="dxa"/>
            <w:tcBorders>
              <w:top w:val="nil"/>
              <w:left w:val="nil"/>
              <w:bottom w:val="single" w:sz="4" w:space="0" w:color="auto"/>
              <w:right w:val="nil"/>
            </w:tcBorders>
            <w:vAlign w:val="bottom"/>
          </w:tcPr>
          <w:p w:rsidR="00E8039E" w:rsidRPr="00CE5867" w:rsidRDefault="00E8039E" w:rsidP="004A19FA">
            <w:pPr>
              <w:suppressAutoHyphens/>
              <w:spacing w:line="240" w:lineRule="atLeast"/>
              <w:jc w:val="right"/>
              <w:rPr>
                <w:rFonts w:ascii="Times New Roman" w:hAnsi="Times New Roman"/>
                <w:b/>
                <w:sz w:val="40"/>
                <w:szCs w:val="40"/>
                <w:lang w:val="en-GB"/>
              </w:rPr>
            </w:pPr>
            <w:r w:rsidRPr="00CE5867">
              <w:rPr>
                <w:rFonts w:ascii="Times New Roman" w:hAnsi="Times New Roman"/>
                <w:b/>
                <w:sz w:val="40"/>
                <w:szCs w:val="40"/>
              </w:rPr>
              <w:t>UN/SCEGHS/30/INF.</w:t>
            </w:r>
            <w:r w:rsidR="004A19FA">
              <w:rPr>
                <w:rFonts w:ascii="Times New Roman" w:hAnsi="Times New Roman"/>
                <w:b/>
                <w:sz w:val="40"/>
                <w:szCs w:val="40"/>
              </w:rPr>
              <w:t>31</w:t>
            </w:r>
          </w:p>
        </w:tc>
      </w:tr>
      <w:tr w:rsidR="00E8039E" w:rsidRPr="0014095B" w:rsidTr="00E8039E">
        <w:trPr>
          <w:cantSplit/>
          <w:trHeight w:val="3114"/>
        </w:trPr>
        <w:tc>
          <w:tcPr>
            <w:tcW w:w="9356" w:type="dxa"/>
            <w:tcBorders>
              <w:top w:val="single" w:sz="4" w:space="0" w:color="auto"/>
              <w:left w:val="nil"/>
              <w:bottom w:val="nil"/>
              <w:right w:val="nil"/>
            </w:tcBorders>
          </w:tcPr>
          <w:p w:rsidR="00E8039E" w:rsidRPr="00CE5867" w:rsidRDefault="00E8039E" w:rsidP="00CE0537">
            <w:pPr>
              <w:spacing w:before="120"/>
              <w:rPr>
                <w:rFonts w:ascii="Times New Roman" w:hAnsi="Times New Roman"/>
                <w:b/>
                <w:sz w:val="24"/>
                <w:szCs w:val="24"/>
              </w:rPr>
            </w:pPr>
            <w:r w:rsidRPr="00CE5867">
              <w:rPr>
                <w:rFonts w:ascii="Times New Roman" w:hAnsi="Times New Roman"/>
                <w:b/>
                <w:sz w:val="24"/>
                <w:szCs w:val="24"/>
              </w:rPr>
              <w:t>Committee of Experts on the Transport of Dangerous Goods</w:t>
            </w:r>
            <w:r w:rsidRPr="00CE5867">
              <w:rPr>
                <w:rFonts w:ascii="Times New Roman" w:hAnsi="Times New Roman"/>
                <w:b/>
                <w:sz w:val="24"/>
                <w:szCs w:val="24"/>
              </w:rPr>
              <w:br/>
              <w:t>and on the Globally Harmonized System of Classification</w:t>
            </w:r>
            <w:r w:rsidRPr="00CE5867">
              <w:rPr>
                <w:rFonts w:ascii="Times New Roman" w:hAnsi="Times New Roman"/>
                <w:b/>
                <w:sz w:val="24"/>
                <w:szCs w:val="24"/>
              </w:rPr>
              <w:br/>
              <w:t>and Labelling of Chemicals</w:t>
            </w:r>
          </w:p>
          <w:p w:rsidR="00E8039E" w:rsidRPr="00CE5867" w:rsidRDefault="00E8039E" w:rsidP="004A19FA">
            <w:pPr>
              <w:tabs>
                <w:tab w:val="left" w:pos="7088"/>
                <w:tab w:val="right" w:pos="9300"/>
              </w:tabs>
              <w:spacing w:before="120"/>
              <w:rPr>
                <w:rFonts w:ascii="Times New Roman" w:hAnsi="Times New Roman"/>
                <w:b/>
                <w:sz w:val="20"/>
                <w:szCs w:val="20"/>
              </w:rPr>
            </w:pPr>
            <w:r w:rsidRPr="00CE5867">
              <w:rPr>
                <w:rFonts w:ascii="Times New Roman" w:hAnsi="Times New Roman"/>
                <w:b/>
                <w:sz w:val="20"/>
                <w:szCs w:val="20"/>
              </w:rPr>
              <w:t>Sub-Committee of Experts on the Globally Harmonized</w:t>
            </w:r>
            <w:r w:rsidRPr="00CE5867">
              <w:rPr>
                <w:rFonts w:ascii="Times New Roman" w:hAnsi="Times New Roman"/>
                <w:b/>
                <w:sz w:val="20"/>
                <w:szCs w:val="20"/>
              </w:rPr>
              <w:br/>
              <w:t>System of Classification and Labelling</w:t>
            </w:r>
            <w:r w:rsidR="004A19FA">
              <w:rPr>
                <w:rFonts w:ascii="Times New Roman" w:hAnsi="Times New Roman"/>
                <w:b/>
                <w:sz w:val="20"/>
                <w:szCs w:val="20"/>
              </w:rPr>
              <w:t xml:space="preserve"> of Chemicals</w:t>
            </w:r>
            <w:r w:rsidR="004A19FA">
              <w:rPr>
                <w:rFonts w:ascii="Times New Roman" w:hAnsi="Times New Roman"/>
                <w:b/>
                <w:sz w:val="20"/>
                <w:szCs w:val="20"/>
              </w:rPr>
              <w:tab/>
              <w:t>10 December 2015</w:t>
            </w:r>
            <w:r w:rsidR="004A19FA">
              <w:rPr>
                <w:rFonts w:ascii="Times New Roman" w:hAnsi="Times New Roman"/>
                <w:b/>
                <w:sz w:val="20"/>
                <w:szCs w:val="20"/>
              </w:rPr>
              <w:tab/>
            </w:r>
          </w:p>
          <w:p w:rsidR="00E8039E" w:rsidRPr="00CE5867" w:rsidRDefault="00E8039E" w:rsidP="00CE0537">
            <w:pPr>
              <w:spacing w:before="120"/>
              <w:contextualSpacing/>
              <w:rPr>
                <w:rFonts w:ascii="Times New Roman" w:hAnsi="Times New Roman"/>
                <w:b/>
                <w:sz w:val="20"/>
                <w:szCs w:val="20"/>
                <w:lang w:val="en-GB"/>
              </w:rPr>
            </w:pPr>
            <w:r w:rsidRPr="00CE5867">
              <w:rPr>
                <w:rFonts w:ascii="Times New Roman" w:hAnsi="Times New Roman"/>
                <w:b/>
                <w:sz w:val="20"/>
                <w:szCs w:val="20"/>
              </w:rPr>
              <w:t>Thirtieth session</w:t>
            </w:r>
          </w:p>
          <w:p w:rsidR="00E8039E" w:rsidRPr="00CE5867" w:rsidRDefault="00E8039E" w:rsidP="00CE0537">
            <w:pPr>
              <w:contextualSpacing/>
              <w:rPr>
                <w:rFonts w:ascii="Times New Roman" w:hAnsi="Times New Roman"/>
                <w:sz w:val="20"/>
                <w:szCs w:val="20"/>
              </w:rPr>
            </w:pPr>
            <w:r w:rsidRPr="00CE5867">
              <w:rPr>
                <w:rFonts w:ascii="Times New Roman" w:hAnsi="Times New Roman"/>
                <w:sz w:val="20"/>
                <w:szCs w:val="20"/>
              </w:rPr>
              <w:t>Geneva, 9</w:t>
            </w:r>
            <w:r w:rsidR="004A19FA">
              <w:rPr>
                <w:rFonts w:ascii="Times New Roman" w:hAnsi="Times New Roman"/>
                <w:sz w:val="20"/>
                <w:szCs w:val="20"/>
              </w:rPr>
              <w:t xml:space="preserve"> – </w:t>
            </w:r>
            <w:r w:rsidRPr="00CE5867">
              <w:rPr>
                <w:rFonts w:ascii="Times New Roman" w:hAnsi="Times New Roman"/>
                <w:sz w:val="20"/>
                <w:szCs w:val="20"/>
              </w:rPr>
              <w:t>11</w:t>
            </w:r>
            <w:r w:rsidR="004A19FA">
              <w:rPr>
                <w:rFonts w:ascii="Times New Roman" w:hAnsi="Times New Roman"/>
                <w:sz w:val="20"/>
                <w:szCs w:val="20"/>
              </w:rPr>
              <w:t xml:space="preserve"> </w:t>
            </w:r>
            <w:r w:rsidRPr="00CE5867">
              <w:rPr>
                <w:rFonts w:ascii="Times New Roman" w:hAnsi="Times New Roman"/>
                <w:sz w:val="20"/>
                <w:szCs w:val="20"/>
              </w:rPr>
              <w:t>December 2015</w:t>
            </w:r>
          </w:p>
          <w:p w:rsidR="00E8039E" w:rsidRPr="00CE5867" w:rsidRDefault="00E8039E" w:rsidP="00CE0537">
            <w:pPr>
              <w:contextualSpacing/>
              <w:rPr>
                <w:rFonts w:ascii="Times New Roman" w:hAnsi="Times New Roman"/>
                <w:sz w:val="20"/>
                <w:szCs w:val="20"/>
              </w:rPr>
            </w:pPr>
            <w:r w:rsidRPr="00CE5867">
              <w:rPr>
                <w:rFonts w:ascii="Times New Roman" w:hAnsi="Times New Roman"/>
                <w:sz w:val="20"/>
                <w:szCs w:val="20"/>
              </w:rPr>
              <w:t>Item 3 (a) of the provisional agenda</w:t>
            </w:r>
          </w:p>
          <w:p w:rsidR="00E8039E" w:rsidRPr="00CE5867" w:rsidRDefault="00E8039E" w:rsidP="00CE0537">
            <w:pPr>
              <w:contextualSpacing/>
              <w:rPr>
                <w:rFonts w:ascii="Times New Roman" w:hAnsi="Times New Roman"/>
                <w:b/>
                <w:sz w:val="20"/>
                <w:szCs w:val="20"/>
              </w:rPr>
            </w:pPr>
            <w:r w:rsidRPr="00CE5867">
              <w:rPr>
                <w:rFonts w:ascii="Times New Roman" w:hAnsi="Times New Roman"/>
                <w:b/>
                <w:sz w:val="20"/>
                <w:szCs w:val="20"/>
              </w:rPr>
              <w:t xml:space="preserve">Classification criteria and hazard communication: </w:t>
            </w:r>
          </w:p>
          <w:p w:rsidR="00E8039E" w:rsidRPr="00CE5867" w:rsidRDefault="00E8039E" w:rsidP="00CE0537">
            <w:pPr>
              <w:rPr>
                <w:rFonts w:ascii="Times New Roman" w:hAnsi="Times New Roman"/>
                <w:sz w:val="24"/>
                <w:szCs w:val="24"/>
              </w:rPr>
            </w:pPr>
            <w:r w:rsidRPr="00CE5867">
              <w:rPr>
                <w:rFonts w:ascii="Times New Roman" w:hAnsi="Times New Roman"/>
                <w:b/>
                <w:sz w:val="20"/>
                <w:szCs w:val="20"/>
              </w:rPr>
              <w:t>Dust explosion hazards</w:t>
            </w:r>
          </w:p>
        </w:tc>
      </w:tr>
    </w:tbl>
    <w:p w:rsidR="00E8039E" w:rsidRPr="00CE5867" w:rsidRDefault="00E8039E" w:rsidP="00E8039E">
      <w:pPr>
        <w:pStyle w:val="H1G"/>
        <w:tabs>
          <w:tab w:val="clear" w:pos="851"/>
          <w:tab w:val="right" w:pos="0"/>
        </w:tabs>
        <w:ind w:left="0" w:right="0" w:firstLine="0"/>
        <w:rPr>
          <w:rFonts w:eastAsia="MS Mincho"/>
          <w:sz w:val="28"/>
          <w:szCs w:val="28"/>
        </w:rPr>
      </w:pPr>
      <w:r w:rsidRPr="00CE5867">
        <w:rPr>
          <w:rFonts w:eastAsia="MS Mincho"/>
          <w:sz w:val="28"/>
          <w:szCs w:val="28"/>
        </w:rPr>
        <w:t xml:space="preserve">Dust Explosion Hazards: </w:t>
      </w:r>
      <w:r>
        <w:rPr>
          <w:rFonts w:eastAsia="MS Mincho"/>
          <w:sz w:val="28"/>
          <w:szCs w:val="28"/>
        </w:rPr>
        <w:t>Position Paper</w:t>
      </w:r>
    </w:p>
    <w:p w:rsidR="00E8039E" w:rsidRPr="004A19FA" w:rsidRDefault="00E8039E" w:rsidP="004A19FA">
      <w:pPr>
        <w:pStyle w:val="H1G"/>
        <w:tabs>
          <w:tab w:val="clear" w:pos="851"/>
          <w:tab w:val="right" w:pos="0"/>
        </w:tabs>
        <w:ind w:left="0" w:right="0" w:firstLine="0"/>
        <w:rPr>
          <w:rFonts w:eastAsia="MS Mincho"/>
        </w:rPr>
      </w:pPr>
      <w:r w:rsidRPr="00CE5867">
        <w:rPr>
          <w:rFonts w:eastAsia="MS Mincho"/>
        </w:rPr>
        <w:t xml:space="preserve">Transmitted by the expert from Russian Federation </w:t>
      </w:r>
    </w:p>
    <w:p w:rsidR="00E8039E" w:rsidRPr="00CE5867" w:rsidRDefault="00E8039E" w:rsidP="00E8039E">
      <w:pPr>
        <w:pStyle w:val="SingleTxtG"/>
        <w:tabs>
          <w:tab w:val="right" w:pos="0"/>
        </w:tabs>
        <w:ind w:left="0" w:right="0"/>
        <w:rPr>
          <w:b/>
        </w:rPr>
      </w:pPr>
      <w:r w:rsidRPr="00CE5867">
        <w:rPr>
          <w:b/>
        </w:rPr>
        <w:t>Purpose</w:t>
      </w:r>
    </w:p>
    <w:p w:rsidR="00E8039E" w:rsidRPr="004501F3" w:rsidRDefault="00E8039E" w:rsidP="00E8039E">
      <w:pPr>
        <w:pStyle w:val="SingleTxtG"/>
        <w:numPr>
          <w:ilvl w:val="0"/>
          <w:numId w:val="1"/>
        </w:numPr>
        <w:tabs>
          <w:tab w:val="right" w:pos="0"/>
        </w:tabs>
        <w:ind w:left="0" w:right="0" w:firstLine="0"/>
        <w:rPr>
          <w:color w:val="FF0000"/>
        </w:rPr>
      </w:pPr>
      <w:r w:rsidRPr="004501F3">
        <w:t xml:space="preserve">The purpose of this paper is to state the position of </w:t>
      </w:r>
      <w:r>
        <w:rPr>
          <w:lang w:val="en-US"/>
        </w:rPr>
        <w:t xml:space="preserve">the </w:t>
      </w:r>
      <w:r w:rsidRPr="004501F3">
        <w:t>Russian Federation regarding the debates taking place in the Sub-Committee of Experts on the Globally Harmonized System (GHS) of Classification and Labelling of Chemicals in the United Nations with reference to the issue of “Dust Explosion Hazard</w:t>
      </w:r>
      <w:r>
        <w:t>s</w:t>
      </w:r>
      <w:r w:rsidRPr="004501F3">
        <w:t>”</w:t>
      </w:r>
      <w:r>
        <w:t>.</w:t>
      </w:r>
      <w:r w:rsidRPr="004501F3">
        <w:rPr>
          <w:lang w:val="en-US"/>
        </w:rPr>
        <w:t xml:space="preserve"> </w:t>
      </w:r>
    </w:p>
    <w:p w:rsidR="00E8039E" w:rsidRPr="00210E0D" w:rsidRDefault="00E8039E" w:rsidP="00E8039E">
      <w:pPr>
        <w:pStyle w:val="SingleTxtG"/>
        <w:tabs>
          <w:tab w:val="right" w:pos="0"/>
        </w:tabs>
        <w:ind w:left="0" w:right="0"/>
        <w:rPr>
          <w:b/>
        </w:rPr>
      </w:pPr>
      <w:r>
        <w:rPr>
          <w:b/>
        </w:rPr>
        <w:t>Introduction</w:t>
      </w:r>
    </w:p>
    <w:p w:rsidR="00E8039E" w:rsidRPr="004501F3" w:rsidRDefault="00E8039E" w:rsidP="00E8039E">
      <w:pPr>
        <w:pStyle w:val="SingleTxtG"/>
        <w:numPr>
          <w:ilvl w:val="0"/>
          <w:numId w:val="1"/>
        </w:numPr>
        <w:tabs>
          <w:tab w:val="right" w:pos="0"/>
        </w:tabs>
        <w:ind w:left="0" w:right="0" w:firstLine="0"/>
      </w:pPr>
      <w:r>
        <w:t xml:space="preserve">The </w:t>
      </w:r>
      <w:r w:rsidRPr="00DA430E">
        <w:t>Russian Federation follows the debates under the Sub-Committee GHS on this issue</w:t>
      </w:r>
      <w:r>
        <w:t>,</w:t>
      </w:r>
      <w:r w:rsidRPr="00DA430E">
        <w:t xml:space="preserve"> and in order to form a position on expediency of introducing a new class of </w:t>
      </w:r>
      <w:r>
        <w:t xml:space="preserve">“dust explosion </w:t>
      </w:r>
      <w:r w:rsidRPr="00DA430E">
        <w:t>hazard</w:t>
      </w:r>
      <w:r>
        <w:t>”</w:t>
      </w:r>
      <w:r w:rsidRPr="00DA430E">
        <w:t xml:space="preserve"> in</w:t>
      </w:r>
      <w:r>
        <w:t xml:space="preserve"> the GHS, a survey was performed among</w:t>
      </w:r>
      <w:r w:rsidRPr="00DA430E">
        <w:rPr>
          <w:lang w:val="en-US"/>
        </w:rPr>
        <w:t xml:space="preserve"> the representatives of the Russian industry and the federal </w:t>
      </w:r>
      <w:r>
        <w:rPr>
          <w:lang w:val="en-US"/>
        </w:rPr>
        <w:t>executive authorities</w:t>
      </w:r>
      <w:r w:rsidRPr="00DA430E">
        <w:rPr>
          <w:lang w:val="en-US"/>
        </w:rPr>
        <w:t>.</w:t>
      </w:r>
      <w:r>
        <w:rPr>
          <w:lang w:val="en-US"/>
        </w:rPr>
        <w:t xml:space="preserve"> </w:t>
      </w:r>
      <w:r w:rsidRPr="00DA430E">
        <w:rPr>
          <w:lang w:val="en-US"/>
        </w:rPr>
        <w:t xml:space="preserve">As part of the survey </w:t>
      </w:r>
      <w:r>
        <w:rPr>
          <w:lang w:val="en-US"/>
        </w:rPr>
        <w:t xml:space="preserve">the summary with the arguments </w:t>
      </w:r>
      <w:r w:rsidRPr="00DA430E">
        <w:rPr>
          <w:lang w:val="en-US"/>
        </w:rPr>
        <w:t xml:space="preserve">for and against the introduction of a new </w:t>
      </w:r>
      <w:r>
        <w:rPr>
          <w:lang w:val="en-US"/>
        </w:rPr>
        <w:t xml:space="preserve">hazard </w:t>
      </w:r>
      <w:r w:rsidRPr="00DA430E">
        <w:rPr>
          <w:lang w:val="en-US"/>
        </w:rPr>
        <w:t>class</w:t>
      </w:r>
      <w:r>
        <w:rPr>
          <w:lang w:val="en-US"/>
        </w:rPr>
        <w:t xml:space="preserve"> was provided to </w:t>
      </w:r>
      <w:r w:rsidRPr="004501F3">
        <w:rPr>
          <w:lang w:val="en-US"/>
        </w:rPr>
        <w:t>the parties concerned</w:t>
      </w:r>
      <w:r>
        <w:rPr>
          <w:lang w:val="en-US"/>
        </w:rPr>
        <w:t xml:space="preserve"> with the request to review the summary </w:t>
      </w:r>
      <w:proofErr w:type="gramStart"/>
      <w:r>
        <w:rPr>
          <w:lang w:val="en-US"/>
        </w:rPr>
        <w:t xml:space="preserve">and </w:t>
      </w:r>
      <w:r w:rsidRPr="00DA430E">
        <w:rPr>
          <w:lang w:val="en-US"/>
        </w:rPr>
        <w:t xml:space="preserve"> </w:t>
      </w:r>
      <w:r>
        <w:rPr>
          <w:lang w:val="en-US"/>
        </w:rPr>
        <w:t>provide</w:t>
      </w:r>
      <w:proofErr w:type="gramEnd"/>
      <w:r>
        <w:rPr>
          <w:lang w:val="en-US"/>
        </w:rPr>
        <w:t xml:space="preserve"> their </w:t>
      </w:r>
      <w:r w:rsidRPr="004501F3">
        <w:rPr>
          <w:lang w:val="en-US"/>
        </w:rPr>
        <w:t>reasoned</w:t>
      </w:r>
      <w:r>
        <w:rPr>
          <w:lang w:val="en-US"/>
        </w:rPr>
        <w:t xml:space="preserve"> </w:t>
      </w:r>
      <w:r w:rsidRPr="00DA430E">
        <w:rPr>
          <w:lang w:val="en-US"/>
        </w:rPr>
        <w:t xml:space="preserve">position on the issue. </w:t>
      </w:r>
    </w:p>
    <w:p w:rsidR="00E8039E" w:rsidRDefault="00E8039E" w:rsidP="00E8039E">
      <w:pPr>
        <w:pStyle w:val="SingleTxtG"/>
        <w:numPr>
          <w:ilvl w:val="0"/>
          <w:numId w:val="1"/>
        </w:numPr>
        <w:tabs>
          <w:tab w:val="right" w:pos="0"/>
        </w:tabs>
        <w:ind w:left="0" w:right="0" w:firstLine="0"/>
      </w:pPr>
      <w:r>
        <w:rPr>
          <w:lang w:val="en-US"/>
        </w:rPr>
        <w:t>R</w:t>
      </w:r>
      <w:r w:rsidRPr="004501F3">
        <w:rPr>
          <w:lang w:val="en-US"/>
        </w:rPr>
        <w:t>easoned</w:t>
      </w:r>
      <w:r>
        <w:rPr>
          <w:lang w:val="en-US"/>
        </w:rPr>
        <w:t xml:space="preserve"> </w:t>
      </w:r>
      <w:r w:rsidRPr="00DA430E">
        <w:rPr>
          <w:lang w:val="en-US"/>
        </w:rPr>
        <w:t>position</w:t>
      </w:r>
      <w:r>
        <w:rPr>
          <w:lang w:val="en-US"/>
        </w:rPr>
        <w:t xml:space="preserve"> was received from 12 </w:t>
      </w:r>
      <w:r w:rsidRPr="00DA430E">
        <w:rPr>
          <w:lang w:val="en-US"/>
        </w:rPr>
        <w:t xml:space="preserve">Russian </w:t>
      </w:r>
      <w:r w:rsidRPr="004501F3">
        <w:rPr>
          <w:lang w:val="en-US"/>
        </w:rPr>
        <w:t>ma</w:t>
      </w:r>
      <w:r>
        <w:rPr>
          <w:lang w:val="en-US"/>
        </w:rPr>
        <w:t>nufacturers of chemicals</w:t>
      </w:r>
      <w:r w:rsidRPr="004501F3">
        <w:rPr>
          <w:lang w:val="en-US"/>
        </w:rPr>
        <w:t xml:space="preserve">, </w:t>
      </w:r>
      <w:r>
        <w:rPr>
          <w:lang w:val="en-US"/>
        </w:rPr>
        <w:t xml:space="preserve">which handle </w:t>
      </w:r>
      <w:proofErr w:type="spellStart"/>
      <w:r>
        <w:rPr>
          <w:lang w:val="en-US"/>
        </w:rPr>
        <w:t>explosible</w:t>
      </w:r>
      <w:proofErr w:type="spellEnd"/>
      <w:r w:rsidRPr="004501F3">
        <w:rPr>
          <w:lang w:val="en-US"/>
        </w:rPr>
        <w:t xml:space="preserve"> dust</w:t>
      </w:r>
      <w:r>
        <w:rPr>
          <w:lang w:val="en-US"/>
        </w:rPr>
        <w:t xml:space="preserve">s and </w:t>
      </w:r>
      <w:proofErr w:type="gramStart"/>
      <w:r>
        <w:rPr>
          <w:lang w:val="en-US"/>
        </w:rPr>
        <w:t xml:space="preserve">6  </w:t>
      </w:r>
      <w:r w:rsidRPr="00DA430E">
        <w:rPr>
          <w:lang w:val="en-US"/>
        </w:rPr>
        <w:t>federal</w:t>
      </w:r>
      <w:proofErr w:type="gramEnd"/>
      <w:r w:rsidRPr="00DA430E">
        <w:rPr>
          <w:lang w:val="en-US"/>
        </w:rPr>
        <w:t xml:space="preserve"> </w:t>
      </w:r>
      <w:r>
        <w:rPr>
          <w:lang w:val="en-US"/>
        </w:rPr>
        <w:t>executive authorities.</w:t>
      </w:r>
    </w:p>
    <w:p w:rsidR="00E8039E" w:rsidRPr="00DA430E" w:rsidRDefault="00E8039E" w:rsidP="00E8039E">
      <w:pPr>
        <w:pStyle w:val="SingleTxtG"/>
        <w:numPr>
          <w:ilvl w:val="0"/>
          <w:numId w:val="1"/>
        </w:numPr>
        <w:tabs>
          <w:tab w:val="right" w:pos="0"/>
        </w:tabs>
        <w:ind w:left="0" w:right="0" w:firstLine="0"/>
      </w:pPr>
      <w:r w:rsidRPr="00DA430E">
        <w:rPr>
          <w:lang w:val="en-US"/>
        </w:rPr>
        <w:t>On the basis of the res</w:t>
      </w:r>
      <w:r>
        <w:rPr>
          <w:lang w:val="en-US"/>
        </w:rPr>
        <w:t>ponses received,</w:t>
      </w:r>
      <w:r w:rsidRPr="00DA430E">
        <w:rPr>
          <w:lang w:val="en-US"/>
        </w:rPr>
        <w:t xml:space="preserve"> the official pos</w:t>
      </w:r>
      <w:r>
        <w:rPr>
          <w:lang w:val="en-US"/>
        </w:rPr>
        <w:t>ition of the Russian Federation was formed as presented</w:t>
      </w:r>
      <w:r w:rsidRPr="00DA430E">
        <w:rPr>
          <w:lang w:val="en-US"/>
        </w:rPr>
        <w:t xml:space="preserve"> below.</w:t>
      </w:r>
    </w:p>
    <w:p w:rsidR="00E8039E" w:rsidRPr="00210E0D" w:rsidRDefault="00E8039E" w:rsidP="00E8039E">
      <w:pPr>
        <w:pStyle w:val="SingleTxtG"/>
        <w:tabs>
          <w:tab w:val="right" w:pos="0"/>
        </w:tabs>
        <w:ind w:left="0" w:right="0"/>
        <w:rPr>
          <w:b/>
        </w:rPr>
      </w:pPr>
      <w:r w:rsidRPr="00210E0D">
        <w:rPr>
          <w:b/>
        </w:rPr>
        <w:t>Summary of arguments to be considered</w:t>
      </w:r>
      <w:r w:rsidRPr="00210E0D">
        <w:rPr>
          <w:b/>
        </w:rPr>
        <w:cr/>
      </w:r>
    </w:p>
    <w:p w:rsidR="00E8039E" w:rsidRPr="00894417" w:rsidRDefault="00E8039E" w:rsidP="00E8039E">
      <w:pPr>
        <w:pStyle w:val="SingleTxtG"/>
        <w:numPr>
          <w:ilvl w:val="0"/>
          <w:numId w:val="1"/>
        </w:numPr>
        <w:tabs>
          <w:tab w:val="right" w:pos="0"/>
        </w:tabs>
        <w:ind w:left="0" w:right="0" w:firstLine="0"/>
        <w:rPr>
          <w:color w:val="FF0000"/>
        </w:rPr>
      </w:pPr>
      <w:r>
        <w:t xml:space="preserve">The </w:t>
      </w:r>
      <w:r w:rsidRPr="004501F3">
        <w:t xml:space="preserve">Russian Federation </w:t>
      </w:r>
      <w:r w:rsidRPr="004501F3">
        <w:rPr>
          <w:lang w:val="en-US"/>
        </w:rPr>
        <w:t xml:space="preserve">is of </w:t>
      </w:r>
      <w:r>
        <w:rPr>
          <w:lang w:val="en-US"/>
        </w:rPr>
        <w:t xml:space="preserve">the </w:t>
      </w:r>
      <w:r w:rsidRPr="004501F3">
        <w:rPr>
          <w:lang w:val="en-US"/>
        </w:rPr>
        <w:t xml:space="preserve">opinion </w:t>
      </w:r>
      <w:r>
        <w:rPr>
          <w:lang w:val="en-US"/>
        </w:rPr>
        <w:t xml:space="preserve">that the following aspects should be considered in the discussions: </w:t>
      </w:r>
    </w:p>
    <w:p w:rsidR="00E8039E" w:rsidRPr="00E8039E" w:rsidRDefault="00E8039E" w:rsidP="00E8039E">
      <w:pPr>
        <w:pStyle w:val="ListParagraph"/>
        <w:numPr>
          <w:ilvl w:val="0"/>
          <w:numId w:val="2"/>
        </w:numPr>
        <w:tabs>
          <w:tab w:val="left" w:pos="993"/>
        </w:tabs>
        <w:spacing w:after="0" w:line="240" w:lineRule="auto"/>
        <w:ind w:left="993"/>
        <w:jc w:val="both"/>
        <w:rPr>
          <w:rFonts w:ascii="Times New Roman" w:hAnsi="Times New Roman"/>
          <w:sz w:val="24"/>
          <w:szCs w:val="24"/>
        </w:rPr>
      </w:pPr>
      <w:r w:rsidRPr="00E8039E">
        <w:rPr>
          <w:rFonts w:ascii="Times New Roman" w:hAnsi="Times New Roman"/>
          <w:sz w:val="24"/>
          <w:szCs w:val="24"/>
        </w:rPr>
        <w:t>Factors contributing to a dust explosion are: the concentration of dust in the air, dust particle size, the ignition temperature, humidity and the presence of an ignition source and of an oxidant. Thus, it is not so much about the intrinsic properties of the substance, but the risk of formation of an explosive atmosphere under specific condition;</w:t>
      </w:r>
    </w:p>
    <w:p w:rsidR="00E8039E" w:rsidRPr="00E8039E" w:rsidRDefault="00E8039E" w:rsidP="00E8039E">
      <w:pPr>
        <w:pStyle w:val="ListParagraph"/>
        <w:tabs>
          <w:tab w:val="left" w:pos="993"/>
        </w:tabs>
        <w:spacing w:after="0" w:line="240" w:lineRule="auto"/>
        <w:ind w:left="993"/>
        <w:jc w:val="both"/>
        <w:rPr>
          <w:rFonts w:ascii="Times New Roman" w:hAnsi="Times New Roman"/>
          <w:sz w:val="24"/>
          <w:szCs w:val="24"/>
        </w:rPr>
      </w:pPr>
    </w:p>
    <w:p w:rsidR="00E8039E" w:rsidRPr="00E8039E" w:rsidRDefault="00E8039E" w:rsidP="00E8039E">
      <w:pPr>
        <w:pStyle w:val="ListParagraph"/>
        <w:numPr>
          <w:ilvl w:val="0"/>
          <w:numId w:val="2"/>
        </w:numPr>
        <w:tabs>
          <w:tab w:val="left" w:pos="993"/>
        </w:tabs>
        <w:spacing w:after="120" w:line="240" w:lineRule="auto"/>
        <w:ind w:left="992" w:hanging="357"/>
        <w:contextualSpacing w:val="0"/>
        <w:jc w:val="both"/>
        <w:rPr>
          <w:rFonts w:ascii="Times New Roman" w:hAnsi="Times New Roman"/>
          <w:sz w:val="24"/>
          <w:szCs w:val="24"/>
        </w:rPr>
      </w:pPr>
      <w:r w:rsidRPr="00E8039E">
        <w:rPr>
          <w:rFonts w:ascii="Times New Roman" w:hAnsi="Times New Roman"/>
          <w:sz w:val="24"/>
          <w:szCs w:val="24"/>
        </w:rPr>
        <w:lastRenderedPageBreak/>
        <w:t>The concentration range of dust for an explosive atmosphere depends individually on the type of dust and its physical form, which causes difficulties in determining the characteristics of the substance in view of the process conditions. Further, different parameters are needed in order to establish an effective protection concept. Therefore, such behavior cannot be reflected appropriately in terms of simple criteria as need</w:t>
      </w:r>
      <w:r>
        <w:rPr>
          <w:rFonts w:ascii="Times New Roman" w:hAnsi="Times New Roman"/>
          <w:sz w:val="24"/>
          <w:szCs w:val="24"/>
        </w:rPr>
        <w:t>ed for classification purposes</w:t>
      </w:r>
      <w:r w:rsidRPr="00E8039E">
        <w:rPr>
          <w:rFonts w:ascii="Times New Roman" w:hAnsi="Times New Roman"/>
          <w:sz w:val="24"/>
          <w:szCs w:val="24"/>
        </w:rPr>
        <w:t>;</w:t>
      </w:r>
    </w:p>
    <w:p w:rsidR="00E8039E" w:rsidRPr="00E8039E" w:rsidRDefault="00E8039E" w:rsidP="00E8039E">
      <w:pPr>
        <w:pStyle w:val="ListParagraph"/>
        <w:numPr>
          <w:ilvl w:val="0"/>
          <w:numId w:val="2"/>
        </w:numPr>
        <w:tabs>
          <w:tab w:val="left" w:pos="993"/>
        </w:tabs>
        <w:spacing w:after="0" w:line="240" w:lineRule="auto"/>
        <w:ind w:left="993"/>
        <w:jc w:val="both"/>
        <w:rPr>
          <w:rFonts w:ascii="Times New Roman" w:hAnsi="Times New Roman"/>
          <w:sz w:val="24"/>
          <w:szCs w:val="24"/>
        </w:rPr>
      </w:pPr>
      <w:r w:rsidRPr="00E8039E">
        <w:rPr>
          <w:rFonts w:ascii="Times New Roman" w:hAnsi="Times New Roman"/>
          <w:sz w:val="24"/>
          <w:szCs w:val="24"/>
        </w:rPr>
        <w:t xml:space="preserve">Risk associated with the formation of explosive mixtures in the work space and transportation of bulk products as well as requirements for equipment are accounted for within technical regulations, federal laws, national and international standards. The list of regulations in force in the territory of the Russian </w:t>
      </w:r>
      <w:proofErr w:type="gramStart"/>
      <w:r w:rsidRPr="00E8039E">
        <w:rPr>
          <w:rFonts w:ascii="Times New Roman" w:hAnsi="Times New Roman"/>
          <w:sz w:val="24"/>
          <w:szCs w:val="24"/>
        </w:rPr>
        <w:t>Federation,</w:t>
      </w:r>
      <w:proofErr w:type="gramEnd"/>
      <w:r w:rsidRPr="00E8039E">
        <w:rPr>
          <w:rFonts w:ascii="Times New Roman" w:hAnsi="Times New Roman"/>
          <w:sz w:val="24"/>
          <w:szCs w:val="24"/>
        </w:rPr>
        <w:t xml:space="preserve"> is given in Annex 1.</w:t>
      </w:r>
    </w:p>
    <w:p w:rsidR="00E8039E" w:rsidRPr="00894417" w:rsidRDefault="00E8039E" w:rsidP="00E8039E">
      <w:pPr>
        <w:pStyle w:val="SingleTxtG"/>
        <w:tabs>
          <w:tab w:val="right" w:pos="0"/>
        </w:tabs>
        <w:ind w:left="0" w:right="0"/>
        <w:rPr>
          <w:color w:val="FF0000"/>
          <w:lang w:val="en-US"/>
        </w:rPr>
      </w:pPr>
    </w:p>
    <w:p w:rsidR="00E8039E" w:rsidRPr="00210E0D" w:rsidRDefault="00E8039E" w:rsidP="00E8039E">
      <w:pPr>
        <w:pStyle w:val="SingleTxtG"/>
        <w:tabs>
          <w:tab w:val="right" w:pos="0"/>
        </w:tabs>
        <w:ind w:left="0" w:right="0"/>
        <w:rPr>
          <w:b/>
        </w:rPr>
      </w:pPr>
      <w:r>
        <w:rPr>
          <w:b/>
        </w:rPr>
        <w:t>Conclusion</w:t>
      </w:r>
      <w:r w:rsidRPr="00210E0D">
        <w:rPr>
          <w:b/>
        </w:rPr>
        <w:cr/>
      </w:r>
    </w:p>
    <w:p w:rsidR="00E8039E" w:rsidRPr="00894417" w:rsidRDefault="00E8039E" w:rsidP="00E8039E">
      <w:pPr>
        <w:pStyle w:val="SingleTxtG"/>
        <w:numPr>
          <w:ilvl w:val="0"/>
          <w:numId w:val="1"/>
        </w:numPr>
        <w:tabs>
          <w:tab w:val="right" w:pos="0"/>
        </w:tabs>
        <w:ind w:left="0" w:right="0" w:firstLine="0"/>
      </w:pPr>
      <w:r>
        <w:t xml:space="preserve">The </w:t>
      </w:r>
      <w:r w:rsidRPr="004501F3">
        <w:t xml:space="preserve">Russian Federation agrees with the arguments of CEFIC provided at the 27 session </w:t>
      </w:r>
      <w:r w:rsidRPr="004501F3">
        <w:rPr>
          <w:lang w:val="en-US"/>
        </w:rPr>
        <w:t xml:space="preserve">[UN/SCEGHS/27/INF.6] and is of </w:t>
      </w:r>
      <w:r w:rsidRPr="00894417">
        <w:rPr>
          <w:lang w:val="en-US"/>
        </w:rPr>
        <w:t xml:space="preserve">opinion that </w:t>
      </w:r>
      <w:r>
        <w:rPr>
          <w:lang w:val="en-US"/>
        </w:rPr>
        <w:t xml:space="preserve">the </w:t>
      </w:r>
      <w:r w:rsidRPr="00894417">
        <w:rPr>
          <w:lang w:val="en-US"/>
        </w:rPr>
        <w:t>creation a new ha</w:t>
      </w:r>
      <w:r>
        <w:rPr>
          <w:lang w:val="en-US"/>
        </w:rPr>
        <w:t>zard class within the GHS is</w:t>
      </w:r>
      <w:r w:rsidRPr="00894417">
        <w:rPr>
          <w:lang w:val="en-US"/>
        </w:rPr>
        <w:t xml:space="preserve"> </w:t>
      </w:r>
      <w:r>
        <w:rPr>
          <w:lang w:val="en-US"/>
        </w:rPr>
        <w:t xml:space="preserve">not </w:t>
      </w:r>
      <w:r w:rsidRPr="00894417">
        <w:rPr>
          <w:lang w:val="en-US"/>
        </w:rPr>
        <w:t>practical and can lead to confusion. At the same time</w:t>
      </w:r>
      <w:r>
        <w:rPr>
          <w:lang w:val="en-US"/>
        </w:rPr>
        <w:t>,</w:t>
      </w:r>
      <w:r w:rsidRPr="00894417">
        <w:rPr>
          <w:lang w:val="en-US"/>
        </w:rPr>
        <w:t xml:space="preserve"> we support the </w:t>
      </w:r>
      <w:r>
        <w:rPr>
          <w:lang w:val="en-US"/>
        </w:rPr>
        <w:t>step-by-step approach to develop</w:t>
      </w:r>
      <w:r w:rsidRPr="00894417">
        <w:rPr>
          <w:lang w:val="en-US"/>
        </w:rPr>
        <w:t xml:space="preserve"> a definition for “combustible dust” and related cr</w:t>
      </w:r>
      <w:r>
        <w:rPr>
          <w:lang w:val="en-US"/>
        </w:rPr>
        <w:t>iteria within the framework of</w:t>
      </w:r>
      <w:r w:rsidRPr="00894417">
        <w:rPr>
          <w:lang w:val="en-US"/>
        </w:rPr>
        <w:t xml:space="preserve"> appropriate guidance.</w:t>
      </w:r>
    </w:p>
    <w:p w:rsidR="00E8039E" w:rsidRDefault="00E8039E" w:rsidP="00E8039E">
      <w:pPr>
        <w:spacing w:after="0" w:line="240" w:lineRule="auto"/>
        <w:rPr>
          <w:rFonts w:ascii="Times New Roman" w:hAnsi="Times New Roman"/>
          <w:color w:val="FF0000"/>
          <w:sz w:val="20"/>
          <w:szCs w:val="20"/>
          <w:lang w:val="en-GB" w:eastAsia="fr-FR"/>
        </w:rPr>
      </w:pPr>
      <w:r>
        <w:rPr>
          <w:rFonts w:ascii="Times New Roman" w:hAnsi="Times New Roman"/>
          <w:color w:val="FF0000"/>
        </w:rPr>
        <w:br w:type="page"/>
      </w:r>
    </w:p>
    <w:p w:rsidR="00E8039E" w:rsidRDefault="00E8039E" w:rsidP="00E8039E">
      <w:pPr>
        <w:pStyle w:val="SingleTxtG"/>
        <w:tabs>
          <w:tab w:val="right" w:pos="0"/>
        </w:tabs>
        <w:ind w:left="0" w:right="0"/>
        <w:rPr>
          <w:b/>
        </w:rPr>
      </w:pPr>
      <w:r>
        <w:rPr>
          <w:b/>
        </w:rPr>
        <w:lastRenderedPageBreak/>
        <w:t>Annex 1</w:t>
      </w:r>
    </w:p>
    <w:p w:rsidR="00E8039E" w:rsidRPr="00722FC9" w:rsidRDefault="00E8039E" w:rsidP="00E8039E">
      <w:pPr>
        <w:pStyle w:val="SingleTxtG"/>
        <w:tabs>
          <w:tab w:val="right" w:pos="0"/>
        </w:tabs>
        <w:ind w:left="0" w:right="0"/>
      </w:pPr>
      <w:r w:rsidRPr="00722FC9">
        <w:t xml:space="preserve">The </w:t>
      </w:r>
      <w:r>
        <w:t xml:space="preserve">following list informs about </w:t>
      </w:r>
      <w:r w:rsidRPr="00722FC9">
        <w:t>regulations in force address</w:t>
      </w:r>
      <w:r>
        <w:t>ing</w:t>
      </w:r>
      <w:r w:rsidRPr="00722FC9">
        <w:t xml:space="preserve"> fire and explosion </w:t>
      </w:r>
      <w:r>
        <w:rPr>
          <w:lang w:val="en-US"/>
        </w:rPr>
        <w:t>protection</w:t>
      </w:r>
      <w:r w:rsidRPr="00722FC9">
        <w:t xml:space="preserve"> in the territory</w:t>
      </w:r>
      <w:r>
        <w:t xml:space="preserve"> of the Russian Federation</w:t>
      </w:r>
      <w:r w:rsidRPr="00722FC9">
        <w:t xml:space="preserve"> (in Russian).</w:t>
      </w:r>
    </w:p>
    <w:p w:rsidR="00E8039E" w:rsidRPr="00722FC9" w:rsidRDefault="00E8039E" w:rsidP="00E8039E">
      <w:pPr>
        <w:pStyle w:val="SingleTxtG"/>
        <w:numPr>
          <w:ilvl w:val="0"/>
          <w:numId w:val="3"/>
        </w:numPr>
        <w:tabs>
          <w:tab w:val="right" w:pos="0"/>
        </w:tabs>
        <w:spacing w:after="60"/>
        <w:ind w:left="425" w:right="0" w:hanging="357"/>
        <w:rPr>
          <w:lang w:val="ru-RU"/>
        </w:rPr>
      </w:pPr>
      <w:r w:rsidRPr="00722FC9">
        <w:rPr>
          <w:lang w:val="ru-RU"/>
        </w:rPr>
        <w:t>Федеральный закон от 22 июля 2008 г. № 123–ФЗ «Технический регламент о требованиях пожарной безопасности»;</w:t>
      </w:r>
    </w:p>
    <w:p w:rsidR="00E8039E" w:rsidRPr="00722FC9" w:rsidRDefault="00E8039E" w:rsidP="00E8039E">
      <w:pPr>
        <w:pStyle w:val="SingleTxtG"/>
        <w:numPr>
          <w:ilvl w:val="0"/>
          <w:numId w:val="3"/>
        </w:numPr>
        <w:tabs>
          <w:tab w:val="right" w:pos="0"/>
        </w:tabs>
        <w:spacing w:after="60"/>
        <w:ind w:left="425" w:right="0" w:hanging="357"/>
        <w:rPr>
          <w:lang w:val="ru-RU"/>
        </w:rPr>
      </w:pPr>
      <w:r w:rsidRPr="00722FC9">
        <w:rPr>
          <w:lang w:val="ru-RU"/>
        </w:rPr>
        <w:t>ГОСТ 12.1.004-91 «Система стандартов безопасности труда. Пожарная безопасность. Общие требования»;</w:t>
      </w:r>
    </w:p>
    <w:p w:rsidR="00E8039E" w:rsidRPr="00722FC9" w:rsidRDefault="00E8039E" w:rsidP="00E8039E">
      <w:pPr>
        <w:pStyle w:val="SingleTxtG"/>
        <w:numPr>
          <w:ilvl w:val="0"/>
          <w:numId w:val="3"/>
        </w:numPr>
        <w:tabs>
          <w:tab w:val="right" w:pos="0"/>
        </w:tabs>
        <w:spacing w:after="60"/>
        <w:ind w:left="425" w:right="0" w:hanging="357"/>
        <w:rPr>
          <w:lang w:val="ru-RU"/>
        </w:rPr>
      </w:pPr>
      <w:r w:rsidRPr="00722FC9">
        <w:rPr>
          <w:lang w:val="ru-RU"/>
        </w:rPr>
        <w:t>ГОСТ 12.1.010-76 «Система стандартов безопасности труда. Взрывобезопасность. Общие требования»;</w:t>
      </w:r>
    </w:p>
    <w:p w:rsidR="00E8039E" w:rsidRPr="00722FC9" w:rsidRDefault="00E8039E" w:rsidP="00E8039E">
      <w:pPr>
        <w:pStyle w:val="SingleTxtG"/>
        <w:numPr>
          <w:ilvl w:val="0"/>
          <w:numId w:val="3"/>
        </w:numPr>
        <w:tabs>
          <w:tab w:val="right" w:pos="0"/>
        </w:tabs>
        <w:spacing w:after="60"/>
        <w:ind w:left="425" w:right="0" w:hanging="357"/>
        <w:rPr>
          <w:lang w:val="ru-RU"/>
        </w:rPr>
      </w:pPr>
      <w:r w:rsidRPr="00722FC9">
        <w:rPr>
          <w:lang w:val="ru-RU"/>
        </w:rPr>
        <w:t>ГОСТ 12.1.041-83 «</w:t>
      </w:r>
      <w:proofErr w:type="spellStart"/>
      <w:r w:rsidRPr="00722FC9">
        <w:rPr>
          <w:lang w:val="ru-RU"/>
        </w:rPr>
        <w:t>Пожаровзрывобезопасность</w:t>
      </w:r>
      <w:proofErr w:type="spellEnd"/>
      <w:r w:rsidRPr="00722FC9">
        <w:rPr>
          <w:lang w:val="ru-RU"/>
        </w:rPr>
        <w:t xml:space="preserve"> </w:t>
      </w:r>
      <w:proofErr w:type="gramStart"/>
      <w:r w:rsidRPr="00722FC9">
        <w:rPr>
          <w:lang w:val="ru-RU"/>
        </w:rPr>
        <w:t>горючих</w:t>
      </w:r>
      <w:proofErr w:type="gramEnd"/>
      <w:r w:rsidRPr="00722FC9">
        <w:rPr>
          <w:lang w:val="ru-RU"/>
        </w:rPr>
        <w:t xml:space="preserve"> </w:t>
      </w:r>
      <w:proofErr w:type="spellStart"/>
      <w:r w:rsidRPr="00722FC9">
        <w:rPr>
          <w:lang w:val="ru-RU"/>
        </w:rPr>
        <w:t>пылей</w:t>
      </w:r>
      <w:proofErr w:type="spellEnd"/>
      <w:r w:rsidRPr="00722FC9">
        <w:rPr>
          <w:lang w:val="ru-RU"/>
        </w:rPr>
        <w:t>. Общие требования»;</w:t>
      </w:r>
    </w:p>
    <w:p w:rsidR="00E8039E" w:rsidRPr="00722FC9" w:rsidRDefault="00E8039E" w:rsidP="00E8039E">
      <w:pPr>
        <w:pStyle w:val="SingleTxtG"/>
        <w:numPr>
          <w:ilvl w:val="0"/>
          <w:numId w:val="3"/>
        </w:numPr>
        <w:tabs>
          <w:tab w:val="right" w:pos="0"/>
        </w:tabs>
        <w:spacing w:after="60"/>
        <w:ind w:left="425" w:right="0" w:hanging="357"/>
        <w:rPr>
          <w:lang w:val="ru-RU"/>
        </w:rPr>
      </w:pPr>
      <w:r w:rsidRPr="00722FC9">
        <w:rPr>
          <w:lang w:val="ru-RU"/>
        </w:rPr>
        <w:t>ГОСТ 12.0.004-90 «Система стандартов безопасности труда. Организация обучения безопасности труда. Общие положения»</w:t>
      </w:r>
    </w:p>
    <w:p w:rsidR="00E8039E" w:rsidRPr="00722FC9" w:rsidRDefault="00E8039E" w:rsidP="00E8039E">
      <w:pPr>
        <w:pStyle w:val="SingleTxtG"/>
        <w:numPr>
          <w:ilvl w:val="0"/>
          <w:numId w:val="3"/>
        </w:numPr>
        <w:tabs>
          <w:tab w:val="right" w:pos="0"/>
        </w:tabs>
        <w:spacing w:after="60"/>
        <w:ind w:left="425" w:right="0" w:hanging="357"/>
        <w:rPr>
          <w:lang w:val="ru-RU"/>
        </w:rPr>
      </w:pPr>
      <w:r w:rsidRPr="00722FC9">
        <w:rPr>
          <w:lang w:val="ru-RU"/>
        </w:rPr>
        <w:t xml:space="preserve">ГОСТ 12.1.044-89/ ИСО 4589-84 «Система стандартов безопасности труда. </w:t>
      </w:r>
      <w:proofErr w:type="spellStart"/>
      <w:r w:rsidRPr="00722FC9">
        <w:rPr>
          <w:lang w:val="ru-RU"/>
        </w:rPr>
        <w:t>Пожаровзрывоопасность</w:t>
      </w:r>
      <w:proofErr w:type="spellEnd"/>
      <w:r w:rsidRPr="00722FC9">
        <w:rPr>
          <w:lang w:val="ru-RU"/>
        </w:rPr>
        <w:t xml:space="preserve"> веществ и материалов. Номенклатура показателей и методы их определения»;</w:t>
      </w:r>
    </w:p>
    <w:p w:rsidR="00E8039E" w:rsidRPr="00722FC9" w:rsidRDefault="00E8039E" w:rsidP="00E8039E">
      <w:pPr>
        <w:pStyle w:val="SingleTxtG"/>
        <w:numPr>
          <w:ilvl w:val="0"/>
          <w:numId w:val="3"/>
        </w:numPr>
        <w:tabs>
          <w:tab w:val="right" w:pos="0"/>
        </w:tabs>
        <w:spacing w:after="60"/>
        <w:ind w:left="425" w:right="0" w:hanging="357"/>
        <w:rPr>
          <w:lang w:val="ru-RU"/>
        </w:rPr>
      </w:pPr>
      <w:r w:rsidRPr="00722FC9">
        <w:rPr>
          <w:lang w:val="ru-RU"/>
        </w:rPr>
        <w:t xml:space="preserve">ГОСТ </w:t>
      </w:r>
      <w:proofErr w:type="gramStart"/>
      <w:r w:rsidRPr="00722FC9">
        <w:rPr>
          <w:lang w:val="ru-RU"/>
        </w:rPr>
        <w:t>Р</w:t>
      </w:r>
      <w:proofErr w:type="gramEnd"/>
      <w:r w:rsidRPr="00722FC9">
        <w:rPr>
          <w:lang w:val="ru-RU"/>
        </w:rPr>
        <w:t xml:space="preserve"> 12.3.047-2012 «Система стандартов безопасности труда. Пожарная безопасность технологических процессов. Общие требования. Методы контроля»;</w:t>
      </w:r>
    </w:p>
    <w:p w:rsidR="00E8039E" w:rsidRPr="00722FC9" w:rsidRDefault="00E8039E" w:rsidP="00E8039E">
      <w:pPr>
        <w:pStyle w:val="SingleTxtG"/>
        <w:numPr>
          <w:ilvl w:val="0"/>
          <w:numId w:val="3"/>
        </w:numPr>
        <w:tabs>
          <w:tab w:val="right" w:pos="0"/>
        </w:tabs>
        <w:spacing w:after="60"/>
        <w:ind w:left="425" w:right="0" w:hanging="357"/>
        <w:rPr>
          <w:lang w:val="ru-RU"/>
        </w:rPr>
      </w:pPr>
      <w:r w:rsidRPr="00722FC9">
        <w:rPr>
          <w:lang w:val="ru-RU"/>
        </w:rPr>
        <w:t xml:space="preserve">ГОСТ 12.1.018-93 «Система стандартов безопасности труда. </w:t>
      </w:r>
      <w:proofErr w:type="spellStart"/>
      <w:r w:rsidRPr="00722FC9">
        <w:rPr>
          <w:lang w:val="ru-RU"/>
        </w:rPr>
        <w:t>Пожаровзрывобезопасность</w:t>
      </w:r>
      <w:proofErr w:type="spellEnd"/>
      <w:r w:rsidRPr="00722FC9">
        <w:rPr>
          <w:lang w:val="ru-RU"/>
        </w:rPr>
        <w:t xml:space="preserve"> статического электричества. Общие требования»</w:t>
      </w:r>
    </w:p>
    <w:p w:rsidR="00E8039E" w:rsidRPr="00722FC9" w:rsidRDefault="00E8039E" w:rsidP="00E8039E">
      <w:pPr>
        <w:pStyle w:val="SingleTxtG"/>
        <w:numPr>
          <w:ilvl w:val="0"/>
          <w:numId w:val="3"/>
        </w:numPr>
        <w:tabs>
          <w:tab w:val="right" w:pos="0"/>
        </w:tabs>
        <w:spacing w:after="60"/>
        <w:ind w:left="425" w:right="0" w:hanging="357"/>
        <w:rPr>
          <w:lang w:val="ru-RU"/>
        </w:rPr>
      </w:pPr>
      <w:r w:rsidRPr="00722FC9">
        <w:rPr>
          <w:lang w:val="ru-RU"/>
        </w:rPr>
        <w:t xml:space="preserve">Технический регламент таможенного союза </w:t>
      </w:r>
      <w:proofErr w:type="gramStart"/>
      <w:r w:rsidRPr="00722FC9">
        <w:rPr>
          <w:lang w:val="ru-RU"/>
        </w:rPr>
        <w:t>ТР</w:t>
      </w:r>
      <w:proofErr w:type="gramEnd"/>
      <w:r w:rsidRPr="00722FC9">
        <w:rPr>
          <w:lang w:val="ru-RU"/>
        </w:rPr>
        <w:t xml:space="preserve"> ТС 012/2011 «О безопасности оборудования для работы во взрывоопасных средах»; </w:t>
      </w:r>
    </w:p>
    <w:p w:rsidR="00E8039E" w:rsidRPr="00722FC9" w:rsidRDefault="00E8039E" w:rsidP="00E8039E">
      <w:pPr>
        <w:pStyle w:val="SingleTxtG"/>
        <w:numPr>
          <w:ilvl w:val="0"/>
          <w:numId w:val="3"/>
        </w:numPr>
        <w:tabs>
          <w:tab w:val="right" w:pos="0"/>
        </w:tabs>
        <w:spacing w:after="60"/>
        <w:ind w:left="425" w:right="0" w:hanging="357"/>
        <w:rPr>
          <w:lang w:val="ru-RU"/>
        </w:rPr>
      </w:pPr>
      <w:r w:rsidRPr="00722FC9">
        <w:rPr>
          <w:lang w:val="ru-RU"/>
        </w:rPr>
        <w:t xml:space="preserve">ГОСТ </w:t>
      </w:r>
      <w:proofErr w:type="gramStart"/>
      <w:r w:rsidRPr="00722FC9">
        <w:rPr>
          <w:lang w:val="ru-RU"/>
        </w:rPr>
        <w:t>Р</w:t>
      </w:r>
      <w:proofErr w:type="gramEnd"/>
      <w:r w:rsidRPr="00722FC9">
        <w:rPr>
          <w:lang w:val="ru-RU"/>
        </w:rPr>
        <w:t xml:space="preserve"> МЭК 60079-0-2011 «Взрывоопасные среды. Часть 0. Оборудование. Общие требования»;</w:t>
      </w:r>
    </w:p>
    <w:p w:rsidR="00E8039E" w:rsidRPr="00722FC9" w:rsidRDefault="00E8039E" w:rsidP="00E8039E">
      <w:pPr>
        <w:pStyle w:val="SingleTxtG"/>
        <w:numPr>
          <w:ilvl w:val="0"/>
          <w:numId w:val="3"/>
        </w:numPr>
        <w:tabs>
          <w:tab w:val="right" w:pos="0"/>
        </w:tabs>
        <w:spacing w:after="60"/>
        <w:ind w:left="425" w:right="0" w:hanging="357"/>
        <w:rPr>
          <w:lang w:val="ru-RU"/>
        </w:rPr>
      </w:pPr>
      <w:r w:rsidRPr="00722FC9">
        <w:rPr>
          <w:lang w:val="ru-RU"/>
        </w:rPr>
        <w:t xml:space="preserve">ГОСТ </w:t>
      </w:r>
      <w:proofErr w:type="gramStart"/>
      <w:r w:rsidRPr="00722FC9">
        <w:rPr>
          <w:lang w:val="ru-RU"/>
        </w:rPr>
        <w:t>Р</w:t>
      </w:r>
      <w:proofErr w:type="gramEnd"/>
      <w:r w:rsidRPr="00722FC9">
        <w:rPr>
          <w:lang w:val="ru-RU"/>
        </w:rPr>
        <w:t xml:space="preserve"> МЭК 60079-11-2010 «Взрывоопасные среды. Часть 11. Искробезопасная электрическая цепь “i”»;</w:t>
      </w:r>
    </w:p>
    <w:p w:rsidR="00E8039E" w:rsidRPr="00722FC9" w:rsidRDefault="00E8039E" w:rsidP="00E8039E">
      <w:pPr>
        <w:pStyle w:val="SingleTxtG"/>
        <w:numPr>
          <w:ilvl w:val="0"/>
          <w:numId w:val="3"/>
        </w:numPr>
        <w:tabs>
          <w:tab w:val="right" w:pos="0"/>
        </w:tabs>
        <w:spacing w:after="60"/>
        <w:ind w:left="425" w:right="0" w:hanging="357"/>
        <w:rPr>
          <w:lang w:val="ru-RU"/>
        </w:rPr>
      </w:pPr>
      <w:r w:rsidRPr="00722FC9">
        <w:rPr>
          <w:lang w:val="ru-RU"/>
        </w:rPr>
        <w:t xml:space="preserve">ГОСТ </w:t>
      </w:r>
      <w:proofErr w:type="gramStart"/>
      <w:r w:rsidRPr="00722FC9">
        <w:rPr>
          <w:lang w:val="ru-RU"/>
        </w:rPr>
        <w:t>Р</w:t>
      </w:r>
      <w:proofErr w:type="gramEnd"/>
      <w:r w:rsidRPr="00722FC9">
        <w:rPr>
          <w:lang w:val="ru-RU"/>
        </w:rPr>
        <w:t xml:space="preserve"> МЭК 60079-13-2010 «Взрывоопасные среды. Часть 13. Оборудование, защищенное помещениями под избыточным давлением»;</w:t>
      </w:r>
    </w:p>
    <w:p w:rsidR="00E8039E" w:rsidRPr="00722FC9" w:rsidRDefault="00E8039E" w:rsidP="00E8039E">
      <w:pPr>
        <w:pStyle w:val="SingleTxtG"/>
        <w:numPr>
          <w:ilvl w:val="0"/>
          <w:numId w:val="3"/>
        </w:numPr>
        <w:tabs>
          <w:tab w:val="right" w:pos="0"/>
        </w:tabs>
        <w:spacing w:after="60"/>
        <w:ind w:left="425" w:right="0" w:hanging="357"/>
        <w:rPr>
          <w:lang w:val="ru-RU"/>
        </w:rPr>
      </w:pPr>
      <w:r w:rsidRPr="00722FC9">
        <w:rPr>
          <w:lang w:val="ru-RU"/>
        </w:rPr>
        <w:t xml:space="preserve">ГОСТ </w:t>
      </w:r>
      <w:proofErr w:type="gramStart"/>
      <w:r w:rsidRPr="00722FC9">
        <w:rPr>
          <w:lang w:val="ru-RU"/>
        </w:rPr>
        <w:t>Р</w:t>
      </w:r>
      <w:proofErr w:type="gramEnd"/>
      <w:r w:rsidRPr="00722FC9">
        <w:rPr>
          <w:lang w:val="ru-RU"/>
        </w:rPr>
        <w:t xml:space="preserve"> МЭК 60079.18-2008 «Взрывоопасные среды. Часть 18. Оборудование с </w:t>
      </w:r>
      <w:proofErr w:type="spellStart"/>
      <w:r w:rsidRPr="00722FC9">
        <w:rPr>
          <w:lang w:val="ru-RU"/>
        </w:rPr>
        <w:t>взрывозащитой</w:t>
      </w:r>
      <w:proofErr w:type="spellEnd"/>
      <w:r w:rsidRPr="00722FC9">
        <w:rPr>
          <w:lang w:val="ru-RU"/>
        </w:rPr>
        <w:t xml:space="preserve"> вида «герметизация компаундом "m"»;</w:t>
      </w:r>
    </w:p>
    <w:p w:rsidR="00E8039E" w:rsidRPr="00722FC9" w:rsidRDefault="00E8039E" w:rsidP="00E8039E">
      <w:pPr>
        <w:pStyle w:val="SingleTxtG"/>
        <w:numPr>
          <w:ilvl w:val="0"/>
          <w:numId w:val="3"/>
        </w:numPr>
        <w:tabs>
          <w:tab w:val="right" w:pos="0"/>
        </w:tabs>
        <w:spacing w:after="60"/>
        <w:ind w:left="425" w:right="0" w:hanging="357"/>
        <w:rPr>
          <w:lang w:val="ru-RU"/>
        </w:rPr>
      </w:pPr>
      <w:r w:rsidRPr="00722FC9">
        <w:rPr>
          <w:lang w:val="ru-RU"/>
        </w:rPr>
        <w:t xml:space="preserve">ГОСТ </w:t>
      </w:r>
      <w:proofErr w:type="gramStart"/>
      <w:r w:rsidRPr="00722FC9">
        <w:rPr>
          <w:lang w:val="ru-RU"/>
        </w:rPr>
        <w:t>Р</w:t>
      </w:r>
      <w:proofErr w:type="gramEnd"/>
      <w:r w:rsidRPr="00722FC9">
        <w:rPr>
          <w:lang w:val="ru-RU"/>
        </w:rPr>
        <w:t xml:space="preserve"> МЭК 60079-31-2010 «Взрывоопасные среды. Часть 31. Оборудование с видом </w:t>
      </w:r>
      <w:proofErr w:type="spellStart"/>
      <w:r w:rsidRPr="00722FC9">
        <w:rPr>
          <w:lang w:val="ru-RU"/>
        </w:rPr>
        <w:t>взрывозащиты</w:t>
      </w:r>
      <w:proofErr w:type="spellEnd"/>
      <w:r w:rsidRPr="00722FC9">
        <w:rPr>
          <w:lang w:val="ru-RU"/>
        </w:rPr>
        <w:t xml:space="preserve"> от воспламенения пыли “t”»;</w:t>
      </w:r>
    </w:p>
    <w:p w:rsidR="00E8039E" w:rsidRPr="00722FC9" w:rsidRDefault="00E8039E" w:rsidP="00E8039E">
      <w:pPr>
        <w:pStyle w:val="SingleTxtG"/>
        <w:numPr>
          <w:ilvl w:val="0"/>
          <w:numId w:val="3"/>
        </w:numPr>
        <w:tabs>
          <w:tab w:val="right" w:pos="0"/>
        </w:tabs>
        <w:spacing w:after="60"/>
        <w:ind w:left="425" w:right="0" w:hanging="357"/>
        <w:rPr>
          <w:lang w:val="ru-RU"/>
        </w:rPr>
      </w:pPr>
      <w:r w:rsidRPr="00722FC9">
        <w:rPr>
          <w:lang w:val="ru-RU"/>
        </w:rPr>
        <w:t xml:space="preserve">ГОСТ </w:t>
      </w:r>
      <w:proofErr w:type="gramStart"/>
      <w:r w:rsidRPr="00722FC9">
        <w:rPr>
          <w:lang w:val="ru-RU"/>
        </w:rPr>
        <w:t>Р</w:t>
      </w:r>
      <w:proofErr w:type="gramEnd"/>
      <w:r w:rsidRPr="00722FC9">
        <w:rPr>
          <w:lang w:val="ru-RU"/>
        </w:rPr>
        <w:t xml:space="preserve"> МЭК 60079-33-2011 «Взрывоопасные среды. Часть 33. Оборудование со специальным видом защиты «s»;</w:t>
      </w:r>
    </w:p>
    <w:p w:rsidR="00E8039E" w:rsidRPr="00722FC9" w:rsidRDefault="00E8039E" w:rsidP="00E8039E">
      <w:pPr>
        <w:pStyle w:val="SingleTxtG"/>
        <w:numPr>
          <w:ilvl w:val="0"/>
          <w:numId w:val="3"/>
        </w:numPr>
        <w:tabs>
          <w:tab w:val="right" w:pos="0"/>
        </w:tabs>
        <w:spacing w:after="60"/>
        <w:ind w:left="425" w:right="0" w:hanging="357"/>
        <w:rPr>
          <w:lang w:val="ru-RU"/>
        </w:rPr>
      </w:pPr>
      <w:r w:rsidRPr="00722FC9">
        <w:rPr>
          <w:lang w:val="ru-RU"/>
        </w:rPr>
        <w:t xml:space="preserve">ГОСТ 22782.3-77 «Электрооборудование взрывозащищенное со специальным видом </w:t>
      </w:r>
      <w:proofErr w:type="spellStart"/>
      <w:r w:rsidRPr="00722FC9">
        <w:rPr>
          <w:lang w:val="ru-RU"/>
        </w:rPr>
        <w:t>взрывозащиты</w:t>
      </w:r>
      <w:proofErr w:type="spellEnd"/>
      <w:r w:rsidRPr="00722FC9">
        <w:rPr>
          <w:lang w:val="ru-RU"/>
        </w:rPr>
        <w:t>. Технические требования и методы испытаний»;</w:t>
      </w:r>
    </w:p>
    <w:p w:rsidR="00E8039E" w:rsidRPr="00722FC9" w:rsidRDefault="00E8039E" w:rsidP="00E8039E">
      <w:pPr>
        <w:pStyle w:val="SingleTxtG"/>
        <w:numPr>
          <w:ilvl w:val="0"/>
          <w:numId w:val="3"/>
        </w:numPr>
        <w:tabs>
          <w:tab w:val="right" w:pos="0"/>
        </w:tabs>
        <w:spacing w:after="60"/>
        <w:ind w:left="425" w:right="0" w:hanging="357"/>
        <w:rPr>
          <w:lang w:val="ru-RU"/>
        </w:rPr>
      </w:pPr>
      <w:r w:rsidRPr="00722FC9">
        <w:rPr>
          <w:lang w:val="ru-RU"/>
        </w:rPr>
        <w:t xml:space="preserve">ГОСТ 12.2.059-81. «Система стандартов безопасности труда. Приборы </w:t>
      </w:r>
      <w:proofErr w:type="spellStart"/>
      <w:r w:rsidRPr="00722FC9">
        <w:rPr>
          <w:lang w:val="ru-RU"/>
        </w:rPr>
        <w:t>электровзрывания</w:t>
      </w:r>
      <w:proofErr w:type="spellEnd"/>
      <w:r w:rsidRPr="00722FC9">
        <w:rPr>
          <w:lang w:val="ru-RU"/>
        </w:rPr>
        <w:t xml:space="preserve"> рудничные. Требования безопасности»;</w:t>
      </w:r>
    </w:p>
    <w:p w:rsidR="00E8039E" w:rsidRPr="00722FC9" w:rsidRDefault="00E8039E" w:rsidP="00E8039E">
      <w:pPr>
        <w:pStyle w:val="SingleTxtG"/>
        <w:numPr>
          <w:ilvl w:val="0"/>
          <w:numId w:val="3"/>
        </w:numPr>
        <w:tabs>
          <w:tab w:val="right" w:pos="0"/>
        </w:tabs>
        <w:spacing w:after="60"/>
        <w:ind w:left="425" w:right="0" w:hanging="357"/>
        <w:rPr>
          <w:lang w:val="ru-RU"/>
        </w:rPr>
      </w:pPr>
      <w:r w:rsidRPr="00722FC9">
        <w:rPr>
          <w:lang w:val="ru-RU"/>
        </w:rPr>
        <w:t xml:space="preserve">ГОСТ </w:t>
      </w:r>
      <w:proofErr w:type="gramStart"/>
      <w:r w:rsidRPr="00722FC9">
        <w:rPr>
          <w:lang w:val="ru-RU"/>
        </w:rPr>
        <w:t>Р</w:t>
      </w:r>
      <w:proofErr w:type="gramEnd"/>
      <w:r w:rsidRPr="00722FC9">
        <w:rPr>
          <w:lang w:val="ru-RU"/>
        </w:rPr>
        <w:t xml:space="preserve"> МЭК 61241-2-3-99 «Электрооборудование, применяемое в зонах, опасных по воспламенению горючей пыли. Часть 2. Методы испытаний. Раздел 3. Метод определения минимальной энергии зажигания пылевоздушных смесей»;</w:t>
      </w:r>
    </w:p>
    <w:p w:rsidR="00E8039E" w:rsidRPr="00722FC9" w:rsidRDefault="00E8039E" w:rsidP="00E8039E">
      <w:pPr>
        <w:pStyle w:val="SingleTxtG"/>
        <w:numPr>
          <w:ilvl w:val="0"/>
          <w:numId w:val="3"/>
        </w:numPr>
        <w:tabs>
          <w:tab w:val="right" w:pos="0"/>
        </w:tabs>
        <w:spacing w:after="60"/>
        <w:ind w:left="425" w:right="0" w:hanging="357"/>
        <w:rPr>
          <w:lang w:val="ru-RU"/>
        </w:rPr>
      </w:pPr>
      <w:r w:rsidRPr="00722FC9">
        <w:rPr>
          <w:lang w:val="ru-RU"/>
        </w:rPr>
        <w:t>Методические указания по охране труда при осуществлении контроля загрязнения атмосферного воздуха дл</w:t>
      </w:r>
      <w:r>
        <w:rPr>
          <w:lang w:val="ru-RU"/>
        </w:rPr>
        <w:t xml:space="preserve">я системы </w:t>
      </w:r>
      <w:proofErr w:type="spellStart"/>
      <w:r>
        <w:rPr>
          <w:lang w:val="ru-RU"/>
        </w:rPr>
        <w:t>Госкомэкологии</w:t>
      </w:r>
      <w:proofErr w:type="spellEnd"/>
      <w:r>
        <w:rPr>
          <w:lang w:val="ru-RU"/>
        </w:rPr>
        <w:t xml:space="preserve"> России</w:t>
      </w:r>
      <w:r w:rsidRPr="00722FC9">
        <w:rPr>
          <w:lang w:val="ru-RU"/>
        </w:rPr>
        <w:t>.</w:t>
      </w:r>
    </w:p>
    <w:p w:rsidR="007570D8" w:rsidRPr="00E8039E" w:rsidRDefault="00EF1F8A">
      <w:pPr>
        <w:rPr>
          <w:lang w:val="ru-RU"/>
        </w:rPr>
      </w:pPr>
    </w:p>
    <w:sectPr w:rsidR="007570D8" w:rsidRPr="00E8039E" w:rsidSect="00EF1F8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E58" w:rsidRDefault="00201E58" w:rsidP="00E8039E">
      <w:pPr>
        <w:spacing w:after="0" w:line="240" w:lineRule="auto"/>
      </w:pPr>
      <w:r>
        <w:separator/>
      </w:r>
    </w:p>
  </w:endnote>
  <w:endnote w:type="continuationSeparator" w:id="0">
    <w:p w:rsidR="00201E58" w:rsidRDefault="00201E58" w:rsidP="00E80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8A" w:rsidRDefault="00EF1F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516"/>
    </w:sdtPr>
    <w:sdtEndPr/>
    <w:sdtContent>
      <w:p w:rsidR="00E8039E" w:rsidRDefault="00EF1F8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E8039E" w:rsidRDefault="00E803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8A" w:rsidRDefault="00EF1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E58" w:rsidRDefault="00201E58" w:rsidP="00E8039E">
      <w:pPr>
        <w:spacing w:after="0" w:line="240" w:lineRule="auto"/>
      </w:pPr>
      <w:r>
        <w:separator/>
      </w:r>
    </w:p>
  </w:footnote>
  <w:footnote w:type="continuationSeparator" w:id="0">
    <w:p w:rsidR="00201E58" w:rsidRDefault="00201E58" w:rsidP="00E80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8A" w:rsidRDefault="00EF1F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FA" w:rsidRPr="004A19FA" w:rsidRDefault="004A19FA" w:rsidP="00EF1F8A">
    <w:pPr>
      <w:pStyle w:val="Header"/>
      <w:pBdr>
        <w:bottom w:val="single" w:sz="4" w:space="1" w:color="auto"/>
      </w:pBdr>
      <w:jc w:val="right"/>
      <w:rPr>
        <w:rFonts w:ascii="Times New Roman" w:hAnsi="Times New Roman"/>
        <w:b/>
        <w:sz w:val="20"/>
        <w:szCs w:val="20"/>
        <w:lang w:val="fr-CH"/>
      </w:rPr>
    </w:pPr>
    <w:bookmarkStart w:id="0" w:name="_GoBack"/>
    <w:bookmarkEnd w:id="0"/>
    <w:r w:rsidRPr="004A19FA">
      <w:rPr>
        <w:rFonts w:ascii="Times New Roman" w:hAnsi="Times New Roman"/>
        <w:b/>
        <w:sz w:val="20"/>
        <w:szCs w:val="20"/>
        <w:lang w:val="fr-CH"/>
      </w:rPr>
      <w:t>UN/SCEGHS/30/INF.31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8A" w:rsidRDefault="00EF1F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06E4"/>
    <w:multiLevelType w:val="hybridMultilevel"/>
    <w:tmpl w:val="3AD6A756"/>
    <w:lvl w:ilvl="0" w:tplc="FA74B6CE">
      <w:start w:val="1"/>
      <w:numFmt w:val="decimal"/>
      <w:lvlText w:val="%1."/>
      <w:lvlJc w:val="left"/>
      <w:pPr>
        <w:tabs>
          <w:tab w:val="num" w:pos="930"/>
        </w:tabs>
        <w:ind w:left="930" w:hanging="570"/>
      </w:pPr>
      <w:rPr>
        <w:rFonts w:cs="Times New Roman"/>
        <w:color w:val="auto"/>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lowerRoman"/>
      <w:lvlText w:val="(%4)"/>
      <w:lvlJc w:val="left"/>
      <w:pPr>
        <w:tabs>
          <w:tab w:val="num" w:pos="3240"/>
        </w:tabs>
        <w:ind w:left="3240" w:hanging="72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D225983"/>
    <w:multiLevelType w:val="hybridMultilevel"/>
    <w:tmpl w:val="6130D2CE"/>
    <w:lvl w:ilvl="0" w:tplc="A1FEFEC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9C00CD7"/>
    <w:multiLevelType w:val="hybridMultilevel"/>
    <w:tmpl w:val="9FB2EC52"/>
    <w:lvl w:ilvl="0" w:tplc="A1FEFEC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9E"/>
    <w:rsid w:val="0009304F"/>
    <w:rsid w:val="00181815"/>
    <w:rsid w:val="001927B5"/>
    <w:rsid w:val="00201E58"/>
    <w:rsid w:val="003B4033"/>
    <w:rsid w:val="004A19FA"/>
    <w:rsid w:val="00AF6AD0"/>
    <w:rsid w:val="00E71085"/>
    <w:rsid w:val="00E8039E"/>
    <w:rsid w:val="00EF1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39E"/>
    <w:rPr>
      <w:rFonts w:ascii="Calibri" w:eastAsia="Calibri" w:hAnsi="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gleTxtGChar1">
    <w:name w:val="_ Single Txt_G Char1"/>
    <w:link w:val="SingleTxtG"/>
    <w:locked/>
    <w:rsid w:val="00E8039E"/>
    <w:rPr>
      <w:lang w:val="en-GB"/>
    </w:rPr>
  </w:style>
  <w:style w:type="paragraph" w:customStyle="1" w:styleId="SingleTxtG">
    <w:name w:val="_ Single Txt_G"/>
    <w:basedOn w:val="Normal"/>
    <w:link w:val="SingleTxtGChar1"/>
    <w:rsid w:val="00E8039E"/>
    <w:pPr>
      <w:suppressAutoHyphens/>
      <w:spacing w:after="120" w:line="240" w:lineRule="atLeast"/>
      <w:ind w:left="1134" w:right="1134"/>
      <w:jc w:val="both"/>
    </w:pPr>
    <w:rPr>
      <w:rFonts w:ascii="Times New Roman" w:eastAsiaTheme="minorHAnsi" w:hAnsi="Times New Roman"/>
      <w:sz w:val="24"/>
      <w:szCs w:val="24"/>
      <w:lang w:val="en-GB"/>
    </w:rPr>
  </w:style>
  <w:style w:type="paragraph" w:styleId="ListParagraph">
    <w:name w:val="List Paragraph"/>
    <w:basedOn w:val="Normal"/>
    <w:uiPriority w:val="34"/>
    <w:qFormat/>
    <w:rsid w:val="00E8039E"/>
    <w:pPr>
      <w:ind w:left="720"/>
      <w:contextualSpacing/>
    </w:pPr>
  </w:style>
  <w:style w:type="character" w:customStyle="1" w:styleId="H1GChar">
    <w:name w:val="_ H_1_G Char"/>
    <w:link w:val="H1G"/>
    <w:uiPriority w:val="99"/>
    <w:locked/>
    <w:rsid w:val="00E8039E"/>
    <w:rPr>
      <w:b/>
      <w:lang w:val="en-GB"/>
    </w:rPr>
  </w:style>
  <w:style w:type="paragraph" w:customStyle="1" w:styleId="H1G">
    <w:name w:val="_ H_1_G"/>
    <w:basedOn w:val="Normal"/>
    <w:next w:val="Normal"/>
    <w:link w:val="H1GChar"/>
    <w:uiPriority w:val="99"/>
    <w:rsid w:val="00E8039E"/>
    <w:pPr>
      <w:keepNext/>
      <w:keepLines/>
      <w:tabs>
        <w:tab w:val="right" w:pos="851"/>
      </w:tabs>
      <w:suppressAutoHyphens/>
      <w:spacing w:before="360" w:after="240" w:line="270" w:lineRule="exact"/>
      <w:ind w:left="1134" w:right="1134" w:hanging="1134"/>
    </w:pPr>
    <w:rPr>
      <w:rFonts w:ascii="Times New Roman" w:eastAsiaTheme="minorHAnsi" w:hAnsi="Times New Roman"/>
      <w:b/>
      <w:sz w:val="24"/>
      <w:szCs w:val="24"/>
      <w:lang w:val="en-GB"/>
    </w:rPr>
  </w:style>
  <w:style w:type="paragraph" w:styleId="Header">
    <w:name w:val="header"/>
    <w:basedOn w:val="Normal"/>
    <w:link w:val="HeaderChar"/>
    <w:uiPriority w:val="99"/>
    <w:unhideWhenUsed/>
    <w:rsid w:val="00E8039E"/>
    <w:pPr>
      <w:tabs>
        <w:tab w:val="center" w:pos="4677"/>
        <w:tab w:val="right" w:pos="9355"/>
      </w:tabs>
      <w:spacing w:after="0" w:line="240" w:lineRule="auto"/>
    </w:pPr>
  </w:style>
  <w:style w:type="character" w:customStyle="1" w:styleId="HeaderChar">
    <w:name w:val="Header Char"/>
    <w:basedOn w:val="DefaultParagraphFont"/>
    <w:link w:val="Header"/>
    <w:uiPriority w:val="99"/>
    <w:rsid w:val="00E8039E"/>
    <w:rPr>
      <w:rFonts w:ascii="Calibri" w:eastAsia="Calibri" w:hAnsi="Calibri"/>
      <w:sz w:val="22"/>
      <w:szCs w:val="22"/>
      <w:lang w:val="en-US"/>
    </w:rPr>
  </w:style>
  <w:style w:type="paragraph" w:styleId="Footer">
    <w:name w:val="footer"/>
    <w:basedOn w:val="Normal"/>
    <w:link w:val="FooterChar"/>
    <w:uiPriority w:val="99"/>
    <w:unhideWhenUsed/>
    <w:rsid w:val="00E8039E"/>
    <w:pPr>
      <w:tabs>
        <w:tab w:val="center" w:pos="4677"/>
        <w:tab w:val="right" w:pos="9355"/>
      </w:tabs>
      <w:spacing w:after="0" w:line="240" w:lineRule="auto"/>
    </w:pPr>
  </w:style>
  <w:style w:type="character" w:customStyle="1" w:styleId="FooterChar">
    <w:name w:val="Footer Char"/>
    <w:basedOn w:val="DefaultParagraphFont"/>
    <w:link w:val="Footer"/>
    <w:uiPriority w:val="99"/>
    <w:rsid w:val="00E8039E"/>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39E"/>
    <w:rPr>
      <w:rFonts w:ascii="Calibri" w:eastAsia="Calibri" w:hAnsi="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gleTxtGChar1">
    <w:name w:val="_ Single Txt_G Char1"/>
    <w:link w:val="SingleTxtG"/>
    <w:locked/>
    <w:rsid w:val="00E8039E"/>
    <w:rPr>
      <w:lang w:val="en-GB"/>
    </w:rPr>
  </w:style>
  <w:style w:type="paragraph" w:customStyle="1" w:styleId="SingleTxtG">
    <w:name w:val="_ Single Txt_G"/>
    <w:basedOn w:val="Normal"/>
    <w:link w:val="SingleTxtGChar1"/>
    <w:rsid w:val="00E8039E"/>
    <w:pPr>
      <w:suppressAutoHyphens/>
      <w:spacing w:after="120" w:line="240" w:lineRule="atLeast"/>
      <w:ind w:left="1134" w:right="1134"/>
      <w:jc w:val="both"/>
    </w:pPr>
    <w:rPr>
      <w:rFonts w:ascii="Times New Roman" w:eastAsiaTheme="minorHAnsi" w:hAnsi="Times New Roman"/>
      <w:sz w:val="24"/>
      <w:szCs w:val="24"/>
      <w:lang w:val="en-GB"/>
    </w:rPr>
  </w:style>
  <w:style w:type="paragraph" w:styleId="ListParagraph">
    <w:name w:val="List Paragraph"/>
    <w:basedOn w:val="Normal"/>
    <w:uiPriority w:val="34"/>
    <w:qFormat/>
    <w:rsid w:val="00E8039E"/>
    <w:pPr>
      <w:ind w:left="720"/>
      <w:contextualSpacing/>
    </w:pPr>
  </w:style>
  <w:style w:type="character" w:customStyle="1" w:styleId="H1GChar">
    <w:name w:val="_ H_1_G Char"/>
    <w:link w:val="H1G"/>
    <w:uiPriority w:val="99"/>
    <w:locked/>
    <w:rsid w:val="00E8039E"/>
    <w:rPr>
      <w:b/>
      <w:lang w:val="en-GB"/>
    </w:rPr>
  </w:style>
  <w:style w:type="paragraph" w:customStyle="1" w:styleId="H1G">
    <w:name w:val="_ H_1_G"/>
    <w:basedOn w:val="Normal"/>
    <w:next w:val="Normal"/>
    <w:link w:val="H1GChar"/>
    <w:uiPriority w:val="99"/>
    <w:rsid w:val="00E8039E"/>
    <w:pPr>
      <w:keepNext/>
      <w:keepLines/>
      <w:tabs>
        <w:tab w:val="right" w:pos="851"/>
      </w:tabs>
      <w:suppressAutoHyphens/>
      <w:spacing w:before="360" w:after="240" w:line="270" w:lineRule="exact"/>
      <w:ind w:left="1134" w:right="1134" w:hanging="1134"/>
    </w:pPr>
    <w:rPr>
      <w:rFonts w:ascii="Times New Roman" w:eastAsiaTheme="minorHAnsi" w:hAnsi="Times New Roman"/>
      <w:b/>
      <w:sz w:val="24"/>
      <w:szCs w:val="24"/>
      <w:lang w:val="en-GB"/>
    </w:rPr>
  </w:style>
  <w:style w:type="paragraph" w:styleId="Header">
    <w:name w:val="header"/>
    <w:basedOn w:val="Normal"/>
    <w:link w:val="HeaderChar"/>
    <w:uiPriority w:val="99"/>
    <w:unhideWhenUsed/>
    <w:rsid w:val="00E8039E"/>
    <w:pPr>
      <w:tabs>
        <w:tab w:val="center" w:pos="4677"/>
        <w:tab w:val="right" w:pos="9355"/>
      </w:tabs>
      <w:spacing w:after="0" w:line="240" w:lineRule="auto"/>
    </w:pPr>
  </w:style>
  <w:style w:type="character" w:customStyle="1" w:styleId="HeaderChar">
    <w:name w:val="Header Char"/>
    <w:basedOn w:val="DefaultParagraphFont"/>
    <w:link w:val="Header"/>
    <w:uiPriority w:val="99"/>
    <w:rsid w:val="00E8039E"/>
    <w:rPr>
      <w:rFonts w:ascii="Calibri" w:eastAsia="Calibri" w:hAnsi="Calibri"/>
      <w:sz w:val="22"/>
      <w:szCs w:val="22"/>
      <w:lang w:val="en-US"/>
    </w:rPr>
  </w:style>
  <w:style w:type="paragraph" w:styleId="Footer">
    <w:name w:val="footer"/>
    <w:basedOn w:val="Normal"/>
    <w:link w:val="FooterChar"/>
    <w:uiPriority w:val="99"/>
    <w:unhideWhenUsed/>
    <w:rsid w:val="00E8039E"/>
    <w:pPr>
      <w:tabs>
        <w:tab w:val="center" w:pos="4677"/>
        <w:tab w:val="right" w:pos="9355"/>
      </w:tabs>
      <w:spacing w:after="0" w:line="240" w:lineRule="auto"/>
    </w:pPr>
  </w:style>
  <w:style w:type="character" w:customStyle="1" w:styleId="FooterChar">
    <w:name w:val="Footer Char"/>
    <w:basedOn w:val="DefaultParagraphFont"/>
    <w:link w:val="Footer"/>
    <w:uiPriority w:val="99"/>
    <w:rsid w:val="00E8039E"/>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Laurence Berthet</cp:lastModifiedBy>
  <cp:revision>4</cp:revision>
  <cp:lastPrinted>2015-12-10T07:48:00Z</cp:lastPrinted>
  <dcterms:created xsi:type="dcterms:W3CDTF">2015-12-10T07:46:00Z</dcterms:created>
  <dcterms:modified xsi:type="dcterms:W3CDTF">2015-12-10T07:48:00Z</dcterms:modified>
</cp:coreProperties>
</file>