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4819"/>
        <w:gridCol w:w="4820"/>
      </w:tblGrid>
      <w:tr w:rsidR="0099001C" w:rsidRPr="00A157B6" w14:paraId="0D348ACE" w14:textId="77777777" w:rsidTr="008A0563">
        <w:trPr>
          <w:cantSplit/>
          <w:trHeight w:hRule="exact" w:val="1135"/>
        </w:trPr>
        <w:tc>
          <w:tcPr>
            <w:tcW w:w="9639" w:type="dxa"/>
            <w:gridSpan w:val="2"/>
            <w:tcBorders>
              <w:bottom w:val="single" w:sz="4" w:space="0" w:color="auto"/>
            </w:tcBorders>
            <w:vAlign w:val="bottom"/>
          </w:tcPr>
          <w:p w14:paraId="60CE6C0A" w14:textId="42865EA2" w:rsidR="0099001C" w:rsidRPr="00A157B6" w:rsidRDefault="0099001C" w:rsidP="00EA31E1">
            <w:pPr>
              <w:jc w:val="right"/>
              <w:rPr>
                <w:b/>
                <w:color w:val="FF0000"/>
                <w:sz w:val="40"/>
                <w:szCs w:val="40"/>
                <w:lang w:val="fr-CA"/>
              </w:rPr>
            </w:pPr>
            <w:r w:rsidRPr="00A157B6">
              <w:rPr>
                <w:b/>
                <w:sz w:val="40"/>
                <w:szCs w:val="40"/>
                <w:lang w:val="fr-CA"/>
              </w:rPr>
              <w:t>UN/SCEGHS/</w:t>
            </w:r>
            <w:r w:rsidR="00ED71D9" w:rsidRPr="00A157B6">
              <w:rPr>
                <w:b/>
                <w:sz w:val="40"/>
                <w:szCs w:val="40"/>
                <w:lang w:val="fr-CA"/>
              </w:rPr>
              <w:t>30</w:t>
            </w:r>
            <w:r w:rsidRPr="00A157B6">
              <w:rPr>
                <w:b/>
                <w:sz w:val="40"/>
                <w:szCs w:val="40"/>
                <w:lang w:val="fr-CA"/>
              </w:rPr>
              <w:t>/INF</w:t>
            </w:r>
            <w:r w:rsidR="00B56A66" w:rsidRPr="00A157B6">
              <w:rPr>
                <w:b/>
                <w:sz w:val="40"/>
                <w:szCs w:val="40"/>
                <w:lang w:val="fr-CA"/>
              </w:rPr>
              <w:t>.</w:t>
            </w:r>
            <w:r w:rsidR="0031311E">
              <w:rPr>
                <w:b/>
                <w:sz w:val="40"/>
                <w:szCs w:val="40"/>
                <w:lang w:val="fr-CA"/>
              </w:rPr>
              <w:t>18</w:t>
            </w:r>
          </w:p>
          <w:p w14:paraId="6A139B2A" w14:textId="77777777" w:rsidR="00D1270E" w:rsidRPr="00A157B6" w:rsidRDefault="00D1270E" w:rsidP="00EA31E1">
            <w:pPr>
              <w:jc w:val="right"/>
              <w:rPr>
                <w:b/>
                <w:sz w:val="40"/>
                <w:szCs w:val="40"/>
                <w:lang w:val="fr-CA"/>
              </w:rPr>
            </w:pPr>
          </w:p>
        </w:tc>
      </w:tr>
      <w:tr w:rsidR="0099001C" w14:paraId="0F34FCCE" w14:textId="77777777" w:rsidTr="008A0563">
        <w:trPr>
          <w:cantSplit/>
          <w:trHeight w:hRule="exact" w:val="1004"/>
        </w:trPr>
        <w:tc>
          <w:tcPr>
            <w:tcW w:w="9639" w:type="dxa"/>
            <w:gridSpan w:val="2"/>
            <w:tcBorders>
              <w:top w:val="single" w:sz="4" w:space="0" w:color="auto"/>
            </w:tcBorders>
            <w:tcMar>
              <w:left w:w="113" w:type="dxa"/>
            </w:tcMar>
          </w:tcPr>
          <w:p w14:paraId="33BDAD92" w14:textId="72C13E59" w:rsidR="00A805EB" w:rsidRPr="00691F20" w:rsidRDefault="00A805EB" w:rsidP="00A805EB">
            <w:pPr>
              <w:spacing w:before="120"/>
              <w:rPr>
                <w:b/>
                <w:sz w:val="24"/>
                <w:szCs w:val="24"/>
                <w:lang w:val="en-US"/>
              </w:rPr>
            </w:pPr>
            <w:r w:rsidRPr="00691F20">
              <w:rPr>
                <w:b/>
                <w:sz w:val="24"/>
                <w:szCs w:val="24"/>
                <w:lang w:val="en-US"/>
              </w:rPr>
              <w:t xml:space="preserve">Committee of Experts on </w:t>
            </w:r>
            <w:r w:rsidR="004A3B0F">
              <w:rPr>
                <w:b/>
                <w:sz w:val="24"/>
                <w:szCs w:val="24"/>
                <w:lang w:val="en-US"/>
              </w:rPr>
              <w:t>the Transport of Dangerous Goods</w:t>
            </w:r>
            <w:r w:rsidRPr="00691F20">
              <w:rPr>
                <w:b/>
                <w:sz w:val="24"/>
                <w:szCs w:val="24"/>
                <w:lang w:val="en-US"/>
              </w:rPr>
              <w:br/>
              <w:t>and on the Globally Harmonized Sys</w:t>
            </w:r>
            <w:r w:rsidR="00145D96">
              <w:rPr>
                <w:b/>
                <w:sz w:val="24"/>
                <w:szCs w:val="24"/>
                <w:lang w:val="en-US"/>
              </w:rPr>
              <w:t>tem of Classification</w:t>
            </w:r>
            <w:r w:rsidR="00145D96">
              <w:rPr>
                <w:b/>
                <w:sz w:val="24"/>
                <w:szCs w:val="24"/>
                <w:lang w:val="en-US"/>
              </w:rPr>
              <w:br/>
              <w:t>and Label</w:t>
            </w:r>
            <w:r w:rsidRPr="00691F20">
              <w:rPr>
                <w:b/>
                <w:sz w:val="24"/>
                <w:szCs w:val="24"/>
                <w:lang w:val="en-US"/>
              </w:rPr>
              <w:t>ing of Chemicals</w:t>
            </w:r>
            <w:r w:rsidR="004A3B0F">
              <w:rPr>
                <w:b/>
                <w:sz w:val="24"/>
                <w:szCs w:val="24"/>
                <w:lang w:val="en-US"/>
              </w:rPr>
              <w:t xml:space="preserve"> </w:t>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4A3B0F">
              <w:rPr>
                <w:b/>
                <w:sz w:val="24"/>
                <w:szCs w:val="24"/>
                <w:lang w:val="en-US"/>
              </w:rPr>
              <w:tab/>
            </w:r>
            <w:r w:rsidR="00E92AB9">
              <w:rPr>
                <w:b/>
                <w:sz w:val="24"/>
                <w:szCs w:val="24"/>
                <w:lang w:val="en-US"/>
              </w:rPr>
              <w:tab/>
            </w:r>
            <w:r w:rsidR="0031311E">
              <w:rPr>
                <w:b/>
                <w:sz w:val="24"/>
                <w:szCs w:val="24"/>
                <w:lang w:val="en-US"/>
              </w:rPr>
              <w:t>1 December</w:t>
            </w:r>
            <w:r w:rsidR="00E92AB9" w:rsidRPr="006E4850">
              <w:rPr>
                <w:b/>
                <w:lang w:val="en-US"/>
              </w:rPr>
              <w:t xml:space="preserve"> 2015</w:t>
            </w:r>
          </w:p>
          <w:p w14:paraId="0EB87E61" w14:textId="77777777" w:rsidR="006E4850" w:rsidRDefault="006E4850" w:rsidP="00B40862">
            <w:pPr>
              <w:jc w:val="both"/>
            </w:pPr>
          </w:p>
          <w:p w14:paraId="56D4F587" w14:textId="77777777" w:rsidR="004A3B0F" w:rsidRDefault="004A3B0F" w:rsidP="00B40862">
            <w:pPr>
              <w:jc w:val="both"/>
            </w:pPr>
          </w:p>
          <w:p w14:paraId="42DC0EEA" w14:textId="77777777" w:rsidR="004A3B0F" w:rsidRDefault="004A3B0F" w:rsidP="00B40862">
            <w:pPr>
              <w:jc w:val="both"/>
            </w:pPr>
          </w:p>
        </w:tc>
      </w:tr>
      <w:tr w:rsidR="00AC441D" w14:paraId="5FAB9C53" w14:textId="77777777" w:rsidTr="009A6056">
        <w:trPr>
          <w:cantSplit/>
          <w:trHeight w:hRule="exact" w:val="2407"/>
        </w:trPr>
        <w:tc>
          <w:tcPr>
            <w:tcW w:w="4819" w:type="dxa"/>
            <w:tcMar>
              <w:left w:w="113" w:type="dxa"/>
            </w:tcMar>
          </w:tcPr>
          <w:p w14:paraId="7987CCC8" w14:textId="77777777" w:rsidR="00A157B6" w:rsidRPr="007826A3" w:rsidRDefault="00A157B6" w:rsidP="00A157B6">
            <w:pPr>
              <w:tabs>
                <w:tab w:val="right" w:pos="9300"/>
              </w:tabs>
              <w:spacing w:before="240"/>
              <w:rPr>
                <w:rFonts w:ascii="Helv" w:hAnsi="Helv" w:cs="Helv"/>
                <w:b/>
                <w:color w:val="000000"/>
                <w:sz w:val="18"/>
                <w:szCs w:val="18"/>
                <w:lang w:val="en-US"/>
              </w:rPr>
            </w:pPr>
            <w:r w:rsidRPr="007826A3">
              <w:rPr>
                <w:b/>
                <w:sz w:val="18"/>
                <w:szCs w:val="18"/>
                <w:lang w:val="en-US"/>
              </w:rPr>
              <w:t>Sub-Committee of Experts on the Globally Harmonized</w:t>
            </w:r>
            <w:r w:rsidRPr="007826A3">
              <w:rPr>
                <w:b/>
                <w:sz w:val="18"/>
                <w:szCs w:val="18"/>
                <w:lang w:val="en-US"/>
              </w:rPr>
              <w:br/>
              <w:t>System of Classification and Labeling of Chemicals</w:t>
            </w:r>
            <w:r w:rsidRPr="007826A3">
              <w:rPr>
                <w:b/>
                <w:sz w:val="18"/>
                <w:szCs w:val="18"/>
                <w:lang w:val="en-US"/>
              </w:rPr>
              <w:tab/>
            </w:r>
          </w:p>
          <w:p w14:paraId="69C8130F" w14:textId="77777777" w:rsidR="00A157B6" w:rsidRPr="007826A3" w:rsidRDefault="00A157B6" w:rsidP="00A157B6">
            <w:pPr>
              <w:spacing w:before="120"/>
              <w:rPr>
                <w:b/>
                <w:sz w:val="18"/>
                <w:szCs w:val="18"/>
              </w:rPr>
            </w:pPr>
            <w:r w:rsidRPr="007826A3">
              <w:rPr>
                <w:b/>
                <w:bCs/>
                <w:sz w:val="18"/>
                <w:szCs w:val="18"/>
              </w:rPr>
              <w:t>Thirtieth session</w:t>
            </w:r>
          </w:p>
          <w:p w14:paraId="3B9010C6" w14:textId="77777777" w:rsidR="00A157B6" w:rsidRPr="007826A3" w:rsidRDefault="00A157B6" w:rsidP="00A157B6">
            <w:pPr>
              <w:jc w:val="both"/>
              <w:rPr>
                <w:sz w:val="18"/>
                <w:szCs w:val="18"/>
              </w:rPr>
            </w:pPr>
            <w:r>
              <w:rPr>
                <w:sz w:val="18"/>
                <w:szCs w:val="18"/>
              </w:rPr>
              <w:t xml:space="preserve">Geneva, 9 </w:t>
            </w:r>
            <w:r w:rsidRPr="007826A3">
              <w:rPr>
                <w:sz w:val="18"/>
                <w:szCs w:val="18"/>
              </w:rPr>
              <w:t>– 11 December 2015</w:t>
            </w:r>
          </w:p>
          <w:p w14:paraId="2D4FB006" w14:textId="7A81D1AB" w:rsidR="00A157B6" w:rsidRDefault="00A157B6" w:rsidP="00A157B6">
            <w:pPr>
              <w:spacing w:before="40"/>
              <w:ind w:left="34" w:hanging="34"/>
              <w:rPr>
                <w:color w:val="000000"/>
                <w:sz w:val="18"/>
                <w:szCs w:val="18"/>
              </w:rPr>
            </w:pPr>
            <w:r w:rsidRPr="007826A3">
              <w:rPr>
                <w:color w:val="000000"/>
                <w:sz w:val="18"/>
                <w:szCs w:val="18"/>
              </w:rPr>
              <w:t xml:space="preserve">Item </w:t>
            </w:r>
            <w:r>
              <w:rPr>
                <w:color w:val="000000"/>
                <w:sz w:val="18"/>
                <w:szCs w:val="18"/>
              </w:rPr>
              <w:t>5</w:t>
            </w:r>
            <w:r w:rsidR="0031311E">
              <w:rPr>
                <w:color w:val="000000"/>
                <w:sz w:val="18"/>
                <w:szCs w:val="18"/>
              </w:rPr>
              <w:t xml:space="preserve"> </w:t>
            </w:r>
            <w:r>
              <w:rPr>
                <w:color w:val="000000"/>
                <w:sz w:val="18"/>
                <w:szCs w:val="18"/>
              </w:rPr>
              <w:t>(</w:t>
            </w:r>
            <w:r w:rsidR="000D258A">
              <w:rPr>
                <w:color w:val="000000"/>
                <w:sz w:val="18"/>
                <w:szCs w:val="18"/>
              </w:rPr>
              <w:t>a</w:t>
            </w:r>
            <w:r>
              <w:rPr>
                <w:color w:val="000000"/>
                <w:sz w:val="18"/>
                <w:szCs w:val="18"/>
              </w:rPr>
              <w:t>)</w:t>
            </w:r>
            <w:r w:rsidRPr="007826A3">
              <w:rPr>
                <w:color w:val="FF0000"/>
                <w:sz w:val="18"/>
                <w:szCs w:val="18"/>
              </w:rPr>
              <w:t xml:space="preserve"> </w:t>
            </w:r>
            <w:r w:rsidRPr="007826A3">
              <w:rPr>
                <w:color w:val="000000"/>
                <w:sz w:val="18"/>
                <w:szCs w:val="18"/>
              </w:rPr>
              <w:t>of the provisional agenda</w:t>
            </w:r>
          </w:p>
          <w:p w14:paraId="333F66D8" w14:textId="5D5ADC30" w:rsidR="00AC441D" w:rsidRPr="0031311E" w:rsidRDefault="0031311E" w:rsidP="00A157B6">
            <w:pPr>
              <w:spacing w:before="40"/>
              <w:ind w:left="34" w:hanging="34"/>
              <w:rPr>
                <w:b/>
                <w:sz w:val="18"/>
                <w:szCs w:val="18"/>
                <w:lang w:val="en-US"/>
              </w:rPr>
            </w:pPr>
            <w:r w:rsidRPr="0031311E">
              <w:rPr>
                <w:b/>
              </w:rPr>
              <w:t>Implementation of the GHS: development of a list of chemicals classified in accordance with the GHS</w:t>
            </w:r>
          </w:p>
        </w:tc>
        <w:tc>
          <w:tcPr>
            <w:tcW w:w="4820" w:type="dxa"/>
          </w:tcPr>
          <w:p w14:paraId="0F418583" w14:textId="363F64A2" w:rsidR="00AC441D" w:rsidRPr="00691F20" w:rsidRDefault="00AC441D" w:rsidP="007826A3">
            <w:pPr>
              <w:spacing w:before="40"/>
              <w:ind w:left="34" w:hanging="34"/>
              <w:rPr>
                <w:b/>
                <w:sz w:val="24"/>
                <w:szCs w:val="24"/>
                <w:lang w:val="en-US"/>
              </w:rPr>
            </w:pPr>
          </w:p>
        </w:tc>
      </w:tr>
    </w:tbl>
    <w:p w14:paraId="6921B76F" w14:textId="046D9726" w:rsidR="00CA5BA1" w:rsidRPr="00262F84" w:rsidRDefault="00E92AB9" w:rsidP="007826A3">
      <w:pPr>
        <w:pStyle w:val="HChG"/>
        <w:rPr>
          <w:color w:val="000000"/>
        </w:rPr>
      </w:pPr>
      <w:r>
        <w:rPr>
          <w:rFonts w:eastAsia="MS Mincho"/>
          <w:lang w:val="en-US" w:eastAsia="ja-JP"/>
        </w:rPr>
        <w:tab/>
      </w:r>
      <w:r>
        <w:rPr>
          <w:rFonts w:eastAsia="MS Mincho"/>
          <w:lang w:val="en-US" w:eastAsia="ja-JP"/>
        </w:rPr>
        <w:tab/>
      </w:r>
      <w:r w:rsidR="00BA640D">
        <w:rPr>
          <w:color w:val="000000"/>
        </w:rPr>
        <w:t>Classification of chemical p</w:t>
      </w:r>
      <w:r w:rsidR="00A157B6">
        <w:rPr>
          <w:color w:val="000000"/>
        </w:rPr>
        <w:t>roducts in Canada</w:t>
      </w:r>
    </w:p>
    <w:p w14:paraId="4D870792" w14:textId="1B849240" w:rsidR="00B5355E" w:rsidRDefault="00B40862" w:rsidP="007826A3">
      <w:pPr>
        <w:pStyle w:val="H1G"/>
      </w:pPr>
      <w:r w:rsidRPr="0016069E">
        <w:tab/>
      </w:r>
      <w:r w:rsidRPr="0016069E">
        <w:tab/>
        <w:t>Transmitted by the expert</w:t>
      </w:r>
      <w:r w:rsidR="00A157B6">
        <w:t xml:space="preserve"> from Canada</w:t>
      </w:r>
    </w:p>
    <w:p w14:paraId="44491B2E" w14:textId="01BDF70E" w:rsidR="00A157B6" w:rsidRDefault="0031311E" w:rsidP="0031311E">
      <w:pPr>
        <w:pStyle w:val="SingleTxtG"/>
      </w:pPr>
      <w:r>
        <w:t>1.</w:t>
      </w:r>
      <w:r>
        <w:tab/>
      </w:r>
      <w:r w:rsidR="00A157B6" w:rsidRPr="004135A5">
        <w:t>Canada has a process for the protection of confidential business information (CBI) which has required, since the late 1980’s, that companies and employers provide copies of their safety data sheets to the government for review.  This process affects only those companies and employers who wish to protect CBI, which currently includes approximately 1400 products on the Canadian market.</w:t>
      </w:r>
    </w:p>
    <w:p w14:paraId="43A48768" w14:textId="384AB052" w:rsidR="00A157B6" w:rsidRDefault="0031311E" w:rsidP="0031311E">
      <w:pPr>
        <w:pStyle w:val="SingleTxtG"/>
      </w:pPr>
      <w:r>
        <w:t>2.</w:t>
      </w:r>
      <w:r>
        <w:tab/>
      </w:r>
      <w:r w:rsidR="00A157B6" w:rsidRPr="004135A5">
        <w:t xml:space="preserve">The review conducted by the government includes the determination of the appropriate classification of the product, based on the product composition submitted by the company or employer.  In addition, the government reviews the information on the </w:t>
      </w:r>
      <w:r w:rsidR="00BA640D">
        <w:t>Safety Data Sheet (</w:t>
      </w:r>
      <w:r w:rsidR="00A157B6" w:rsidRPr="004135A5">
        <w:t>SDS</w:t>
      </w:r>
      <w:r w:rsidR="00BA640D">
        <w:t>)</w:t>
      </w:r>
      <w:bookmarkStart w:id="0" w:name="_GoBack"/>
      <w:bookmarkEnd w:id="0"/>
      <w:r w:rsidR="00A157B6" w:rsidRPr="004135A5">
        <w:t xml:space="preserve"> in detail, to confirm that all regulatory requirements have been met. </w:t>
      </w:r>
    </w:p>
    <w:p w14:paraId="19EB7680" w14:textId="09B0E0F4" w:rsidR="00A157B6" w:rsidRDefault="0031311E" w:rsidP="0031311E">
      <w:pPr>
        <w:pStyle w:val="SingleTxtG"/>
      </w:pPr>
      <w:r>
        <w:t>3.</w:t>
      </w:r>
      <w:r>
        <w:tab/>
      </w:r>
      <w:r w:rsidR="00A157B6" w:rsidRPr="004135A5">
        <w:t>Canada therefore has experience in the classification of chemical products which extends back a number of years, and which may be useful information for consideration by the working group on the Global List of Classified Chemicals, as it assesses the methodology by which classifications will be determined for the purpose of the global list.</w:t>
      </w:r>
    </w:p>
    <w:p w14:paraId="792DDE8B" w14:textId="61B2AE74" w:rsidR="00A157B6" w:rsidRDefault="0031311E" w:rsidP="0031311E">
      <w:pPr>
        <w:pStyle w:val="SingleTxtG"/>
      </w:pPr>
      <w:r>
        <w:t>4.</w:t>
      </w:r>
      <w:r>
        <w:tab/>
      </w:r>
      <w:r w:rsidR="00A157B6" w:rsidRPr="004135A5">
        <w:t xml:space="preserve">In Canada’s experience, approximately 13 days of full time work by specialists experienced in the field of toxicology and regulatory affairs are required to review one product.  This is an average as some products have few ingredients with minimal available information, whereas others may have many ingredients with volumes of available information.  The average time to review each ingredient within the product would be less, but is not a value that we are easily able to quantify giving our current tools. </w:t>
      </w:r>
    </w:p>
    <w:p w14:paraId="6FBF76BA" w14:textId="1EDB92BA" w:rsidR="00A157B6" w:rsidRDefault="0031311E" w:rsidP="0031311E">
      <w:pPr>
        <w:pStyle w:val="SingleTxtG"/>
      </w:pPr>
      <w:r>
        <w:t>5.</w:t>
      </w:r>
      <w:r>
        <w:tab/>
      </w:r>
      <w:r w:rsidR="00A157B6" w:rsidRPr="004135A5">
        <w:t>These 13 days of work are spread out over a longer period of time, during which the following steps are completed: 1) the request is registered; 2) the literature is searched for any available information on each of the product’s ingredients that are present above threshold concentrations; 3) the literature is reviewed by a scientist and recorded in a database; 4) a classification is determined for the product, and any other information that must appear on the SDS is identified (this is referred to as the ‘evaluation’ phase); 5) the findings of the  evaluation phase are reviewed, first by a senior scientist and then by a peer of the senior scientist; 6) the findings are summarised in a consultation document which is issued to the company or employer having made the request; and 7) a final decision is issued on the state of compliance of the submitted SDS.  It is clear that only steps 2 – 5 apply directly to the work that is being undertaken by the Working Group.</w:t>
      </w:r>
    </w:p>
    <w:p w14:paraId="6063047D" w14:textId="77777777" w:rsidR="0031311E" w:rsidRDefault="0031311E">
      <w:pPr>
        <w:suppressAutoHyphens w:val="0"/>
        <w:spacing w:line="240" w:lineRule="auto"/>
      </w:pPr>
      <w:r>
        <w:br w:type="page"/>
      </w:r>
    </w:p>
    <w:p w14:paraId="1F3A9D8E" w14:textId="31C7FDDE" w:rsidR="00A157B6" w:rsidRDefault="0031311E" w:rsidP="0031311E">
      <w:pPr>
        <w:pStyle w:val="SingleTxtG"/>
      </w:pPr>
      <w:r>
        <w:lastRenderedPageBreak/>
        <w:t>6.</w:t>
      </w:r>
      <w:r>
        <w:tab/>
      </w:r>
      <w:r w:rsidR="00A157B6" w:rsidRPr="004135A5">
        <w:t>On average, Canada processes between 300 and 400 review</w:t>
      </w:r>
      <w:r>
        <w:t xml:space="preserve">s of CBI submissions per year. </w:t>
      </w:r>
      <w:r w:rsidR="00A157B6" w:rsidRPr="004135A5">
        <w:t>Canada has completed literature searches for 922 chemicals in the last 18 months.  However, it must be noted that our work to date has been focussed on the assessment of products in accordance with the regulations as they existed prior to the implementation of the GHS.</w:t>
      </w:r>
    </w:p>
    <w:p w14:paraId="26BB1E4A" w14:textId="51B01D41" w:rsidR="00A157B6" w:rsidRDefault="0031311E" w:rsidP="0031311E">
      <w:pPr>
        <w:pStyle w:val="SingleTxtG"/>
      </w:pPr>
      <w:r>
        <w:t>7.</w:t>
      </w:r>
      <w:r>
        <w:tab/>
      </w:r>
      <w:r w:rsidR="00A157B6" w:rsidRPr="004135A5">
        <w:t xml:space="preserve">In January of 2016, Canada will begin its classification of products in accordance with the GHS building blocks adopted in Canada’s </w:t>
      </w:r>
      <w:r w:rsidR="00A157B6" w:rsidRPr="004135A5">
        <w:rPr>
          <w:i/>
        </w:rPr>
        <w:t>Hazardous Products Regulations</w:t>
      </w:r>
      <w:r w:rsidR="00A157B6" w:rsidRPr="004135A5">
        <w:t>.  Canada expects that the initial process of classifying ingredients and products in accordance with these requirements will require more time than our current average as our experts gain experience with the new classification criteria, but Canada also anticipates a return to this average, or less, over time.</w:t>
      </w:r>
    </w:p>
    <w:p w14:paraId="1015456E" w14:textId="6C5F2B64" w:rsidR="00701F2C" w:rsidRPr="002F10AB" w:rsidRDefault="0031311E" w:rsidP="0031311E">
      <w:pPr>
        <w:pStyle w:val="SingleTxtG"/>
      </w:pPr>
      <w:r>
        <w:t>8.</w:t>
      </w:r>
      <w:r>
        <w:tab/>
      </w:r>
      <w:r w:rsidR="00701F2C">
        <w:t>Canada invites interested parties to communicate with us directly to learn more about our classification process.</w:t>
      </w:r>
    </w:p>
    <w:p w14:paraId="01CC2788" w14:textId="1A1080EF" w:rsidR="00701F2C" w:rsidRPr="0031311E" w:rsidRDefault="0031311E" w:rsidP="0031311E">
      <w:pPr>
        <w:pStyle w:val="SingleTxtG"/>
        <w:spacing w:before="240" w:after="0"/>
        <w:jc w:val="center"/>
        <w:rPr>
          <w:u w:val="single"/>
        </w:rPr>
      </w:pPr>
      <w:r>
        <w:rPr>
          <w:u w:val="single"/>
        </w:rPr>
        <w:tab/>
      </w:r>
      <w:r>
        <w:rPr>
          <w:u w:val="single"/>
        </w:rPr>
        <w:tab/>
      </w:r>
      <w:r>
        <w:rPr>
          <w:u w:val="single"/>
        </w:rPr>
        <w:tab/>
      </w:r>
    </w:p>
    <w:sectPr w:rsidR="00701F2C" w:rsidRPr="0031311E" w:rsidSect="005D5807">
      <w:headerReference w:type="even" r:id="rId9"/>
      <w:headerReference w:type="default" r:id="rId10"/>
      <w:footerReference w:type="even" r:id="rId11"/>
      <w:footerReference w:type="default" r:id="rId12"/>
      <w:headerReference w:type="first" r:id="rId13"/>
      <w:endnotePr>
        <w:numFmt w:val="decimal"/>
      </w:endnotePr>
      <w:pgSz w:w="11907" w:h="16840" w:code="9"/>
      <w:pgMar w:top="2268" w:right="1134" w:bottom="1701" w:left="1134" w:header="1701"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9236B" w14:textId="77777777" w:rsidR="00A15119" w:rsidRDefault="00A15119"/>
  </w:endnote>
  <w:endnote w:type="continuationSeparator" w:id="0">
    <w:p w14:paraId="42B1ACFA" w14:textId="77777777" w:rsidR="00A15119" w:rsidRDefault="00A15119"/>
  </w:endnote>
  <w:endnote w:type="continuationNotice" w:id="1">
    <w:p w14:paraId="52619A36" w14:textId="77777777" w:rsidR="00A15119" w:rsidRDefault="00A15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A625" w14:textId="77777777" w:rsidR="00CC7CDC" w:rsidRPr="0099001C" w:rsidRDefault="00CC7CDC"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21917">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AF4AC" w14:textId="77777777" w:rsidR="00CC7CDC" w:rsidRPr="0099001C" w:rsidRDefault="00CC7CDC"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53163C">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F6188" w14:textId="77777777" w:rsidR="00A15119" w:rsidRPr="000B175B" w:rsidRDefault="00A15119" w:rsidP="000B175B">
      <w:pPr>
        <w:tabs>
          <w:tab w:val="right" w:pos="2155"/>
        </w:tabs>
        <w:spacing w:after="80"/>
        <w:ind w:left="680"/>
        <w:rPr>
          <w:u w:val="single"/>
        </w:rPr>
      </w:pPr>
      <w:r>
        <w:rPr>
          <w:u w:val="single"/>
        </w:rPr>
        <w:tab/>
      </w:r>
    </w:p>
  </w:footnote>
  <w:footnote w:type="continuationSeparator" w:id="0">
    <w:p w14:paraId="01F8309B" w14:textId="77777777" w:rsidR="00A15119" w:rsidRPr="00FC68B7" w:rsidRDefault="00A15119" w:rsidP="00FC68B7">
      <w:pPr>
        <w:tabs>
          <w:tab w:val="left" w:pos="2155"/>
        </w:tabs>
        <w:spacing w:after="80"/>
        <w:ind w:left="680"/>
        <w:rPr>
          <w:u w:val="single"/>
        </w:rPr>
      </w:pPr>
      <w:r>
        <w:rPr>
          <w:u w:val="single"/>
        </w:rPr>
        <w:tab/>
      </w:r>
    </w:p>
  </w:footnote>
  <w:footnote w:type="continuationNotice" w:id="1">
    <w:p w14:paraId="6212EC72" w14:textId="77777777" w:rsidR="00A15119" w:rsidRDefault="00A151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862C4" w14:textId="35B241B2" w:rsidR="00CC7CDC" w:rsidRPr="00A157B6" w:rsidRDefault="00CC7CDC" w:rsidP="00366CA7">
    <w:pPr>
      <w:pStyle w:val="Header"/>
      <w:rPr>
        <w:lang w:val="fr-CA"/>
      </w:rPr>
    </w:pPr>
    <w:r w:rsidRPr="00A157B6">
      <w:rPr>
        <w:lang w:val="fr-CA"/>
      </w:rPr>
      <w:t>UN/SCEGHS/30</w:t>
    </w:r>
    <w:r w:rsidR="00171449" w:rsidRPr="00A157B6">
      <w:rPr>
        <w:lang w:val="fr-CA"/>
      </w:rPr>
      <w:t>/INF.</w:t>
    </w:r>
    <w:r w:rsidR="0031311E">
      <w:rPr>
        <w:lang w:val="fr-CA"/>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7B2F" w14:textId="68361A94" w:rsidR="00CC7CDC" w:rsidRPr="00A157B6" w:rsidRDefault="00537B86" w:rsidP="009F6924">
    <w:pPr>
      <w:pStyle w:val="Header"/>
      <w:jc w:val="right"/>
      <w:rPr>
        <w:lang w:val="fr-CA"/>
      </w:rPr>
    </w:pPr>
    <w:r w:rsidRPr="00A157B6">
      <w:rPr>
        <w:lang w:val="fr-CA"/>
      </w:rPr>
      <w:t>UN/SCEGDG/48/INF.24</w:t>
    </w:r>
  </w:p>
  <w:p w14:paraId="6B177411" w14:textId="7AE35AAD" w:rsidR="00CC7CDC" w:rsidRPr="00A157B6" w:rsidRDefault="00537B86" w:rsidP="0099001C">
    <w:pPr>
      <w:pStyle w:val="Header"/>
      <w:jc w:val="right"/>
      <w:rPr>
        <w:lang w:val="fr-CA"/>
      </w:rPr>
    </w:pPr>
    <w:r w:rsidRPr="00A157B6">
      <w:rPr>
        <w:lang w:val="fr-CA"/>
      </w:rPr>
      <w:t>UN/SCEGHS/30/INF.7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8B3BD" w14:textId="77777777" w:rsidR="00537B86" w:rsidRDefault="00537B86" w:rsidP="002127B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00"/>
    <w:multiLevelType w:val="hybridMultilevel"/>
    <w:tmpl w:val="9E3E1666"/>
    <w:lvl w:ilvl="0" w:tplc="16FAC928">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0E76A0"/>
    <w:multiLevelType w:val="hybridMultilevel"/>
    <w:tmpl w:val="BEE84CD8"/>
    <w:lvl w:ilvl="0" w:tplc="4A481BDA">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5C381CA4"/>
    <w:multiLevelType w:val="hybridMultilevel"/>
    <w:tmpl w:val="AC9EADCC"/>
    <w:lvl w:ilvl="0" w:tplc="BAFE5516">
      <w:start w:val="1"/>
      <w:numFmt w:val="decimal"/>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5"/>
  </w:num>
  <w:num w:numId="5">
    <w:abstractNumId w:val="5"/>
  </w:num>
  <w:num w:numId="6">
    <w:abstractNumId w:val="5"/>
  </w:num>
  <w:num w:numId="7">
    <w:abstractNumId w:val="5"/>
  </w:num>
  <w:num w:numId="8">
    <w:abstractNumId w:val="5"/>
  </w:num>
  <w:num w:numId="9">
    <w:abstractNumId w:val="0"/>
  </w:num>
  <w:num w:numId="10">
    <w:abstractNumId w:val="2"/>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834"/>
    <w:rsid w:val="00016283"/>
    <w:rsid w:val="000266B9"/>
    <w:rsid w:val="00033B3D"/>
    <w:rsid w:val="00042736"/>
    <w:rsid w:val="00050F6B"/>
    <w:rsid w:val="0006257C"/>
    <w:rsid w:val="00067413"/>
    <w:rsid w:val="00072C8C"/>
    <w:rsid w:val="00081647"/>
    <w:rsid w:val="00090082"/>
    <w:rsid w:val="000931C0"/>
    <w:rsid w:val="000B175B"/>
    <w:rsid w:val="000B3A0F"/>
    <w:rsid w:val="000C6544"/>
    <w:rsid w:val="000D10AA"/>
    <w:rsid w:val="000D258A"/>
    <w:rsid w:val="000D409C"/>
    <w:rsid w:val="000E0415"/>
    <w:rsid w:val="000E5843"/>
    <w:rsid w:val="000F3F20"/>
    <w:rsid w:val="000F747C"/>
    <w:rsid w:val="0012044E"/>
    <w:rsid w:val="001220B8"/>
    <w:rsid w:val="00145D96"/>
    <w:rsid w:val="00156F3C"/>
    <w:rsid w:val="00162BF7"/>
    <w:rsid w:val="00171449"/>
    <w:rsid w:val="00190AEA"/>
    <w:rsid w:val="0019685C"/>
    <w:rsid w:val="0019701E"/>
    <w:rsid w:val="001B4B04"/>
    <w:rsid w:val="001C6663"/>
    <w:rsid w:val="001C7895"/>
    <w:rsid w:val="001D26DF"/>
    <w:rsid w:val="001D6641"/>
    <w:rsid w:val="001E1DC9"/>
    <w:rsid w:val="001E47FD"/>
    <w:rsid w:val="001F4D71"/>
    <w:rsid w:val="002075F3"/>
    <w:rsid w:val="00211E0B"/>
    <w:rsid w:val="002127B9"/>
    <w:rsid w:val="00235D42"/>
    <w:rsid w:val="002405A7"/>
    <w:rsid w:val="0025322D"/>
    <w:rsid w:val="00255142"/>
    <w:rsid w:val="00257E45"/>
    <w:rsid w:val="00262488"/>
    <w:rsid w:val="00262F84"/>
    <w:rsid w:val="002836C0"/>
    <w:rsid w:val="002B5942"/>
    <w:rsid w:val="002D59D3"/>
    <w:rsid w:val="00300C00"/>
    <w:rsid w:val="003107FA"/>
    <w:rsid w:val="003127A2"/>
    <w:rsid w:val="0031311E"/>
    <w:rsid w:val="003229D8"/>
    <w:rsid w:val="003320BC"/>
    <w:rsid w:val="0033745A"/>
    <w:rsid w:val="003565F9"/>
    <w:rsid w:val="003642AF"/>
    <w:rsid w:val="003648B6"/>
    <w:rsid w:val="00366CA7"/>
    <w:rsid w:val="0039277A"/>
    <w:rsid w:val="003972E0"/>
    <w:rsid w:val="003A0CFC"/>
    <w:rsid w:val="003B7232"/>
    <w:rsid w:val="003C2CC4"/>
    <w:rsid w:val="003C3936"/>
    <w:rsid w:val="003D4B23"/>
    <w:rsid w:val="003F1ED3"/>
    <w:rsid w:val="00405975"/>
    <w:rsid w:val="00421917"/>
    <w:rsid w:val="004234CE"/>
    <w:rsid w:val="004325CB"/>
    <w:rsid w:val="00446DE4"/>
    <w:rsid w:val="00454028"/>
    <w:rsid w:val="00460DD9"/>
    <w:rsid w:val="00467F71"/>
    <w:rsid w:val="004A3B0F"/>
    <w:rsid w:val="004A41CA"/>
    <w:rsid w:val="004B7156"/>
    <w:rsid w:val="004D0CBB"/>
    <w:rsid w:val="004D39BF"/>
    <w:rsid w:val="004E7ED6"/>
    <w:rsid w:val="004F770A"/>
    <w:rsid w:val="005031F0"/>
    <w:rsid w:val="00503228"/>
    <w:rsid w:val="00505384"/>
    <w:rsid w:val="00515F01"/>
    <w:rsid w:val="0053163C"/>
    <w:rsid w:val="00532EF8"/>
    <w:rsid w:val="00537B86"/>
    <w:rsid w:val="0054104E"/>
    <w:rsid w:val="005420F2"/>
    <w:rsid w:val="00551F05"/>
    <w:rsid w:val="00556993"/>
    <w:rsid w:val="005720E0"/>
    <w:rsid w:val="005908ED"/>
    <w:rsid w:val="005B2C89"/>
    <w:rsid w:val="005B3DB3"/>
    <w:rsid w:val="005C2EC9"/>
    <w:rsid w:val="005D2C29"/>
    <w:rsid w:val="005D5807"/>
    <w:rsid w:val="005E22FE"/>
    <w:rsid w:val="00603A59"/>
    <w:rsid w:val="00611FC4"/>
    <w:rsid w:val="00613B9E"/>
    <w:rsid w:val="006176FB"/>
    <w:rsid w:val="00627ED0"/>
    <w:rsid w:val="0063100B"/>
    <w:rsid w:val="00640B26"/>
    <w:rsid w:val="006516AF"/>
    <w:rsid w:val="006565C7"/>
    <w:rsid w:val="00665595"/>
    <w:rsid w:val="00691F20"/>
    <w:rsid w:val="00693543"/>
    <w:rsid w:val="006A7392"/>
    <w:rsid w:val="006A7757"/>
    <w:rsid w:val="006B07FC"/>
    <w:rsid w:val="006E4850"/>
    <w:rsid w:val="006E564B"/>
    <w:rsid w:val="006F2155"/>
    <w:rsid w:val="006F398E"/>
    <w:rsid w:val="00701F2C"/>
    <w:rsid w:val="00710EE8"/>
    <w:rsid w:val="0071349F"/>
    <w:rsid w:val="00720DEB"/>
    <w:rsid w:val="0072632A"/>
    <w:rsid w:val="00733AAE"/>
    <w:rsid w:val="00774F60"/>
    <w:rsid w:val="0077641B"/>
    <w:rsid w:val="00781A60"/>
    <w:rsid w:val="007826A3"/>
    <w:rsid w:val="00793E09"/>
    <w:rsid w:val="007A0B22"/>
    <w:rsid w:val="007B6BA5"/>
    <w:rsid w:val="007C3390"/>
    <w:rsid w:val="007C4F4B"/>
    <w:rsid w:val="007F0B83"/>
    <w:rsid w:val="007F48EF"/>
    <w:rsid w:val="007F4FCD"/>
    <w:rsid w:val="007F6611"/>
    <w:rsid w:val="0081170A"/>
    <w:rsid w:val="0081732C"/>
    <w:rsid w:val="008175E9"/>
    <w:rsid w:val="008242D7"/>
    <w:rsid w:val="00827E05"/>
    <w:rsid w:val="008311A3"/>
    <w:rsid w:val="00832A26"/>
    <w:rsid w:val="00836AF7"/>
    <w:rsid w:val="00871FD5"/>
    <w:rsid w:val="00883434"/>
    <w:rsid w:val="00890677"/>
    <w:rsid w:val="008979B1"/>
    <w:rsid w:val="008A0563"/>
    <w:rsid w:val="008A6B25"/>
    <w:rsid w:val="008A6C4F"/>
    <w:rsid w:val="008B3B13"/>
    <w:rsid w:val="008B6C79"/>
    <w:rsid w:val="008B6E26"/>
    <w:rsid w:val="008E0E46"/>
    <w:rsid w:val="008E4C4C"/>
    <w:rsid w:val="00907AD2"/>
    <w:rsid w:val="00911047"/>
    <w:rsid w:val="0093412E"/>
    <w:rsid w:val="00963CBA"/>
    <w:rsid w:val="009650E6"/>
    <w:rsid w:val="00974A8D"/>
    <w:rsid w:val="0099001C"/>
    <w:rsid w:val="00991261"/>
    <w:rsid w:val="009A6014"/>
    <w:rsid w:val="009A6056"/>
    <w:rsid w:val="009B5C02"/>
    <w:rsid w:val="009C396D"/>
    <w:rsid w:val="009E5730"/>
    <w:rsid w:val="009F3A17"/>
    <w:rsid w:val="009F3D53"/>
    <w:rsid w:val="009F6924"/>
    <w:rsid w:val="00A1427D"/>
    <w:rsid w:val="00A15119"/>
    <w:rsid w:val="00A157B6"/>
    <w:rsid w:val="00A45C97"/>
    <w:rsid w:val="00A53D67"/>
    <w:rsid w:val="00A55FB2"/>
    <w:rsid w:val="00A72F22"/>
    <w:rsid w:val="00A748A6"/>
    <w:rsid w:val="00A80459"/>
    <w:rsid w:val="00A805EB"/>
    <w:rsid w:val="00A879A4"/>
    <w:rsid w:val="00AA496B"/>
    <w:rsid w:val="00AC441D"/>
    <w:rsid w:val="00AE71F3"/>
    <w:rsid w:val="00B11E5C"/>
    <w:rsid w:val="00B30179"/>
    <w:rsid w:val="00B30E8F"/>
    <w:rsid w:val="00B33EC0"/>
    <w:rsid w:val="00B40862"/>
    <w:rsid w:val="00B5241A"/>
    <w:rsid w:val="00B5355E"/>
    <w:rsid w:val="00B56A66"/>
    <w:rsid w:val="00B81E12"/>
    <w:rsid w:val="00B84CFE"/>
    <w:rsid w:val="00B97D28"/>
    <w:rsid w:val="00BA640D"/>
    <w:rsid w:val="00BC74E9"/>
    <w:rsid w:val="00BD2146"/>
    <w:rsid w:val="00BD42CF"/>
    <w:rsid w:val="00BE4F74"/>
    <w:rsid w:val="00BE618E"/>
    <w:rsid w:val="00C17699"/>
    <w:rsid w:val="00C1778D"/>
    <w:rsid w:val="00C34B83"/>
    <w:rsid w:val="00C37ECB"/>
    <w:rsid w:val="00C41A28"/>
    <w:rsid w:val="00C463DD"/>
    <w:rsid w:val="00C60582"/>
    <w:rsid w:val="00C745C3"/>
    <w:rsid w:val="00C825DC"/>
    <w:rsid w:val="00C945EB"/>
    <w:rsid w:val="00C96746"/>
    <w:rsid w:val="00CA5BA1"/>
    <w:rsid w:val="00CC7CDC"/>
    <w:rsid w:val="00CD14B9"/>
    <w:rsid w:val="00CE1DB9"/>
    <w:rsid w:val="00CE4A8F"/>
    <w:rsid w:val="00D03498"/>
    <w:rsid w:val="00D055EB"/>
    <w:rsid w:val="00D117D0"/>
    <w:rsid w:val="00D1270E"/>
    <w:rsid w:val="00D2031B"/>
    <w:rsid w:val="00D25FE2"/>
    <w:rsid w:val="00D317BB"/>
    <w:rsid w:val="00D35D8F"/>
    <w:rsid w:val="00D43252"/>
    <w:rsid w:val="00D63881"/>
    <w:rsid w:val="00D65A52"/>
    <w:rsid w:val="00D978C6"/>
    <w:rsid w:val="00DA67AD"/>
    <w:rsid w:val="00DA6EDE"/>
    <w:rsid w:val="00DB0D4C"/>
    <w:rsid w:val="00DB5D0F"/>
    <w:rsid w:val="00DC3242"/>
    <w:rsid w:val="00DE7F20"/>
    <w:rsid w:val="00DF12F7"/>
    <w:rsid w:val="00DF2C64"/>
    <w:rsid w:val="00E02C81"/>
    <w:rsid w:val="00E04A75"/>
    <w:rsid w:val="00E06E39"/>
    <w:rsid w:val="00E06EAB"/>
    <w:rsid w:val="00E130AB"/>
    <w:rsid w:val="00E31844"/>
    <w:rsid w:val="00E31C87"/>
    <w:rsid w:val="00E445C1"/>
    <w:rsid w:val="00E66D46"/>
    <w:rsid w:val="00E70DF5"/>
    <w:rsid w:val="00E7260F"/>
    <w:rsid w:val="00E76B16"/>
    <w:rsid w:val="00E76E78"/>
    <w:rsid w:val="00E80F5F"/>
    <w:rsid w:val="00E862A4"/>
    <w:rsid w:val="00E87921"/>
    <w:rsid w:val="00E92AB9"/>
    <w:rsid w:val="00E96630"/>
    <w:rsid w:val="00E97D2D"/>
    <w:rsid w:val="00EA18F9"/>
    <w:rsid w:val="00EA264E"/>
    <w:rsid w:val="00EA316A"/>
    <w:rsid w:val="00EA31E1"/>
    <w:rsid w:val="00EA3A41"/>
    <w:rsid w:val="00EB22EE"/>
    <w:rsid w:val="00ED71D9"/>
    <w:rsid w:val="00ED7A2A"/>
    <w:rsid w:val="00EF0B3C"/>
    <w:rsid w:val="00EF1D7F"/>
    <w:rsid w:val="00EF7BEA"/>
    <w:rsid w:val="00F43EDE"/>
    <w:rsid w:val="00F53EDA"/>
    <w:rsid w:val="00F7753D"/>
    <w:rsid w:val="00F85E66"/>
    <w:rsid w:val="00F85F34"/>
    <w:rsid w:val="00FA06F7"/>
    <w:rsid w:val="00FB171A"/>
    <w:rsid w:val="00FC09B8"/>
    <w:rsid w:val="00FC68B7"/>
    <w:rsid w:val="00FD4F7E"/>
    <w:rsid w:val="00FD7BF6"/>
    <w:rsid w:val="00FF04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E1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Paragraph">
    <w:name w:val="List Paragraph"/>
    <w:basedOn w:val="Normal"/>
    <w:uiPriority w:val="34"/>
    <w:qFormat/>
    <w:rsid w:val="00B5355E"/>
    <w:pPr>
      <w:ind w:leftChars="400" w:left="960"/>
    </w:pPr>
  </w:style>
  <w:style w:type="paragraph" w:styleId="BalloonText">
    <w:name w:val="Balloon Text"/>
    <w:basedOn w:val="Normal"/>
    <w:link w:val="BalloonTextChar"/>
    <w:rsid w:val="003B72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7232"/>
    <w:rPr>
      <w:rFonts w:ascii="Tahoma" w:hAnsi="Tahoma" w:cs="Tahoma"/>
      <w:sz w:val="16"/>
      <w:szCs w:val="16"/>
      <w:lang w:eastAsia="en-US"/>
    </w:rPr>
  </w:style>
  <w:style w:type="character" w:styleId="CommentReference">
    <w:name w:val="annotation reference"/>
    <w:basedOn w:val="DefaultParagraphFont"/>
    <w:rsid w:val="00E445C1"/>
    <w:rPr>
      <w:sz w:val="16"/>
      <w:szCs w:val="16"/>
    </w:rPr>
  </w:style>
  <w:style w:type="paragraph" w:styleId="CommentText">
    <w:name w:val="annotation text"/>
    <w:basedOn w:val="Normal"/>
    <w:link w:val="CommentTextChar"/>
    <w:rsid w:val="00E445C1"/>
    <w:pPr>
      <w:spacing w:line="240" w:lineRule="auto"/>
    </w:pPr>
  </w:style>
  <w:style w:type="character" w:customStyle="1" w:styleId="CommentTextChar">
    <w:name w:val="Comment Text Char"/>
    <w:basedOn w:val="DefaultParagraphFont"/>
    <w:link w:val="CommentText"/>
    <w:rsid w:val="00E445C1"/>
    <w:rPr>
      <w:lang w:eastAsia="en-US"/>
    </w:rPr>
  </w:style>
  <w:style w:type="paragraph" w:styleId="CommentSubject">
    <w:name w:val="annotation subject"/>
    <w:basedOn w:val="CommentText"/>
    <w:next w:val="CommentText"/>
    <w:link w:val="CommentSubjectChar"/>
    <w:rsid w:val="00E445C1"/>
    <w:rPr>
      <w:b/>
      <w:bCs/>
    </w:rPr>
  </w:style>
  <w:style w:type="character" w:customStyle="1" w:styleId="CommentSubjectChar">
    <w:name w:val="Comment Subject Char"/>
    <w:basedOn w:val="CommentTextChar"/>
    <w:link w:val="CommentSubject"/>
    <w:rsid w:val="00E445C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styleId="ListParagraph">
    <w:name w:val="List Paragraph"/>
    <w:basedOn w:val="Normal"/>
    <w:uiPriority w:val="34"/>
    <w:qFormat/>
    <w:rsid w:val="00B5355E"/>
    <w:pPr>
      <w:ind w:leftChars="400" w:left="960"/>
    </w:pPr>
  </w:style>
  <w:style w:type="paragraph" w:styleId="BalloonText">
    <w:name w:val="Balloon Text"/>
    <w:basedOn w:val="Normal"/>
    <w:link w:val="BalloonTextChar"/>
    <w:rsid w:val="003B72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7232"/>
    <w:rPr>
      <w:rFonts w:ascii="Tahoma" w:hAnsi="Tahoma" w:cs="Tahoma"/>
      <w:sz w:val="16"/>
      <w:szCs w:val="16"/>
      <w:lang w:eastAsia="en-US"/>
    </w:rPr>
  </w:style>
  <w:style w:type="character" w:styleId="CommentReference">
    <w:name w:val="annotation reference"/>
    <w:basedOn w:val="DefaultParagraphFont"/>
    <w:rsid w:val="00E445C1"/>
    <w:rPr>
      <w:sz w:val="16"/>
      <w:szCs w:val="16"/>
    </w:rPr>
  </w:style>
  <w:style w:type="paragraph" w:styleId="CommentText">
    <w:name w:val="annotation text"/>
    <w:basedOn w:val="Normal"/>
    <w:link w:val="CommentTextChar"/>
    <w:rsid w:val="00E445C1"/>
    <w:pPr>
      <w:spacing w:line="240" w:lineRule="auto"/>
    </w:pPr>
  </w:style>
  <w:style w:type="character" w:customStyle="1" w:styleId="CommentTextChar">
    <w:name w:val="Comment Text Char"/>
    <w:basedOn w:val="DefaultParagraphFont"/>
    <w:link w:val="CommentText"/>
    <w:rsid w:val="00E445C1"/>
    <w:rPr>
      <w:lang w:eastAsia="en-US"/>
    </w:rPr>
  </w:style>
  <w:style w:type="paragraph" w:styleId="CommentSubject">
    <w:name w:val="annotation subject"/>
    <w:basedOn w:val="CommentText"/>
    <w:next w:val="CommentText"/>
    <w:link w:val="CommentSubjectChar"/>
    <w:rsid w:val="00E445C1"/>
    <w:rPr>
      <w:b/>
      <w:bCs/>
    </w:rPr>
  </w:style>
  <w:style w:type="character" w:customStyle="1" w:styleId="CommentSubjectChar">
    <w:name w:val="Comment Subject Char"/>
    <w:basedOn w:val="CommentTextChar"/>
    <w:link w:val="CommentSubject"/>
    <w:rsid w:val="00E445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705B-DF23-463D-B658-3426C6BE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2</Pages>
  <Words>597</Words>
  <Characters>3505</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2015-12-01T12:51:00Z</cp:lastPrinted>
  <dcterms:created xsi:type="dcterms:W3CDTF">2015-12-01T12:49:00Z</dcterms:created>
  <dcterms:modified xsi:type="dcterms:W3CDTF">2015-12-01T12:58:00Z</dcterms:modified>
</cp:coreProperties>
</file>