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5C4D431D" w14:textId="77777777" w:rsidTr="00691F20">
        <w:trPr>
          <w:cantSplit/>
          <w:trHeight w:hRule="exact" w:val="851"/>
        </w:trPr>
        <w:tc>
          <w:tcPr>
            <w:tcW w:w="9639" w:type="dxa"/>
            <w:tcBorders>
              <w:bottom w:val="single" w:sz="4" w:space="0" w:color="auto"/>
            </w:tcBorders>
            <w:vAlign w:val="bottom"/>
          </w:tcPr>
          <w:p w14:paraId="79D7866F" w14:textId="561A462B" w:rsidR="0099001C" w:rsidRPr="0099001C" w:rsidRDefault="0099001C" w:rsidP="003263E2">
            <w:pPr>
              <w:jc w:val="right"/>
              <w:rPr>
                <w:b/>
                <w:sz w:val="40"/>
                <w:szCs w:val="40"/>
              </w:rPr>
            </w:pPr>
            <w:r w:rsidRPr="0099001C">
              <w:rPr>
                <w:b/>
                <w:sz w:val="40"/>
                <w:szCs w:val="40"/>
              </w:rPr>
              <w:t>UN/SCEGHS/</w:t>
            </w:r>
            <w:r w:rsidR="00ED71D9">
              <w:rPr>
                <w:b/>
                <w:sz w:val="40"/>
                <w:szCs w:val="40"/>
              </w:rPr>
              <w:t>30</w:t>
            </w:r>
            <w:r w:rsidRPr="0099001C">
              <w:rPr>
                <w:b/>
                <w:sz w:val="40"/>
                <w:szCs w:val="40"/>
              </w:rPr>
              <w:t>/INF.</w:t>
            </w:r>
            <w:r w:rsidR="00BF7199">
              <w:rPr>
                <w:b/>
                <w:sz w:val="40"/>
                <w:szCs w:val="40"/>
              </w:rPr>
              <w:t>1</w:t>
            </w:r>
            <w:r w:rsidR="003263E2">
              <w:rPr>
                <w:b/>
                <w:sz w:val="40"/>
                <w:szCs w:val="40"/>
              </w:rPr>
              <w:t>5</w:t>
            </w:r>
          </w:p>
        </w:tc>
      </w:tr>
      <w:tr w:rsidR="0099001C" w14:paraId="7DCD14D8" w14:textId="77777777" w:rsidTr="00E97D2D">
        <w:trPr>
          <w:cantSplit/>
          <w:trHeight w:hRule="exact" w:val="2988"/>
        </w:trPr>
        <w:tc>
          <w:tcPr>
            <w:tcW w:w="9639" w:type="dxa"/>
            <w:tcBorders>
              <w:top w:val="single" w:sz="4" w:space="0" w:color="auto"/>
            </w:tcBorders>
          </w:tcPr>
          <w:p w14:paraId="1B1493DE" w14:textId="77777777"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7F796770" w14:textId="618345E8" w:rsidR="00FD4F7E" w:rsidRPr="006E4850"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BF7199">
              <w:rPr>
                <w:b/>
                <w:lang w:val="en-US"/>
              </w:rPr>
              <w:t>30</w:t>
            </w:r>
            <w:r w:rsidR="006A7757" w:rsidRPr="006E4850">
              <w:rPr>
                <w:b/>
                <w:lang w:val="en-US"/>
              </w:rPr>
              <w:t xml:space="preserve"> </w:t>
            </w:r>
            <w:r w:rsidR="00375452">
              <w:rPr>
                <w:b/>
                <w:lang w:val="en-US"/>
              </w:rPr>
              <w:t>November</w:t>
            </w:r>
            <w:r w:rsidR="006E4850" w:rsidRPr="006E4850">
              <w:rPr>
                <w:b/>
                <w:lang w:val="en-US"/>
              </w:rPr>
              <w:t xml:space="preserve"> </w:t>
            </w:r>
            <w:r w:rsidR="00E70DF5" w:rsidRPr="006E4850">
              <w:rPr>
                <w:b/>
                <w:lang w:val="en-US"/>
              </w:rPr>
              <w:t>201</w:t>
            </w:r>
            <w:r w:rsidR="009F3D53" w:rsidRPr="006E4850">
              <w:rPr>
                <w:b/>
                <w:lang w:val="en-US"/>
              </w:rPr>
              <w:t>5</w:t>
            </w:r>
          </w:p>
          <w:p w14:paraId="6F8231F0" w14:textId="77777777" w:rsidR="009F3D53" w:rsidRPr="006E4850" w:rsidRDefault="000D10AA" w:rsidP="009F3D53">
            <w:pPr>
              <w:spacing w:before="120"/>
              <w:rPr>
                <w:b/>
              </w:rPr>
            </w:pPr>
            <w:r w:rsidRPr="006E4850">
              <w:rPr>
                <w:b/>
                <w:bCs/>
              </w:rPr>
              <w:t>Thirtieth</w:t>
            </w:r>
            <w:r w:rsidR="009F3D53" w:rsidRPr="006E4850">
              <w:rPr>
                <w:b/>
                <w:bCs/>
              </w:rPr>
              <w:t xml:space="preserve"> session</w:t>
            </w:r>
          </w:p>
          <w:p w14:paraId="70C2C6EF" w14:textId="041DC48E" w:rsidR="009F3D53" w:rsidRPr="006E4850" w:rsidRDefault="009F3D53" w:rsidP="009F3D53">
            <w:pPr>
              <w:jc w:val="both"/>
            </w:pPr>
            <w:r w:rsidRPr="006E4850">
              <w:t xml:space="preserve">Geneva, </w:t>
            </w:r>
            <w:r w:rsidR="00ED71D9" w:rsidRPr="006E4850">
              <w:t xml:space="preserve">9 </w:t>
            </w:r>
            <w:r w:rsidRPr="006E4850">
              <w:t xml:space="preserve">– </w:t>
            </w:r>
            <w:r w:rsidR="00ED71D9" w:rsidRPr="006E4850">
              <w:t>11</w:t>
            </w:r>
            <w:r w:rsidRPr="006E4850">
              <w:t xml:space="preserve"> </w:t>
            </w:r>
            <w:r w:rsidR="00ED71D9" w:rsidRPr="006E4850">
              <w:t>December</w:t>
            </w:r>
            <w:r w:rsidRPr="006E4850">
              <w:t xml:space="preserve"> 2015</w:t>
            </w:r>
          </w:p>
          <w:p w14:paraId="7B56BDAD" w14:textId="77777777" w:rsidR="009F3D53" w:rsidRPr="006E4850" w:rsidRDefault="009F3D53" w:rsidP="009F3D53">
            <w:pPr>
              <w:jc w:val="both"/>
              <w:rPr>
                <w:lang w:val="en-US"/>
              </w:rPr>
            </w:pPr>
            <w:r w:rsidRPr="006E4850">
              <w:rPr>
                <w:lang w:val="en-US"/>
              </w:rPr>
              <w:t xml:space="preserve">Item </w:t>
            </w:r>
            <w:r w:rsidR="006E4850" w:rsidRPr="006E4850">
              <w:rPr>
                <w:lang w:val="en-US"/>
              </w:rPr>
              <w:t>3 (e)</w:t>
            </w:r>
            <w:r w:rsidRPr="006E4850">
              <w:rPr>
                <w:lang w:val="en-US"/>
              </w:rPr>
              <w:t xml:space="preserve"> of the provisional agenda</w:t>
            </w:r>
          </w:p>
          <w:p w14:paraId="49B7839E" w14:textId="77777777" w:rsidR="0099001C" w:rsidRPr="006E4850" w:rsidRDefault="006E4850" w:rsidP="00E97D2D">
            <w:pPr>
              <w:jc w:val="both"/>
              <w:rPr>
                <w:b/>
                <w:lang w:val="en-US"/>
              </w:rPr>
            </w:pPr>
            <w:r w:rsidRPr="006E4850">
              <w:rPr>
                <w:b/>
                <w:lang w:val="en-US"/>
              </w:rPr>
              <w:t>Classification criteria and related hazard communication:</w:t>
            </w:r>
          </w:p>
          <w:p w14:paraId="20412249" w14:textId="77777777" w:rsidR="006E4850" w:rsidRDefault="006E4850" w:rsidP="00E97D2D">
            <w:pPr>
              <w:jc w:val="both"/>
            </w:pPr>
            <w:r w:rsidRPr="006E4850">
              <w:rPr>
                <w:b/>
                <w:lang w:val="en-US"/>
              </w:rPr>
              <w:t>Miscellaneous</w:t>
            </w:r>
          </w:p>
        </w:tc>
      </w:tr>
    </w:tbl>
    <w:p w14:paraId="3FA5A9DD" w14:textId="77777777" w:rsidR="00B11E5C" w:rsidRPr="00B11E5C" w:rsidRDefault="00B11E5C" w:rsidP="00B11E5C">
      <w:pPr>
        <w:pStyle w:val="HChG"/>
        <w:rPr>
          <w:rFonts w:eastAsia="MS Mincho"/>
          <w:lang w:val="en-US" w:eastAsia="ja-JP"/>
        </w:rPr>
      </w:pPr>
      <w:r>
        <w:rPr>
          <w:rFonts w:eastAsia="MS Mincho"/>
          <w:lang w:val="en-US" w:eastAsia="ja-JP"/>
        </w:rPr>
        <w:tab/>
      </w:r>
      <w:r>
        <w:rPr>
          <w:rFonts w:eastAsia="MS Mincho"/>
          <w:lang w:val="en-US" w:eastAsia="ja-JP"/>
        </w:rPr>
        <w:tab/>
      </w:r>
      <w:r w:rsidR="00644CBB">
        <w:rPr>
          <w:rFonts w:eastAsia="MS Mincho"/>
          <w:lang w:val="en-US" w:eastAsia="ja-JP"/>
        </w:rPr>
        <w:t>New example for portable tanks and multi-element gas containers (MEGC’s)</w:t>
      </w:r>
    </w:p>
    <w:p w14:paraId="517265D1" w14:textId="77777777" w:rsidR="00B11E5C" w:rsidRDefault="00B11E5C" w:rsidP="00B11E5C">
      <w:pPr>
        <w:pStyle w:val="H1G"/>
      </w:pPr>
      <w:r>
        <w:tab/>
      </w:r>
      <w:r>
        <w:tab/>
        <w:t xml:space="preserve">Transmitted by the </w:t>
      </w:r>
      <w:r w:rsidR="00644CBB">
        <w:t>Dangerous Goods Advisory Council (DGAC</w:t>
      </w:r>
      <w:r>
        <w:t>)</w:t>
      </w:r>
    </w:p>
    <w:p w14:paraId="2CB8D74C" w14:textId="77777777" w:rsidR="00B11E5C" w:rsidRDefault="00B11E5C" w:rsidP="00E97D2D">
      <w:pPr>
        <w:pStyle w:val="HChG"/>
        <w:spacing w:before="240"/>
        <w:rPr>
          <w:rFonts w:eastAsia="MS Mincho"/>
          <w:sz w:val="20"/>
        </w:rPr>
      </w:pPr>
      <w:r>
        <w:rPr>
          <w:rFonts w:eastAsia="MS Mincho"/>
        </w:rPr>
        <w:tab/>
      </w:r>
      <w:r>
        <w:rPr>
          <w:rFonts w:eastAsia="MS Mincho"/>
        </w:rPr>
        <w:tab/>
        <w:t>Background</w:t>
      </w:r>
    </w:p>
    <w:p w14:paraId="4A284651" w14:textId="221C1AC2" w:rsidR="00262946" w:rsidRDefault="00BF7199" w:rsidP="00BF7199">
      <w:pPr>
        <w:pStyle w:val="SingleTxtG"/>
      </w:pPr>
      <w:r>
        <w:t>1.</w:t>
      </w:r>
      <w:r>
        <w:tab/>
      </w:r>
      <w:r w:rsidR="00F52602">
        <w:t>DGAC has submitted</w:t>
      </w:r>
      <w:r w:rsidR="00FC3301">
        <w:t xml:space="preserve"> proposal </w:t>
      </w:r>
      <w:r w:rsidR="00FC3301" w:rsidRPr="00FC3301">
        <w:t>ST/SG/AC.10/C.3/2015/54-ST/SG/AC.10/C.4/2015/11</w:t>
      </w:r>
      <w:r w:rsidR="00FC3301">
        <w:t xml:space="preserve"> for the 48</w:t>
      </w:r>
      <w:r w:rsidR="00FC3301" w:rsidRPr="00FC3301">
        <w:rPr>
          <w:vertAlign w:val="superscript"/>
        </w:rPr>
        <w:t>th</w:t>
      </w:r>
      <w:r w:rsidR="00FC3301">
        <w:t xml:space="preserve"> session of the Sub-Committee of Experts on the Transport of Dangerous Goods. This proposal </w:t>
      </w:r>
      <w:r w:rsidR="00262946">
        <w:t>deals with “</w:t>
      </w:r>
      <w:r w:rsidR="00262946" w:rsidRPr="00262946">
        <w:t>Prohibition in transport of non-transport GHS pictograms when not in a complete GHS label</w:t>
      </w:r>
      <w:r w:rsidR="00262946">
        <w:t xml:space="preserve">”. It </w:t>
      </w:r>
      <w:r w:rsidR="00FC3301">
        <w:t xml:space="preserve">would add a note to the UN Model Regulations to reference new GHS section 1.4.10.4.4. </w:t>
      </w:r>
      <w:r w:rsidR="00262946">
        <w:t xml:space="preserve">The </w:t>
      </w:r>
      <w:r w:rsidR="00E9433B">
        <w:t xml:space="preserve">underlying </w:t>
      </w:r>
      <w:r w:rsidR="00262946">
        <w:t xml:space="preserve">purpose is to </w:t>
      </w:r>
      <w:r w:rsidR="00E9433B">
        <w:t>increase clarity for</w:t>
      </w:r>
      <w:r w:rsidR="00262946">
        <w:t xml:space="preserve"> </w:t>
      </w:r>
      <w:r w:rsidR="00E9433B">
        <w:t xml:space="preserve">enforcement of proper </w:t>
      </w:r>
      <w:r w:rsidR="00262946">
        <w:t xml:space="preserve">GHS </w:t>
      </w:r>
      <w:proofErr w:type="spellStart"/>
      <w:r w:rsidR="00262946">
        <w:t>labeling</w:t>
      </w:r>
      <w:proofErr w:type="spellEnd"/>
      <w:r w:rsidR="00262946">
        <w:t xml:space="preserve"> </w:t>
      </w:r>
      <w:r w:rsidR="00E9433B">
        <w:t>on</w:t>
      </w:r>
      <w:r w:rsidR="00262946">
        <w:t xml:space="preserve"> portable tanks and MEGC’s </w:t>
      </w:r>
      <w:r w:rsidR="00E9433B">
        <w:t xml:space="preserve">when present </w:t>
      </w:r>
      <w:r w:rsidR="00262946">
        <w:t>during transport</w:t>
      </w:r>
      <w:r w:rsidR="00E9433B">
        <w:t>. U</w:t>
      </w:r>
      <w:r w:rsidR="00262946">
        <w:t xml:space="preserve">nlike other transport conveyances, </w:t>
      </w:r>
      <w:r w:rsidR="00E9433B">
        <w:t xml:space="preserve">these </w:t>
      </w:r>
      <w:r w:rsidR="00262946">
        <w:t>are not</w:t>
      </w:r>
      <w:r w:rsidR="00D74F78">
        <w:t xml:space="preserve"> </w:t>
      </w:r>
      <w:proofErr w:type="gramStart"/>
      <w:r w:rsidR="00262946">
        <w:t>excepted</w:t>
      </w:r>
      <w:proofErr w:type="gramEnd"/>
      <w:r w:rsidR="00262946">
        <w:t xml:space="preserve"> fro</w:t>
      </w:r>
      <w:r w:rsidR="00E9433B">
        <w:t>m GHS requirements during transport</w:t>
      </w:r>
      <w:r w:rsidR="005F7875">
        <w:t>, and national requirements vary.</w:t>
      </w:r>
      <w:r w:rsidR="00262946">
        <w:t xml:space="preserve"> </w:t>
      </w:r>
    </w:p>
    <w:p w14:paraId="061E64C0" w14:textId="248B4E95" w:rsidR="00644CBB" w:rsidRDefault="00482FBD" w:rsidP="00482FBD">
      <w:pPr>
        <w:pStyle w:val="SingleTxtG"/>
        <w:spacing w:after="100"/>
      </w:pPr>
      <w:r>
        <w:t>2.</w:t>
      </w:r>
      <w:r>
        <w:tab/>
      </w:r>
      <w:r w:rsidR="00262946">
        <w:t>In addition to the note proposed for TDG,</w:t>
      </w:r>
      <w:r w:rsidR="00D74F78">
        <w:t xml:space="preserve"> </w:t>
      </w:r>
      <w:r w:rsidR="00FC3301">
        <w:t xml:space="preserve">a recommendation was made </w:t>
      </w:r>
      <w:r w:rsidR="00262946">
        <w:t xml:space="preserve">during the discussion at the last session of TDG </w:t>
      </w:r>
      <w:r w:rsidR="00FC3301">
        <w:t xml:space="preserve">to include a new example in </w:t>
      </w:r>
      <w:r w:rsidR="00262946">
        <w:t xml:space="preserve">GHS </w:t>
      </w:r>
      <w:r w:rsidR="00FC3301">
        <w:t xml:space="preserve">Annex 7 for portable tanks and MEGC’s. This would illustrate the </w:t>
      </w:r>
      <w:r w:rsidR="00262946">
        <w:t xml:space="preserve">possible </w:t>
      </w:r>
      <w:r w:rsidR="00FC3301">
        <w:t>approach</w:t>
      </w:r>
      <w:r w:rsidR="00262946">
        <w:t xml:space="preserve">es to GHS </w:t>
      </w:r>
      <w:proofErr w:type="spellStart"/>
      <w:r w:rsidR="00262946">
        <w:t>labeling</w:t>
      </w:r>
      <w:proofErr w:type="spellEnd"/>
      <w:r w:rsidR="00262946">
        <w:t xml:space="preserve"> of these conveyances, which are currently not addressed by any examples.</w:t>
      </w:r>
      <w:r w:rsidR="005F7875">
        <w:t xml:space="preserve"> This informal proposal includes a draft example for comment which, depending on comments of the Sub-Committee, may be developed into a formal proposal for the next session.</w:t>
      </w:r>
    </w:p>
    <w:p w14:paraId="570BCCA0" w14:textId="77777777" w:rsidR="00B11E5C" w:rsidRPr="00883434" w:rsidRDefault="00883434" w:rsidP="00883434">
      <w:pPr>
        <w:pStyle w:val="HChG"/>
        <w:rPr>
          <w:rFonts w:eastAsia="MS Mincho"/>
        </w:rPr>
      </w:pPr>
      <w:r>
        <w:rPr>
          <w:rFonts w:eastAsia="MS Mincho"/>
        </w:rPr>
        <w:tab/>
      </w:r>
      <w:r>
        <w:rPr>
          <w:rFonts w:eastAsia="MS Mincho"/>
        </w:rPr>
        <w:tab/>
      </w:r>
      <w:r w:rsidR="00E9433B">
        <w:rPr>
          <w:rFonts w:eastAsia="MS Mincho"/>
        </w:rPr>
        <w:t>Discussion</w:t>
      </w:r>
    </w:p>
    <w:p w14:paraId="32AF324A" w14:textId="02A3120C" w:rsidR="00B11E5C" w:rsidRPr="00C47AEE" w:rsidRDefault="00C55DC0" w:rsidP="00C47AEE">
      <w:pPr>
        <w:pStyle w:val="SingleTxtG"/>
        <w:spacing w:after="100"/>
        <w:ind w:left="1710" w:hanging="540"/>
      </w:pPr>
      <w:r>
        <w:t>3</w:t>
      </w:r>
      <w:r w:rsidR="00B11E5C">
        <w:t>.</w:t>
      </w:r>
      <w:r w:rsidR="00B11E5C">
        <w:tab/>
      </w:r>
      <w:r w:rsidR="00C47AEE" w:rsidRPr="00C47AEE">
        <w:t>GHS states</w:t>
      </w:r>
      <w:r w:rsidR="00C47AEE">
        <w:t xml:space="preserve"> in section 1.4.10.5.1:</w:t>
      </w:r>
    </w:p>
    <w:p w14:paraId="23B06168" w14:textId="6FD83BC1" w:rsidR="00C47AEE" w:rsidRPr="00C47AEE" w:rsidRDefault="00C47AEE" w:rsidP="00BF7199">
      <w:pPr>
        <w:pStyle w:val="SingleTxtG"/>
        <w:spacing w:after="100"/>
        <w:ind w:left="1701"/>
      </w:pPr>
      <w:r>
        <w:t xml:space="preserve">“1.4.10.5.1    </w:t>
      </w:r>
      <w:r w:rsidRPr="00C47AEE">
        <w:t xml:space="preserve">Information required for packages covered by the UN Model Regulations on the </w:t>
      </w:r>
      <w:r>
        <w:t xml:space="preserve">Transport </w:t>
      </w:r>
      <w:r w:rsidRPr="00C47AEE">
        <w:t>of</w:t>
      </w:r>
      <w:r>
        <w:t xml:space="preserve"> </w:t>
      </w:r>
      <w:r w:rsidRPr="00C47AEE">
        <w:t>Dangerous Goods</w:t>
      </w:r>
    </w:p>
    <w:p w14:paraId="3435E8DB" w14:textId="4B754984" w:rsidR="00C47AEE" w:rsidRPr="00C47AEE" w:rsidRDefault="00C47AEE" w:rsidP="00137482">
      <w:pPr>
        <w:pStyle w:val="SingleTxtG"/>
        <w:spacing w:after="100"/>
        <w:ind w:left="1701"/>
      </w:pPr>
      <w:r>
        <w:t>…</w:t>
      </w:r>
      <w:r w:rsidRPr="00C47AEE">
        <w:t xml:space="preserve"> The GHS pictograms not required for the transport of dangerous</w:t>
      </w:r>
      <w:r>
        <w:t xml:space="preserve"> </w:t>
      </w:r>
      <w:r w:rsidRPr="00C47AEE">
        <w:t>goods should not be displayed on freight containers, road vehicles or railway wagons/tanks.</w:t>
      </w:r>
      <w:r>
        <w:t>”</w:t>
      </w:r>
    </w:p>
    <w:p w14:paraId="06290C31" w14:textId="4CEA831C" w:rsidR="00E9433B" w:rsidRDefault="00C47AEE" w:rsidP="00C47AEE">
      <w:pPr>
        <w:pStyle w:val="SingleTxtG"/>
        <w:spacing w:after="100"/>
        <w:ind w:left="1701"/>
        <w:rPr>
          <w:lang w:val="en-US" w:eastAsia="zh-CN"/>
        </w:rPr>
      </w:pPr>
      <w:r>
        <w:rPr>
          <w:lang w:val="en-US" w:eastAsia="zh-CN"/>
        </w:rPr>
        <w:t xml:space="preserve">It is inferred from the guidance </w:t>
      </w:r>
      <w:r w:rsidR="00D17368">
        <w:rPr>
          <w:lang w:val="en-US" w:eastAsia="zh-CN"/>
        </w:rPr>
        <w:t>stating</w:t>
      </w:r>
      <w:r>
        <w:rPr>
          <w:lang w:val="en-US" w:eastAsia="zh-CN"/>
        </w:rPr>
        <w:t xml:space="preserve"> pictograms should not be displayed that there </w:t>
      </w:r>
      <w:r w:rsidR="00D17368">
        <w:rPr>
          <w:lang w:val="en-US" w:eastAsia="zh-CN"/>
        </w:rPr>
        <w:t>should also be</w:t>
      </w:r>
      <w:r>
        <w:rPr>
          <w:lang w:val="en-US" w:eastAsia="zh-CN"/>
        </w:rPr>
        <w:t xml:space="preserve"> no label, as a label by defin</w:t>
      </w:r>
      <w:r w:rsidR="00C93BD5">
        <w:rPr>
          <w:lang w:val="en-US" w:eastAsia="zh-CN"/>
        </w:rPr>
        <w:t>ition includes pictogram(s).</w:t>
      </w:r>
    </w:p>
    <w:p w14:paraId="61B334AF" w14:textId="79E630B1" w:rsidR="00C93BD5" w:rsidRDefault="00C55DC0" w:rsidP="00F2013E">
      <w:pPr>
        <w:pStyle w:val="SingleTxtG"/>
        <w:spacing w:after="100"/>
        <w:ind w:firstLine="36"/>
      </w:pPr>
      <w:r>
        <w:t>4</w:t>
      </w:r>
      <w:r w:rsidR="00C93BD5" w:rsidRPr="00C93BD5">
        <w:t xml:space="preserve">. </w:t>
      </w:r>
      <w:r w:rsidR="00C93BD5">
        <w:tab/>
        <w:t xml:space="preserve">Portable tanks and MEGC’s are not included in the exception of 1.4.10.5.1 shown above. In discussions last biennium leading to the adoption of new GHS section 1.4.10.4.4, it was found that this omission was intentional, at least for portable tanks. These are frequently used in facilities after transport where </w:t>
      </w:r>
      <w:proofErr w:type="spellStart"/>
      <w:r w:rsidR="00C93BD5">
        <w:t>labeling</w:t>
      </w:r>
      <w:proofErr w:type="spellEnd"/>
      <w:r w:rsidR="00C93BD5">
        <w:t xml:space="preserve"> is desired. In such cases, the </w:t>
      </w:r>
      <w:proofErr w:type="spellStart"/>
      <w:r w:rsidR="00C93BD5">
        <w:t>labeling</w:t>
      </w:r>
      <w:proofErr w:type="spellEnd"/>
      <w:r w:rsidR="00C93BD5">
        <w:t xml:space="preserve"> may or may not be a complete GHS label, as alternate means of hazard </w:t>
      </w:r>
      <w:r w:rsidR="00C93BD5">
        <w:lastRenderedPageBreak/>
        <w:t xml:space="preserve">communication may be feasible in industrial </w:t>
      </w:r>
      <w:proofErr w:type="gramStart"/>
      <w:r w:rsidR="00C93BD5">
        <w:t>use which are</w:t>
      </w:r>
      <w:proofErr w:type="gramEnd"/>
      <w:r w:rsidR="00C93BD5">
        <w:t xml:space="preserve"> not possible in transport. Therefore 1.4.10.4.4 was made flexible and only states:</w:t>
      </w:r>
    </w:p>
    <w:p w14:paraId="32F8FD7C" w14:textId="5FF2058F" w:rsidR="00C93BD5" w:rsidRDefault="00C93BD5" w:rsidP="00F2013E">
      <w:pPr>
        <w:pStyle w:val="SingleTxtG"/>
        <w:spacing w:after="100"/>
        <w:ind w:left="1710" w:hanging="9"/>
      </w:pPr>
      <w:r>
        <w:rPr>
          <w:rFonts w:ascii="TimesNewRomanPSMT" w:hAnsi="TimesNewRomanPSMT" w:cs="TimesNewRomanPSMT"/>
          <w:lang w:val="en-US" w:eastAsia="zh-CN"/>
        </w:rPr>
        <w:t xml:space="preserve">“1.4.10.4.4 </w:t>
      </w:r>
      <w:r>
        <w:rPr>
          <w:rFonts w:ascii="TimesNewRomanPSMT" w:hAnsi="TimesNewRomanPSMT" w:cs="TimesNewRomanPSMT"/>
          <w:i/>
          <w:iCs/>
          <w:lang w:val="en-US" w:eastAsia="zh-CN"/>
        </w:rPr>
        <w:t>Use of GHS pictograms in transport</w:t>
      </w:r>
    </w:p>
    <w:p w14:paraId="526377CA" w14:textId="1C9E83B7" w:rsidR="00C93BD5" w:rsidRDefault="00C93BD5" w:rsidP="00F2013E">
      <w:pPr>
        <w:pStyle w:val="SingleTxtG"/>
        <w:spacing w:after="100"/>
        <w:ind w:left="1701"/>
      </w:pPr>
      <w:r w:rsidRPr="00C93BD5">
        <w:t>In transport, a GHS pictogram not required by the UN Model Regulations on the Transport of</w:t>
      </w:r>
      <w:r>
        <w:t xml:space="preserve"> </w:t>
      </w:r>
      <w:r w:rsidRPr="00C93BD5">
        <w:t>Dangerous Goods, Model Regulations should only appear as part of a complete GHS label (see 1.4.10.5.4.1) and not</w:t>
      </w:r>
      <w:r>
        <w:t xml:space="preserve"> </w:t>
      </w:r>
      <w:r w:rsidRPr="00C93BD5">
        <w:t>independently.</w:t>
      </w:r>
      <w:r>
        <w:t>”</w:t>
      </w:r>
    </w:p>
    <w:p w14:paraId="2BC98CD0" w14:textId="1352DA4F" w:rsidR="00C93BD5" w:rsidRDefault="00C93BD5" w:rsidP="00C93BD5">
      <w:pPr>
        <w:pStyle w:val="SingleTxtG"/>
        <w:spacing w:after="100"/>
        <w:ind w:left="1701"/>
      </w:pPr>
      <w:r>
        <w:t>This is intended to eliminate the use of “GHS placards”, meaning a pictogram of identical size to transport placards, but with no other GHS label elements, the use of which could impede transport due to uncontrolled development of non-harmonized requirements covering this voluntary approach.</w:t>
      </w:r>
    </w:p>
    <w:p w14:paraId="15FFCA6F" w14:textId="1D1459A1" w:rsidR="00C93BD5" w:rsidRDefault="00C55DC0" w:rsidP="00F2013E">
      <w:pPr>
        <w:pStyle w:val="SingleTxtG"/>
        <w:spacing w:after="100"/>
        <w:ind w:firstLine="36"/>
      </w:pPr>
      <w:r>
        <w:t>5</w:t>
      </w:r>
      <w:r w:rsidR="00DF4345">
        <w:t>.</w:t>
      </w:r>
      <w:r w:rsidR="00DF4345">
        <w:tab/>
        <w:t xml:space="preserve">In practice, </w:t>
      </w:r>
      <w:r>
        <w:t>mandatory implementations of GHS</w:t>
      </w:r>
      <w:r w:rsidR="00DF4345">
        <w:t xml:space="preserve"> do not require GHS labels </w:t>
      </w:r>
      <w:r w:rsidR="003B7241">
        <w:t xml:space="preserve">on </w:t>
      </w:r>
      <w:r w:rsidR="00DF4345">
        <w:t xml:space="preserve">portable tanks in transport. One regional regulation has issued guidance that portable tanks are not single packages or packages at all, and are therefore </w:t>
      </w:r>
      <w:proofErr w:type="gramStart"/>
      <w:r w:rsidR="00DF4345">
        <w:t>excepted</w:t>
      </w:r>
      <w:proofErr w:type="gramEnd"/>
      <w:r w:rsidR="00DF4345">
        <w:t xml:space="preserve"> in transport. </w:t>
      </w:r>
      <w:r w:rsidR="0061088B">
        <w:t>Alternatively</w:t>
      </w:r>
      <w:r w:rsidR="00DF4345">
        <w:t xml:space="preserve">, some workplace regulations exempt transport totally, but may come into force directly after transport. Therefore it may be desirable to not use GHS labels on portable tanks through multiple jurisdictions, where varying regulations and </w:t>
      </w:r>
      <w:r>
        <w:t>many</w:t>
      </w:r>
      <w:r w:rsidR="00DF4345">
        <w:t xml:space="preserve"> languages render </w:t>
      </w:r>
      <w:proofErr w:type="spellStart"/>
      <w:r w:rsidR="00DF4345">
        <w:t>labeling</w:t>
      </w:r>
      <w:proofErr w:type="spellEnd"/>
      <w:r w:rsidR="00DF4345">
        <w:t xml:space="preserve"> unfeasible. Alternatively, for transport within a single mono-lingual jurisdiction an efficient approach to compliance in the workplace may necessitate </w:t>
      </w:r>
      <w:proofErr w:type="spellStart"/>
      <w:r w:rsidR="00DF4345">
        <w:t>labeling</w:t>
      </w:r>
      <w:proofErr w:type="spellEnd"/>
      <w:r w:rsidR="00DF4345">
        <w:t xml:space="preserve"> during transport. This latter approach is likely to take the form of a mono-lingual tag at the discharge valve.</w:t>
      </w:r>
    </w:p>
    <w:p w14:paraId="752A0E73" w14:textId="55261C59" w:rsidR="00EE1F95" w:rsidRDefault="00E94D08" w:rsidP="00F2013E">
      <w:pPr>
        <w:pStyle w:val="SingleTxtG"/>
        <w:spacing w:after="100"/>
        <w:ind w:firstLine="36"/>
      </w:pPr>
      <w:r>
        <w:t>6</w:t>
      </w:r>
      <w:r w:rsidR="00C55DC0">
        <w:t>.</w:t>
      </w:r>
      <w:r w:rsidR="00C55DC0">
        <w:tab/>
      </w:r>
      <w:r>
        <w:t>Given this variety of options, further guidance in the form of examples might be helpful. While t</w:t>
      </w:r>
      <w:r w:rsidR="00C55DC0">
        <w:t>he examples in GHS Annex 7 include combination</w:t>
      </w:r>
      <w:r>
        <w:t xml:space="preserve"> packages and single packages, p</w:t>
      </w:r>
      <w:r w:rsidR="00C55DC0">
        <w:t>ortable tanks and MEGC’s are not addressed.</w:t>
      </w:r>
      <w:r>
        <w:t xml:space="preserve"> DGAC provides a draft example in case the Sub-Committee may think it useful to provide guidance. This draft uses Example 2 as the beginning basis for format and content. This proposed example only addresses dangerous goods. In keeping with the </w:t>
      </w:r>
      <w:r w:rsidR="00E5602F">
        <w:t xml:space="preserve">structure </w:t>
      </w:r>
      <w:r>
        <w:t>of Annex</w:t>
      </w:r>
      <w:r w:rsidR="00E5602F">
        <w:t xml:space="preserve"> 7</w:t>
      </w:r>
      <w:r>
        <w:t xml:space="preserve">, an example for non-dangerous goods would be separate. </w:t>
      </w:r>
    </w:p>
    <w:p w14:paraId="69794850" w14:textId="6CD80CB0" w:rsidR="00EE1F95" w:rsidRPr="002B73FA" w:rsidRDefault="00EE1F95" w:rsidP="002B73FA">
      <w:pPr>
        <w:pStyle w:val="HChG"/>
        <w:spacing w:before="240"/>
        <w:ind w:left="2268"/>
        <w:rPr>
          <w:rFonts w:eastAsia="MS Mincho"/>
        </w:rPr>
      </w:pPr>
      <w:r w:rsidRPr="002B73FA">
        <w:rPr>
          <w:rFonts w:eastAsia="MS Mincho"/>
        </w:rPr>
        <w:t>Definition of Container</w:t>
      </w:r>
    </w:p>
    <w:p w14:paraId="6CBF1371" w14:textId="77777777" w:rsidR="00EE1F95" w:rsidRDefault="00EE1F95" w:rsidP="00F2013E">
      <w:pPr>
        <w:pStyle w:val="SingleTxtG"/>
        <w:spacing w:after="100"/>
        <w:ind w:firstLine="36"/>
      </w:pPr>
      <w:r>
        <w:t>7.</w:t>
      </w:r>
      <w:r>
        <w:tab/>
      </w:r>
      <w:r w:rsidRPr="00EE1F95">
        <w:t>During development of this proposal, it came to our a</w:t>
      </w:r>
      <w:r>
        <w:t xml:space="preserve">ttention that the definition of </w:t>
      </w:r>
      <w:r w:rsidRPr="00EE1F95">
        <w:t xml:space="preserve">container includes portable tank, which is contrary to </w:t>
      </w:r>
      <w:r>
        <w:t>the</w:t>
      </w:r>
      <w:r w:rsidRPr="00EE1F95">
        <w:t xml:space="preserve"> previous understanding</w:t>
      </w:r>
      <w:r>
        <w:t xml:space="preserve"> of the Sub-Committee</w:t>
      </w:r>
      <w:r w:rsidRPr="00EE1F95">
        <w:t xml:space="preserve">. </w:t>
      </w:r>
    </w:p>
    <w:p w14:paraId="60B4A9D3" w14:textId="17F87DFE" w:rsidR="00EE1F95" w:rsidRDefault="00EE1F95" w:rsidP="00F2013E">
      <w:pPr>
        <w:pStyle w:val="SingleTxtG"/>
        <w:spacing w:after="100"/>
        <w:ind w:firstLine="36"/>
      </w:pPr>
      <w:r>
        <w:t>8.</w:t>
      </w:r>
      <w:r>
        <w:tab/>
      </w:r>
      <w:r w:rsidRPr="00EE1F95">
        <w:t xml:space="preserve">According to ISO 1496, freight containers include tank containers for liquids, gases and pressurized dry cargo (ISO 1496-3). The UN Model Regulations do not exclude portable tanks nor </w:t>
      </w:r>
      <w:proofErr w:type="gramStart"/>
      <w:r w:rsidRPr="00EE1F95">
        <w:t>MEGCs from the de</w:t>
      </w:r>
      <w:r w:rsidR="00D74F78">
        <w:t xml:space="preserve">finition of freight containers, </w:t>
      </w:r>
      <w:r w:rsidRPr="00EE1F95">
        <w:t>and the definitions of</w:t>
      </w:r>
      <w:r w:rsidR="00D74F78">
        <w:t xml:space="preserve"> </w:t>
      </w:r>
      <w:r w:rsidRPr="00EE1F95">
        <w:t>portable tanks and MEGCs do</w:t>
      </w:r>
      <w:proofErr w:type="gramEnd"/>
      <w:r w:rsidRPr="00EE1F95">
        <w:t xml:space="preserve"> not exclude freight containers. The </w:t>
      </w:r>
      <w:proofErr w:type="gramStart"/>
      <w:r w:rsidRPr="00EE1F95">
        <w:t>definition of portable tanks only exclude</w:t>
      </w:r>
      <w:proofErr w:type="gramEnd"/>
      <w:r w:rsidRPr="00EE1F95">
        <w:t xml:space="preserve"> road tank vehicles, tank wagons, non-metallic tanks, gas cylinders, large receptacles, and IBCs. The specific reference to non-metallic tanks seems to imply in fact, a </w:t>
      </w:r>
      <w:proofErr w:type="spellStart"/>
      <w:r w:rsidRPr="00EE1F95">
        <w:t>contrario</w:t>
      </w:r>
      <w:proofErr w:type="spellEnd"/>
      <w:r w:rsidRPr="00EE1F95">
        <w:t xml:space="preserve">, that metallic tanks may be covered by the definition of freight containers. Furthermore, para 6.7.1.1 of the UN Model Regulations </w:t>
      </w:r>
      <w:r w:rsidR="00AB25C6">
        <w:t xml:space="preserve">references the </w:t>
      </w:r>
      <w:r w:rsidR="00AB25C6" w:rsidRPr="00AB25C6">
        <w:t xml:space="preserve">International Convention for Safe Containers (CSC), </w:t>
      </w:r>
      <w:r w:rsidR="00AB25C6">
        <w:t>(</w:t>
      </w:r>
      <w:r w:rsidR="00AB25C6" w:rsidRPr="00AB25C6">
        <w:t>1972, as amended</w:t>
      </w:r>
      <w:r w:rsidR="00AB25C6">
        <w:t>)</w:t>
      </w:r>
      <w:r w:rsidR="00AB25C6" w:rsidRPr="00AB25C6">
        <w:t>,</w:t>
      </w:r>
      <w:r w:rsidR="00AB25C6">
        <w:t xml:space="preserve"> and </w:t>
      </w:r>
      <w:r w:rsidRPr="00EE1F95">
        <w:t xml:space="preserve">specifies that portable tanks and MEGCs that meet the definition of  containers </w:t>
      </w:r>
      <w:r w:rsidR="00AB25C6">
        <w:t>in the CSC</w:t>
      </w:r>
      <w:r w:rsidRPr="00EE1F95">
        <w:t xml:space="preserve"> must comply with the relevant provisions of the CSC. </w:t>
      </w:r>
    </w:p>
    <w:p w14:paraId="5519483A" w14:textId="37AE8818" w:rsidR="003E6B4C" w:rsidRDefault="00EE1F95" w:rsidP="00F2013E">
      <w:pPr>
        <w:pStyle w:val="SingleTxtG"/>
        <w:spacing w:after="100"/>
        <w:ind w:firstLine="36"/>
      </w:pPr>
      <w:r>
        <w:t>9.</w:t>
      </w:r>
      <w:r>
        <w:tab/>
      </w:r>
      <w:r w:rsidRPr="00EE1F95">
        <w:t>Therefore the Sub-Committee may wish to consider a new paragraph 1.4.10.5.5.4 shown in the proposal section of this paper, as a companion to the proposed example.</w:t>
      </w:r>
      <w:r>
        <w:t xml:space="preserve"> </w:t>
      </w:r>
      <w:r w:rsidR="003E6B4C">
        <w:t xml:space="preserve">In light of the </w:t>
      </w:r>
      <w:r w:rsidR="00780E99">
        <w:t xml:space="preserve">Sub-Committee’s </w:t>
      </w:r>
      <w:r w:rsidR="003E6B4C">
        <w:t xml:space="preserve">desire to require full or partial GHS labels </w:t>
      </w:r>
      <w:r w:rsidR="00780E99">
        <w:t xml:space="preserve">on tanks </w:t>
      </w:r>
      <w:r w:rsidR="003E6B4C">
        <w:t xml:space="preserve">in use, a tag is now </w:t>
      </w:r>
      <w:r w:rsidR="00780E99">
        <w:t>proposed as mandatory</w:t>
      </w:r>
      <w:r w:rsidR="00E8231C">
        <w:t>, so that as a convenience and insurance of compliance, it will already be present at the point the tank transfers from transport to use</w:t>
      </w:r>
      <w:r w:rsidR="00780E99">
        <w:t xml:space="preserve">. </w:t>
      </w:r>
      <w:r w:rsidR="00E8231C">
        <w:t xml:space="preserve">Valid </w:t>
      </w:r>
      <w:r w:rsidR="00780E99">
        <w:t>c</w:t>
      </w:r>
      <w:r w:rsidR="003E6B4C">
        <w:t xml:space="preserve">oncerns </w:t>
      </w:r>
      <w:r w:rsidR="00E8231C">
        <w:t xml:space="preserve">were previously </w:t>
      </w:r>
      <w:r w:rsidR="003E6B4C">
        <w:t xml:space="preserve">voiced about multi-lingual requirements and the resulting impracticality of </w:t>
      </w:r>
      <w:r w:rsidR="003E6B4C">
        <w:lastRenderedPageBreak/>
        <w:t>tags</w:t>
      </w:r>
      <w:r w:rsidR="00E8231C">
        <w:t xml:space="preserve">. This has been addressed by </w:t>
      </w:r>
      <w:r w:rsidR="003E6B4C">
        <w:t xml:space="preserve">limiting </w:t>
      </w:r>
      <w:r w:rsidR="00780E99">
        <w:t>the warnings on the tag to</w:t>
      </w:r>
      <w:r w:rsidR="003E6B4C">
        <w:t xml:space="preserve"> the language(s) of </w:t>
      </w:r>
      <w:r w:rsidR="00780E99">
        <w:t>the destination</w:t>
      </w:r>
      <w:r w:rsidR="003E6B4C">
        <w:t xml:space="preserve"> state. </w:t>
      </w:r>
    </w:p>
    <w:p w14:paraId="1A8CB35A" w14:textId="5515A1CA" w:rsidR="00F57075" w:rsidRDefault="003E6B4C" w:rsidP="00F2013E">
      <w:pPr>
        <w:pStyle w:val="SingleTxtG"/>
        <w:spacing w:after="100"/>
        <w:ind w:firstLine="36"/>
      </w:pPr>
      <w:r>
        <w:t>10.</w:t>
      </w:r>
      <w:r>
        <w:tab/>
        <w:t xml:space="preserve">As </w:t>
      </w:r>
      <w:r w:rsidR="00F57075">
        <w:t xml:space="preserve">the addition of this new text would </w:t>
      </w:r>
      <w:r w:rsidR="000B77A4">
        <w:t xml:space="preserve">represent </w:t>
      </w:r>
      <w:r>
        <w:t>a change</w:t>
      </w:r>
      <w:r w:rsidR="00E8231C">
        <w:t xml:space="preserve"> rather than just an example of existing practice</w:t>
      </w:r>
      <w:r>
        <w:t>, we propose two options</w:t>
      </w:r>
      <w:r w:rsidR="009A67D5">
        <w:t xml:space="preserve">. The first </w:t>
      </w:r>
      <w:r w:rsidR="00E8231C">
        <w:t xml:space="preserve">option </w:t>
      </w:r>
      <w:r w:rsidR="009A67D5">
        <w:t xml:space="preserve">would be the example without this new </w:t>
      </w:r>
      <w:r w:rsidR="00F57075">
        <w:t>change, leaving the tag optional</w:t>
      </w:r>
      <w:r w:rsidR="009A67D5">
        <w:t xml:space="preserve">. The second option is to add the paragraph and eliminate </w:t>
      </w:r>
      <w:r>
        <w:t>the asterisks and notes in the example</w:t>
      </w:r>
      <w:r w:rsidR="00F57075">
        <w:t>, thus making the tag mandatory</w:t>
      </w:r>
      <w:r w:rsidR="009A67D5">
        <w:t xml:space="preserve">. The </w:t>
      </w:r>
      <w:r>
        <w:t xml:space="preserve">graphic </w:t>
      </w:r>
      <w:r w:rsidR="00E8231C">
        <w:t xml:space="preserve">in the example </w:t>
      </w:r>
      <w:r w:rsidR="009A67D5">
        <w:t>remains the same in either option</w:t>
      </w:r>
      <w:r>
        <w:t>.</w:t>
      </w:r>
      <w:r w:rsidR="00F57075">
        <w:t xml:space="preserve"> </w:t>
      </w:r>
    </w:p>
    <w:p w14:paraId="00CE132B" w14:textId="321A597A" w:rsidR="00EE1F95" w:rsidRPr="00C93BD5" w:rsidRDefault="00F57075" w:rsidP="00F2013E">
      <w:pPr>
        <w:pStyle w:val="SingleTxtG"/>
        <w:spacing w:after="100"/>
        <w:ind w:firstLine="36"/>
      </w:pPr>
      <w:r>
        <w:t xml:space="preserve">11. </w:t>
      </w:r>
      <w:r>
        <w:tab/>
        <w:t>DGAC believes it is important to resolve the issues</w:t>
      </w:r>
      <w:r w:rsidR="00D74F78">
        <w:t xml:space="preserve"> of GHS </w:t>
      </w:r>
      <w:proofErr w:type="spellStart"/>
      <w:r w:rsidR="00D74F78">
        <w:t>labeling</w:t>
      </w:r>
      <w:proofErr w:type="spellEnd"/>
      <w:r w:rsidR="00D74F78">
        <w:t xml:space="preserve"> of </w:t>
      </w:r>
      <w:r>
        <w:t>portable tanks</w:t>
      </w:r>
      <w:r w:rsidR="00D74F78">
        <w:t xml:space="preserve"> </w:t>
      </w:r>
      <w:r>
        <w:t>in</w:t>
      </w:r>
      <w:r w:rsidR="00D74F78">
        <w:t xml:space="preserve"> </w:t>
      </w:r>
      <w:r>
        <w:t xml:space="preserve">the current biennium to avoid delay and denial in transport from inconsistent implementations. As this is the second meeting of the biennium, we thought it best to mention this development for the consideration of the Sub-Committee, and return with a </w:t>
      </w:r>
      <w:r w:rsidR="00E8231C">
        <w:t>vetted</w:t>
      </w:r>
      <w:r>
        <w:t xml:space="preserve"> proposal next session.</w:t>
      </w:r>
    </w:p>
    <w:p w14:paraId="286C891F" w14:textId="37E75A50" w:rsidR="009A67D5" w:rsidRPr="00F2013E" w:rsidRDefault="00883434" w:rsidP="00F2013E">
      <w:pPr>
        <w:pStyle w:val="HChG"/>
        <w:spacing w:before="240"/>
        <w:rPr>
          <w:rFonts w:eastAsia="MS Mincho"/>
        </w:rPr>
      </w:pPr>
      <w:r>
        <w:rPr>
          <w:rFonts w:eastAsia="MS Mincho"/>
        </w:rPr>
        <w:tab/>
      </w:r>
      <w:r>
        <w:rPr>
          <w:rFonts w:eastAsia="MS Mincho"/>
        </w:rPr>
        <w:tab/>
      </w:r>
      <w:r w:rsidR="00B11E5C" w:rsidRPr="00883434">
        <w:rPr>
          <w:rFonts w:eastAsia="MS Mincho"/>
        </w:rPr>
        <w:t>Action requested</w:t>
      </w:r>
    </w:p>
    <w:p w14:paraId="79BBA7A6" w14:textId="1B58773E" w:rsidR="00EE1F95" w:rsidRDefault="00F57075" w:rsidP="00F2013E">
      <w:pPr>
        <w:pStyle w:val="SingleTxtG"/>
      </w:pPr>
      <w:r>
        <w:t>12</w:t>
      </w:r>
      <w:r w:rsidR="00EE1F95">
        <w:t>.</w:t>
      </w:r>
      <w:r w:rsidR="00EE1F95">
        <w:tab/>
        <w:t>The Sub-Committee may wish to consider further development of one of the following proposals</w:t>
      </w:r>
      <w:r>
        <w:t xml:space="preserve"> for adoption at a future session in this biennium</w:t>
      </w:r>
      <w:r w:rsidR="00EE1F95">
        <w:t>.</w:t>
      </w:r>
    </w:p>
    <w:p w14:paraId="1AA0498C" w14:textId="77777777" w:rsidR="00F2013E" w:rsidRDefault="00F57075" w:rsidP="00F2013E">
      <w:pPr>
        <w:pStyle w:val="SingleTxtG"/>
        <w:ind w:left="1701" w:hanging="567"/>
        <w:jc w:val="left"/>
      </w:pPr>
      <w:r>
        <w:t>13</w:t>
      </w:r>
      <w:r w:rsidR="00EE1F95">
        <w:t xml:space="preserve">. </w:t>
      </w:r>
      <w:r w:rsidR="00EE1F95">
        <w:tab/>
        <w:t xml:space="preserve">Option 1 </w:t>
      </w:r>
    </w:p>
    <w:p w14:paraId="4C6B0714" w14:textId="5770BEE7" w:rsidR="00EE1F95" w:rsidRDefault="00F2013E" w:rsidP="00F2013E">
      <w:pPr>
        <w:pStyle w:val="SingleTxtG"/>
        <w:spacing w:after="0"/>
        <w:ind w:left="1701" w:hanging="567"/>
        <w:jc w:val="left"/>
      </w:pPr>
      <w:r>
        <w:tab/>
      </w:r>
      <w:r w:rsidR="00EE1F95">
        <w:t>Adopt the example shown in the following Annex</w:t>
      </w:r>
      <w:r w:rsidR="00F57075">
        <w:t>.</w:t>
      </w:r>
    </w:p>
    <w:p w14:paraId="05A4D897" w14:textId="77777777" w:rsidR="00F2013E" w:rsidRDefault="00F57075" w:rsidP="00F2013E">
      <w:pPr>
        <w:pStyle w:val="SingleTxtG"/>
        <w:spacing w:before="120"/>
        <w:ind w:left="1701" w:hanging="567"/>
        <w:jc w:val="left"/>
      </w:pPr>
      <w:r>
        <w:t>14</w:t>
      </w:r>
      <w:r w:rsidR="00EE1F95">
        <w:t>.</w:t>
      </w:r>
      <w:r w:rsidR="00EE1F95">
        <w:tab/>
        <w:t>Option</w:t>
      </w:r>
      <w:r w:rsidR="00017821">
        <w:t xml:space="preserve"> </w:t>
      </w:r>
      <w:r w:rsidR="00EE1F95">
        <w:t>2</w:t>
      </w:r>
    </w:p>
    <w:p w14:paraId="0619DE8C" w14:textId="4B4BA743" w:rsidR="00EE1F95" w:rsidRDefault="00F2013E" w:rsidP="00F2013E">
      <w:pPr>
        <w:pStyle w:val="SingleTxtG"/>
        <w:ind w:left="1701" w:hanging="567"/>
        <w:jc w:val="left"/>
      </w:pPr>
      <w:r>
        <w:tab/>
      </w:r>
      <w:r w:rsidR="00EE1F95">
        <w:t xml:space="preserve">a) </w:t>
      </w:r>
      <w:r>
        <w:tab/>
      </w:r>
      <w:r w:rsidR="00EE1F95">
        <w:t xml:space="preserve">Adopt the example in the following Annex but eliminate the asterisks and </w:t>
      </w:r>
      <w:r>
        <w:tab/>
      </w:r>
      <w:r w:rsidR="00EE1F95">
        <w:t>notes.</w:t>
      </w:r>
    </w:p>
    <w:p w14:paraId="7A70A3A5" w14:textId="6657A46C" w:rsidR="00EE1F95" w:rsidRDefault="00EE1F95" w:rsidP="00F2013E">
      <w:pPr>
        <w:pStyle w:val="SingleTxtG"/>
        <w:ind w:left="1701" w:hanging="567"/>
      </w:pPr>
      <w:r>
        <w:tab/>
        <w:t xml:space="preserve">b) </w:t>
      </w:r>
      <w:r w:rsidR="00F2013E">
        <w:tab/>
      </w:r>
      <w:r>
        <w:t>Add a new paragraph as follows to the GHS:</w:t>
      </w:r>
    </w:p>
    <w:p w14:paraId="4E42ED79" w14:textId="77777777" w:rsidR="00EE1F95" w:rsidRPr="0030185B" w:rsidRDefault="00EE1F95" w:rsidP="00EE1F95">
      <w:pPr>
        <w:widowControl w:val="0"/>
        <w:suppressAutoHyphens w:val="0"/>
        <w:autoSpaceDE w:val="0"/>
        <w:autoSpaceDN w:val="0"/>
        <w:adjustRightInd w:val="0"/>
        <w:spacing w:line="240" w:lineRule="auto"/>
        <w:ind w:left="1980"/>
      </w:pPr>
      <w:r w:rsidRPr="0030185B">
        <w:t>1.4.10.5.5.4 Labelling of portable tanks and bulk containers. </w:t>
      </w:r>
    </w:p>
    <w:p w14:paraId="789D1099" w14:textId="057E5172" w:rsidR="00EE1F95" w:rsidRDefault="00EE1F95" w:rsidP="00EE1F95">
      <w:pPr>
        <w:pStyle w:val="SingleTxtG"/>
        <w:spacing w:after="0"/>
        <w:ind w:left="1980"/>
      </w:pPr>
      <w:r w:rsidRPr="0030185B">
        <w:t>The GHS label should be displayed next to the discharge devices of portable tanks and</w:t>
      </w:r>
      <w:r w:rsidR="00D74F78">
        <w:t xml:space="preserve"> </w:t>
      </w:r>
      <w:r w:rsidRPr="0030185B">
        <w:t xml:space="preserve">bulk containers. The language(s) used on the label should be that or those used at the place of discharge. The GHS label may take the form of a tag attached to the discharge device. The GHS label need not be displayed before or during a transport operation. It may be displayed after a transport </w:t>
      </w:r>
      <w:r>
        <w:t>operation and before discharge.</w:t>
      </w:r>
    </w:p>
    <w:p w14:paraId="4A8AC7D6" w14:textId="77777777" w:rsidR="00EE1F95" w:rsidRDefault="00EE1F95" w:rsidP="00E97D2D">
      <w:pPr>
        <w:pStyle w:val="SingleTxtG"/>
        <w:spacing w:after="0"/>
        <w:ind w:left="1701" w:hanging="567"/>
      </w:pPr>
    </w:p>
    <w:p w14:paraId="448181F4" w14:textId="71B03F82" w:rsidR="00E94D08" w:rsidRDefault="00E94D08" w:rsidP="00E97D2D">
      <w:pPr>
        <w:pStyle w:val="SingleTxtG"/>
        <w:spacing w:after="0"/>
        <w:jc w:val="center"/>
        <w:rPr>
          <w:u w:val="single"/>
        </w:rPr>
      </w:pPr>
    </w:p>
    <w:p w14:paraId="12CAD5A7" w14:textId="77777777" w:rsidR="00E94D08" w:rsidRDefault="00E94D08">
      <w:pPr>
        <w:suppressAutoHyphens w:val="0"/>
        <w:spacing w:line="240" w:lineRule="auto"/>
        <w:rPr>
          <w:u w:val="single"/>
        </w:rPr>
      </w:pPr>
      <w:r>
        <w:rPr>
          <w:u w:val="single"/>
        </w:rPr>
        <w:br w:type="page"/>
      </w:r>
    </w:p>
    <w:p w14:paraId="2C4C42E4" w14:textId="4C0623C7" w:rsidR="00E94D08" w:rsidRDefault="00E94D08" w:rsidP="00F2013E">
      <w:pPr>
        <w:pStyle w:val="HChG"/>
        <w:rPr>
          <w:u w:val="single"/>
        </w:rPr>
      </w:pPr>
      <w:r>
        <w:lastRenderedPageBreak/>
        <w:t>A</w:t>
      </w:r>
      <w:r w:rsidR="00F2013E">
        <w:t>nnex</w:t>
      </w:r>
    </w:p>
    <w:p w14:paraId="47D73E85" w14:textId="4DA8F1BF" w:rsidR="00E94D08" w:rsidRDefault="00E94D08" w:rsidP="00E94D08">
      <w:pPr>
        <w:tabs>
          <w:tab w:val="left" w:pos="1480"/>
        </w:tabs>
        <w:spacing w:line="405" w:lineRule="exact"/>
        <w:ind w:left="61"/>
      </w:pPr>
      <w:r>
        <w:rPr>
          <w:b/>
          <w:noProof/>
          <w:color w:val="000000"/>
          <w:w w:val="91"/>
          <w:sz w:val="22"/>
        </w:rPr>
        <w:t>Example</w:t>
      </w:r>
      <w:r>
        <w:rPr>
          <w:rFonts w:ascii="Calibri" w:hAnsi="Calibri" w:cs="Calibri"/>
          <w:b/>
          <w:noProof/>
          <w:color w:val="000000"/>
          <w:w w:val="91"/>
          <w:sz w:val="22"/>
        </w:rPr>
        <w:t>  </w:t>
      </w:r>
      <w:r>
        <w:rPr>
          <w:b/>
          <w:noProof/>
          <w:color w:val="000000"/>
          <w:w w:val="91"/>
          <w:sz w:val="22"/>
        </w:rPr>
        <w:t>X:</w:t>
      </w:r>
      <w:r>
        <w:rPr>
          <w:rFonts w:cs="Calibri"/>
          <w:color w:val="000000"/>
        </w:rPr>
        <w:tab/>
      </w:r>
      <w:r>
        <w:rPr>
          <w:b/>
          <w:noProof/>
          <w:color w:val="000000"/>
          <w:w w:val="91"/>
          <w:sz w:val="22"/>
        </w:rPr>
        <w:t>Portable tanks containing a</w:t>
      </w:r>
      <w:r>
        <w:rPr>
          <w:rFonts w:ascii="Calibri" w:hAnsi="Calibri" w:cs="Calibri"/>
          <w:b/>
          <w:noProof/>
          <w:color w:val="000000"/>
          <w:w w:val="91"/>
          <w:sz w:val="22"/>
        </w:rPr>
        <w:t>  </w:t>
      </w:r>
      <w:r>
        <w:rPr>
          <w:b/>
          <w:noProof/>
          <w:color w:val="000000"/>
          <w:w w:val="91"/>
          <w:sz w:val="22"/>
        </w:rPr>
        <w:t>Category</w:t>
      </w:r>
      <w:r>
        <w:rPr>
          <w:rFonts w:ascii="Calibri" w:hAnsi="Calibri" w:cs="Calibri"/>
          <w:b/>
          <w:noProof/>
          <w:color w:val="000000"/>
          <w:w w:val="91"/>
          <w:sz w:val="22"/>
        </w:rPr>
        <w:t>  </w:t>
      </w:r>
      <w:r>
        <w:rPr>
          <w:b/>
          <w:noProof/>
          <w:color w:val="000000"/>
          <w:w w:val="91"/>
          <w:sz w:val="22"/>
        </w:rPr>
        <w:t>1</w:t>
      </w:r>
      <w:r>
        <w:rPr>
          <w:rFonts w:ascii="Calibri" w:hAnsi="Calibri" w:cs="Calibri"/>
          <w:b/>
          <w:noProof/>
          <w:color w:val="000000"/>
          <w:w w:val="91"/>
          <w:sz w:val="22"/>
        </w:rPr>
        <w:t>  </w:t>
      </w:r>
      <w:r>
        <w:rPr>
          <w:b/>
          <w:noProof/>
          <w:color w:val="000000"/>
          <w:w w:val="91"/>
          <w:sz w:val="22"/>
        </w:rPr>
        <w:t>specific</w:t>
      </w:r>
      <w:r>
        <w:rPr>
          <w:rFonts w:ascii="Calibri" w:hAnsi="Calibri" w:cs="Calibri"/>
          <w:b/>
          <w:noProof/>
          <w:color w:val="000000"/>
          <w:w w:val="91"/>
          <w:sz w:val="22"/>
        </w:rPr>
        <w:t>  </w:t>
      </w:r>
      <w:r>
        <w:rPr>
          <w:b/>
          <w:noProof/>
          <w:color w:val="000000"/>
          <w:w w:val="91"/>
          <w:sz w:val="22"/>
        </w:rPr>
        <w:t>target</w:t>
      </w:r>
      <w:r>
        <w:rPr>
          <w:rFonts w:ascii="Calibri" w:hAnsi="Calibri" w:cs="Calibri"/>
          <w:b/>
          <w:noProof/>
          <w:color w:val="000000"/>
          <w:w w:val="91"/>
          <w:sz w:val="22"/>
        </w:rPr>
        <w:t>  </w:t>
      </w:r>
      <w:r>
        <w:rPr>
          <w:b/>
          <w:noProof/>
          <w:color w:val="000000"/>
          <w:w w:val="91"/>
          <w:sz w:val="22"/>
        </w:rPr>
        <w:t>organ</w:t>
      </w:r>
      <w:r>
        <w:rPr>
          <w:rFonts w:ascii="Calibri" w:hAnsi="Calibri" w:cs="Calibri"/>
          <w:b/>
          <w:noProof/>
          <w:color w:val="000000"/>
          <w:w w:val="91"/>
          <w:sz w:val="22"/>
        </w:rPr>
        <w:t>  </w:t>
      </w:r>
      <w:r>
        <w:rPr>
          <w:b/>
          <w:noProof/>
          <w:color w:val="000000"/>
          <w:w w:val="91"/>
          <w:sz w:val="22"/>
        </w:rPr>
        <w:t>toxicant</w:t>
      </w:r>
      <w:r>
        <w:rPr>
          <w:rFonts w:ascii="Calibri" w:hAnsi="Calibri" w:cs="Calibri"/>
          <w:b/>
          <w:noProof/>
          <w:color w:val="000000"/>
          <w:w w:val="91"/>
          <w:sz w:val="22"/>
        </w:rPr>
        <w:t>  </w:t>
      </w:r>
      <w:r>
        <w:rPr>
          <w:b/>
          <w:noProof/>
          <w:color w:val="000000"/>
          <w:w w:val="91"/>
          <w:sz w:val="22"/>
        </w:rPr>
        <w:t>and</w:t>
      </w:r>
      <w:r>
        <w:rPr>
          <w:rFonts w:ascii="Calibri" w:hAnsi="Calibri" w:cs="Calibri"/>
          <w:b/>
          <w:noProof/>
          <w:color w:val="000000"/>
          <w:w w:val="91"/>
          <w:sz w:val="22"/>
        </w:rPr>
        <w:t>  </w:t>
      </w:r>
      <w:r>
        <w:rPr>
          <w:b/>
          <w:noProof/>
          <w:color w:val="000000"/>
          <w:w w:val="91"/>
          <w:sz w:val="22"/>
        </w:rPr>
        <w:t>Category</w:t>
      </w:r>
      <w:r>
        <w:rPr>
          <w:rFonts w:ascii="Calibri" w:hAnsi="Calibri" w:cs="Calibri"/>
          <w:b/>
          <w:noProof/>
          <w:color w:val="000000"/>
          <w:w w:val="91"/>
          <w:sz w:val="22"/>
        </w:rPr>
        <w:t>  </w:t>
      </w:r>
      <w:r>
        <w:rPr>
          <w:b/>
          <w:noProof/>
          <w:color w:val="000000"/>
          <w:w w:val="91"/>
          <w:sz w:val="22"/>
        </w:rPr>
        <w:t>2</w:t>
      </w:r>
    </w:p>
    <w:p w14:paraId="27863DD3" w14:textId="77777777" w:rsidR="00E94D08" w:rsidRDefault="00E94D08" w:rsidP="00E94D08">
      <w:pPr>
        <w:spacing w:line="254" w:lineRule="exact"/>
        <w:ind w:left="61" w:firstLine="1418"/>
      </w:pPr>
      <w:r>
        <w:rPr>
          <w:b/>
          <w:noProof/>
          <w:color w:val="000000"/>
          <w:w w:val="94"/>
          <w:sz w:val="22"/>
        </w:rPr>
        <w:t>flammable</w:t>
      </w:r>
      <w:r>
        <w:rPr>
          <w:rFonts w:ascii="Calibri" w:hAnsi="Calibri" w:cs="Calibri"/>
          <w:b/>
          <w:noProof/>
          <w:color w:val="000000"/>
          <w:w w:val="94"/>
          <w:sz w:val="22"/>
        </w:rPr>
        <w:t>  </w:t>
      </w:r>
      <w:r>
        <w:rPr>
          <w:b/>
          <w:noProof/>
          <w:color w:val="000000"/>
          <w:w w:val="94"/>
          <w:sz w:val="22"/>
        </w:rPr>
        <w:t>liquid</w:t>
      </w:r>
    </w:p>
    <w:p w14:paraId="63FE8265" w14:textId="77777777" w:rsidR="00E94D08" w:rsidRDefault="00E94D08" w:rsidP="00E94D08">
      <w:pPr>
        <w:spacing w:line="240" w:lineRule="exact"/>
        <w:ind w:left="61" w:firstLine="1418"/>
      </w:pPr>
    </w:p>
    <w:p w14:paraId="35DD461E" w14:textId="22C3E8DF" w:rsidR="00E94D08" w:rsidRDefault="00E94D08" w:rsidP="00E94D08">
      <w:pPr>
        <w:spacing w:line="247" w:lineRule="exact"/>
        <w:ind w:left="61" w:firstLine="1418"/>
        <w:rPr>
          <w:noProof/>
          <w:color w:val="000000"/>
          <w:w w:val="91"/>
          <w:sz w:val="22"/>
        </w:rPr>
      </w:pPr>
      <w:r>
        <w:rPr>
          <w:noProof/>
          <w:color w:val="000000"/>
          <w:w w:val="91"/>
          <w:sz w:val="22"/>
        </w:rPr>
        <w:t>Portable tank</w:t>
      </w:r>
      <w:r>
        <w:rPr>
          <w:rFonts w:ascii="Calibri" w:hAnsi="Calibri" w:cs="Calibri"/>
          <w:noProof/>
          <w:color w:val="000000"/>
          <w:w w:val="91"/>
          <w:sz w:val="22"/>
        </w:rPr>
        <w:t>  </w:t>
      </w:r>
      <w:r>
        <w:rPr>
          <w:noProof/>
          <w:color w:val="000000"/>
          <w:w w:val="91"/>
          <w:sz w:val="22"/>
        </w:rPr>
        <w:t>with</w:t>
      </w:r>
      <w:r>
        <w:rPr>
          <w:rFonts w:ascii="Calibri" w:hAnsi="Calibri" w:cs="Calibri"/>
          <w:noProof/>
          <w:color w:val="000000"/>
          <w:w w:val="91"/>
          <w:sz w:val="22"/>
        </w:rPr>
        <w:t>  </w:t>
      </w:r>
      <w:r>
        <w:rPr>
          <w:noProof/>
          <w:color w:val="000000"/>
          <w:w w:val="91"/>
          <w:sz w:val="22"/>
        </w:rPr>
        <w:t>a</w:t>
      </w:r>
      <w:r>
        <w:rPr>
          <w:rFonts w:ascii="Calibri" w:hAnsi="Calibri" w:cs="Calibri"/>
          <w:noProof/>
          <w:color w:val="000000"/>
          <w:w w:val="91"/>
          <w:sz w:val="22"/>
        </w:rPr>
        <w:t>  </w:t>
      </w:r>
      <w:r>
        <w:rPr>
          <w:noProof/>
          <w:color w:val="000000"/>
          <w:w w:val="91"/>
          <w:sz w:val="22"/>
        </w:rPr>
        <w:t>flammable</w:t>
      </w:r>
      <w:r>
        <w:rPr>
          <w:rFonts w:ascii="Calibri" w:hAnsi="Calibri" w:cs="Calibri"/>
          <w:noProof/>
          <w:color w:val="000000"/>
          <w:w w:val="91"/>
          <w:sz w:val="22"/>
        </w:rPr>
        <w:t>  </w:t>
      </w:r>
      <w:r>
        <w:rPr>
          <w:noProof/>
          <w:color w:val="000000"/>
          <w:w w:val="91"/>
          <w:sz w:val="22"/>
        </w:rPr>
        <w:t>liquid</w:t>
      </w:r>
      <w:r>
        <w:rPr>
          <w:rFonts w:ascii="Calibri" w:hAnsi="Calibri" w:cs="Calibri"/>
          <w:noProof/>
          <w:color w:val="000000"/>
          <w:w w:val="91"/>
          <w:sz w:val="22"/>
        </w:rPr>
        <w:t>  </w:t>
      </w:r>
      <w:r>
        <w:rPr>
          <w:noProof/>
          <w:color w:val="000000"/>
          <w:w w:val="91"/>
          <w:sz w:val="22"/>
        </w:rPr>
        <w:t>transport</w:t>
      </w:r>
      <w:r>
        <w:rPr>
          <w:rFonts w:ascii="Calibri" w:hAnsi="Calibri" w:cs="Calibri"/>
          <w:noProof/>
          <w:color w:val="000000"/>
          <w:w w:val="91"/>
          <w:sz w:val="22"/>
        </w:rPr>
        <w:t>  </w:t>
      </w:r>
      <w:r>
        <w:rPr>
          <w:noProof/>
          <w:color w:val="000000"/>
          <w:w w:val="91"/>
          <w:sz w:val="22"/>
        </w:rPr>
        <w:t>placard*</w:t>
      </w:r>
    </w:p>
    <w:p w14:paraId="34E310C2" w14:textId="29618EE1" w:rsidR="001A375A" w:rsidRDefault="001A375A" w:rsidP="00E94D08">
      <w:pPr>
        <w:spacing w:line="247" w:lineRule="exact"/>
        <w:ind w:left="61" w:firstLine="1418"/>
        <w:rPr>
          <w:noProof/>
          <w:color w:val="000000"/>
          <w:w w:val="91"/>
          <w:sz w:val="22"/>
        </w:rPr>
      </w:pPr>
      <w:r>
        <w:rPr>
          <w:noProof/>
          <w:color w:val="000000"/>
          <w:w w:val="91"/>
          <w:sz w:val="22"/>
        </w:rPr>
        <w:t xml:space="preserve">Outlet valve </w:t>
      </w:r>
      <w:r w:rsidR="009C7805">
        <w:rPr>
          <w:noProof/>
          <w:color w:val="000000"/>
          <w:w w:val="91"/>
          <w:sz w:val="22"/>
        </w:rPr>
        <w:t>with</w:t>
      </w:r>
      <w:r>
        <w:rPr>
          <w:noProof/>
          <w:color w:val="000000"/>
          <w:w w:val="91"/>
          <w:sz w:val="22"/>
        </w:rPr>
        <w:t xml:space="preserve"> </w:t>
      </w:r>
      <w:r w:rsidR="009C7805">
        <w:rPr>
          <w:noProof/>
          <w:color w:val="000000"/>
          <w:w w:val="91"/>
          <w:sz w:val="22"/>
        </w:rPr>
        <w:t xml:space="preserve">a </w:t>
      </w:r>
      <w:r>
        <w:rPr>
          <w:noProof/>
          <w:color w:val="000000"/>
          <w:w w:val="91"/>
          <w:sz w:val="22"/>
        </w:rPr>
        <w:t xml:space="preserve">GHS label </w:t>
      </w:r>
      <w:r w:rsidR="009C7805">
        <w:rPr>
          <w:noProof/>
          <w:color w:val="000000"/>
          <w:w w:val="91"/>
          <w:sz w:val="22"/>
        </w:rPr>
        <w:t>affixed as</w:t>
      </w:r>
      <w:r>
        <w:rPr>
          <w:noProof/>
          <w:color w:val="000000"/>
          <w:w w:val="91"/>
          <w:sz w:val="22"/>
        </w:rPr>
        <w:t xml:space="preserve"> a tag**</w:t>
      </w:r>
    </w:p>
    <w:p w14:paraId="50C97FF6" w14:textId="77777777" w:rsidR="00E94D08" w:rsidRDefault="00E94D08" w:rsidP="00E94D08">
      <w:pPr>
        <w:spacing w:line="247" w:lineRule="exact"/>
        <w:ind w:left="61" w:firstLine="1418"/>
      </w:pPr>
    </w:p>
    <w:p w14:paraId="69014AD8" w14:textId="77777777" w:rsidR="00A05E67" w:rsidRDefault="00A05E67" w:rsidP="00E94D08"/>
    <w:p w14:paraId="71A12731" w14:textId="67D31A4A" w:rsidR="00A05E67" w:rsidRDefault="00375452" w:rsidP="00E94D08">
      <w:r>
        <w:rPr>
          <w:noProof/>
          <w:lang w:eastAsia="en-GB"/>
        </w:rPr>
        <w:drawing>
          <wp:inline distT="0" distB="0" distL="0" distR="0" wp14:anchorId="28A476F4" wp14:editId="137B47F7">
            <wp:extent cx="6120765" cy="5280025"/>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ble.tank.gif"/>
                    <pic:cNvPicPr/>
                  </pic:nvPicPr>
                  <pic:blipFill>
                    <a:blip r:embed="rId9">
                      <a:extLst>
                        <a:ext uri="{28A0092B-C50C-407E-A947-70E740481C1C}">
                          <a14:useLocalDpi xmlns:a14="http://schemas.microsoft.com/office/drawing/2010/main" val="0"/>
                        </a:ext>
                      </a:extLst>
                    </a:blip>
                    <a:stretch>
                      <a:fillRect/>
                    </a:stretch>
                  </pic:blipFill>
                  <pic:spPr>
                    <a:xfrm>
                      <a:off x="0" y="0"/>
                      <a:ext cx="6120765" cy="5280025"/>
                    </a:xfrm>
                    <a:prstGeom prst="rect">
                      <a:avLst/>
                    </a:prstGeom>
                  </pic:spPr>
                </pic:pic>
              </a:graphicData>
            </a:graphic>
          </wp:inline>
        </w:drawing>
      </w:r>
    </w:p>
    <w:p w14:paraId="011B7F89" w14:textId="77777777" w:rsidR="001A375A" w:rsidRDefault="001A375A" w:rsidP="001A375A">
      <w:pPr>
        <w:tabs>
          <w:tab w:val="left" w:pos="402"/>
        </w:tabs>
        <w:spacing w:line="228" w:lineRule="exact"/>
        <w:rPr>
          <w:i/>
          <w:noProof/>
          <w:color w:val="000000"/>
          <w:w w:val="90"/>
        </w:rPr>
      </w:pPr>
    </w:p>
    <w:p w14:paraId="4EEE2E80" w14:textId="77777777" w:rsidR="001A375A" w:rsidRDefault="001A375A" w:rsidP="001A375A">
      <w:pPr>
        <w:pStyle w:val="ListParagraph"/>
        <w:tabs>
          <w:tab w:val="left" w:pos="402"/>
        </w:tabs>
        <w:spacing w:line="228" w:lineRule="exact"/>
        <w:ind w:left="760"/>
        <w:rPr>
          <w:i/>
          <w:noProof/>
          <w:color w:val="000000"/>
          <w:w w:val="90"/>
        </w:rPr>
      </w:pPr>
    </w:p>
    <w:p w14:paraId="00854C30" w14:textId="3DB82457" w:rsidR="001A375A" w:rsidRDefault="001A375A" w:rsidP="001A375A">
      <w:pPr>
        <w:pStyle w:val="ListParagraph"/>
        <w:tabs>
          <w:tab w:val="left" w:pos="402"/>
        </w:tabs>
        <w:spacing w:line="228" w:lineRule="exact"/>
        <w:ind w:left="760"/>
        <w:rPr>
          <w:i/>
          <w:noProof/>
          <w:color w:val="000000"/>
          <w:w w:val="90"/>
        </w:rPr>
      </w:pPr>
      <w:r>
        <w:rPr>
          <w:i/>
          <w:noProof/>
          <w:color w:val="000000"/>
          <w:w w:val="90"/>
        </w:rPr>
        <w:t xml:space="preserve">*     </w:t>
      </w:r>
      <w:r w:rsidRPr="001A375A">
        <w:rPr>
          <w:i/>
          <w:noProof/>
          <w:color w:val="000000"/>
          <w:w w:val="90"/>
        </w:rPr>
        <w:t>Only</w:t>
      </w:r>
      <w:r w:rsidRPr="001A375A">
        <w:rPr>
          <w:rFonts w:ascii="Calibri" w:hAnsi="Calibri" w:cs="Calibri"/>
          <w:i/>
          <w:noProof/>
          <w:color w:val="000000"/>
          <w:w w:val="90"/>
        </w:rPr>
        <w:t>  </w:t>
      </w:r>
      <w:r w:rsidRPr="001A375A">
        <w:rPr>
          <w:i/>
          <w:noProof/>
          <w:color w:val="000000"/>
          <w:w w:val="90"/>
        </w:rPr>
        <w:t>the</w:t>
      </w:r>
      <w:r w:rsidRPr="001A375A">
        <w:rPr>
          <w:rFonts w:ascii="Calibri" w:hAnsi="Calibri" w:cs="Calibri"/>
          <w:i/>
          <w:noProof/>
          <w:color w:val="000000"/>
          <w:w w:val="90"/>
        </w:rPr>
        <w:t>  </w:t>
      </w:r>
      <w:r w:rsidRPr="001A375A">
        <w:rPr>
          <w:i/>
          <w:noProof/>
          <w:color w:val="000000"/>
          <w:w w:val="90"/>
        </w:rPr>
        <w:t>UN</w:t>
      </w:r>
      <w:r w:rsidRPr="001A375A">
        <w:rPr>
          <w:rFonts w:ascii="Calibri" w:hAnsi="Calibri" w:cs="Calibri"/>
          <w:i/>
          <w:noProof/>
          <w:color w:val="000000"/>
          <w:w w:val="90"/>
        </w:rPr>
        <w:t>  </w:t>
      </w:r>
      <w:r w:rsidRPr="001A375A">
        <w:rPr>
          <w:i/>
          <w:noProof/>
          <w:color w:val="000000"/>
          <w:w w:val="90"/>
        </w:rPr>
        <w:t>transport</w:t>
      </w:r>
      <w:r w:rsidRPr="001A375A">
        <w:rPr>
          <w:rFonts w:ascii="Calibri" w:hAnsi="Calibri" w:cs="Calibri"/>
          <w:i/>
          <w:noProof/>
          <w:color w:val="000000"/>
          <w:w w:val="90"/>
        </w:rPr>
        <w:t>  </w:t>
      </w:r>
      <w:r w:rsidRPr="001A375A">
        <w:rPr>
          <w:i/>
          <w:noProof/>
          <w:color w:val="000000"/>
          <w:w w:val="90"/>
        </w:rPr>
        <w:t>markings</w:t>
      </w:r>
      <w:r w:rsidRPr="001A375A">
        <w:rPr>
          <w:rFonts w:ascii="Calibri" w:hAnsi="Calibri" w:cs="Calibri"/>
          <w:i/>
          <w:noProof/>
          <w:color w:val="000000"/>
          <w:w w:val="90"/>
        </w:rPr>
        <w:t>  </w:t>
      </w:r>
      <w:r w:rsidRPr="001A375A">
        <w:rPr>
          <w:i/>
          <w:noProof/>
          <w:color w:val="000000"/>
          <w:w w:val="90"/>
        </w:rPr>
        <w:t>and</w:t>
      </w:r>
      <w:r w:rsidRPr="001A375A">
        <w:rPr>
          <w:rFonts w:ascii="Calibri" w:hAnsi="Calibri" w:cs="Calibri"/>
          <w:i/>
          <w:noProof/>
          <w:color w:val="000000"/>
          <w:w w:val="90"/>
        </w:rPr>
        <w:t>  </w:t>
      </w:r>
      <w:r w:rsidRPr="001A375A">
        <w:rPr>
          <w:i/>
          <w:noProof/>
          <w:color w:val="000000"/>
          <w:w w:val="90"/>
        </w:rPr>
        <w:t>labels</w:t>
      </w:r>
      <w:r w:rsidRPr="001A375A">
        <w:rPr>
          <w:rFonts w:ascii="Calibri" w:hAnsi="Calibri" w:cs="Calibri"/>
          <w:i/>
          <w:noProof/>
          <w:color w:val="000000"/>
          <w:w w:val="90"/>
        </w:rPr>
        <w:t>  </w:t>
      </w:r>
      <w:r w:rsidRPr="001A375A">
        <w:rPr>
          <w:i/>
          <w:noProof/>
          <w:color w:val="000000"/>
          <w:w w:val="90"/>
        </w:rPr>
        <w:t>are</w:t>
      </w:r>
      <w:r w:rsidRPr="001A375A">
        <w:rPr>
          <w:rFonts w:ascii="Calibri" w:hAnsi="Calibri" w:cs="Calibri"/>
          <w:i/>
          <w:noProof/>
          <w:color w:val="000000"/>
          <w:w w:val="90"/>
        </w:rPr>
        <w:t>  </w:t>
      </w:r>
      <w:r w:rsidRPr="001A375A">
        <w:rPr>
          <w:i/>
          <w:noProof/>
          <w:color w:val="000000"/>
          <w:w w:val="90"/>
        </w:rPr>
        <w:t>required</w:t>
      </w:r>
      <w:r w:rsidRPr="001A375A">
        <w:rPr>
          <w:rFonts w:ascii="Calibri" w:hAnsi="Calibri" w:cs="Calibri"/>
          <w:i/>
          <w:noProof/>
          <w:color w:val="000000"/>
          <w:w w:val="90"/>
        </w:rPr>
        <w:t>  </w:t>
      </w:r>
      <w:r w:rsidRPr="001A375A">
        <w:rPr>
          <w:i/>
          <w:noProof/>
          <w:color w:val="000000"/>
          <w:w w:val="90"/>
        </w:rPr>
        <w:t>for</w:t>
      </w:r>
      <w:r w:rsidRPr="001A375A">
        <w:rPr>
          <w:rFonts w:ascii="Calibri" w:hAnsi="Calibri" w:cs="Calibri"/>
          <w:i/>
          <w:noProof/>
          <w:color w:val="000000"/>
          <w:w w:val="90"/>
        </w:rPr>
        <w:t>  </w:t>
      </w:r>
      <w:r w:rsidRPr="001A375A">
        <w:rPr>
          <w:i/>
          <w:noProof/>
          <w:color w:val="000000"/>
          <w:w w:val="90"/>
        </w:rPr>
        <w:t>portable tanks.</w:t>
      </w:r>
    </w:p>
    <w:p w14:paraId="5B51F0DA" w14:textId="0984DAD0" w:rsidR="001A375A" w:rsidRPr="001A375A" w:rsidRDefault="001A375A" w:rsidP="001A375A">
      <w:pPr>
        <w:pStyle w:val="ListParagraph"/>
        <w:tabs>
          <w:tab w:val="left" w:pos="402"/>
        </w:tabs>
        <w:spacing w:line="228" w:lineRule="exact"/>
        <w:ind w:left="760"/>
        <w:rPr>
          <w:i/>
          <w:noProof/>
          <w:color w:val="000000"/>
          <w:w w:val="90"/>
        </w:rPr>
      </w:pPr>
      <w:r>
        <w:rPr>
          <w:i/>
          <w:noProof/>
          <w:color w:val="000000"/>
          <w:w w:val="90"/>
        </w:rPr>
        <w:t>**   It is optional to display a GHS label (see 1.4.10.4.4)</w:t>
      </w:r>
      <w:r w:rsidR="009C7805">
        <w:rPr>
          <w:i/>
          <w:noProof/>
          <w:color w:val="000000"/>
          <w:w w:val="90"/>
        </w:rPr>
        <w:t>. This may be done, for example, by using a tag at the valve.</w:t>
      </w:r>
    </w:p>
    <w:p w14:paraId="16F8649E" w14:textId="3ECFF762" w:rsidR="001A375A" w:rsidRPr="00F2013E" w:rsidRDefault="00F2013E" w:rsidP="00F2013E">
      <w:pPr>
        <w:pStyle w:val="ListParagraph"/>
        <w:tabs>
          <w:tab w:val="left" w:pos="402"/>
        </w:tabs>
        <w:spacing w:before="240"/>
        <w:ind w:left="1134" w:right="1134"/>
        <w:jc w:val="center"/>
        <w:rPr>
          <w:u w:val="single"/>
        </w:rPr>
      </w:pPr>
      <w:r>
        <w:rPr>
          <w:u w:val="single"/>
        </w:rPr>
        <w:tab/>
      </w:r>
      <w:r>
        <w:rPr>
          <w:u w:val="single"/>
        </w:rPr>
        <w:tab/>
      </w:r>
      <w:r>
        <w:rPr>
          <w:u w:val="single"/>
        </w:rPr>
        <w:tab/>
      </w:r>
    </w:p>
    <w:p w14:paraId="04AEFAC6" w14:textId="77777777" w:rsidR="00E94D08" w:rsidRPr="005D2C29" w:rsidRDefault="00E94D08" w:rsidP="001A375A">
      <w:pPr>
        <w:pStyle w:val="SingleTxtG"/>
        <w:spacing w:after="0"/>
        <w:jc w:val="center"/>
        <w:rPr>
          <w:u w:val="single"/>
        </w:rPr>
      </w:pPr>
    </w:p>
    <w:sectPr w:rsidR="00E94D08" w:rsidRPr="005D2C29" w:rsidSect="0099001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56269" w14:textId="77777777" w:rsidR="003B7241" w:rsidRDefault="003B7241"/>
  </w:endnote>
  <w:endnote w:type="continuationSeparator" w:id="0">
    <w:p w14:paraId="7B8F47D4" w14:textId="77777777" w:rsidR="003B7241" w:rsidRDefault="003B7241"/>
  </w:endnote>
  <w:endnote w:type="continuationNotice" w:id="1">
    <w:p w14:paraId="6197DC13" w14:textId="77777777" w:rsidR="003B7241" w:rsidRDefault="003B7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83539" w14:textId="77777777" w:rsidR="003B7241" w:rsidRPr="0099001C" w:rsidRDefault="003B7241"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3263E2">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C1D00" w14:textId="77777777" w:rsidR="003B7241" w:rsidRPr="0099001C" w:rsidRDefault="003B7241"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3263E2">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0C64" w14:textId="77777777" w:rsidR="003B7241" w:rsidRPr="0099001C" w:rsidRDefault="003B7241">
    <w:r>
      <w:rPr>
        <w:noProof/>
        <w:lang w:eastAsia="en-GB"/>
      </w:rPr>
      <w:drawing>
        <wp:anchor distT="0" distB="0" distL="114300" distR="114300" simplePos="0" relativeHeight="251657728" behindDoc="0" locked="1" layoutInCell="1" allowOverlap="1" wp14:anchorId="4D8353DE" wp14:editId="4235578C">
          <wp:simplePos x="0" y="0"/>
          <wp:positionH relativeFrom="column">
            <wp:posOffset>5148580</wp:posOffset>
          </wp:positionH>
          <wp:positionV relativeFrom="paragraph">
            <wp:posOffset>-79375</wp:posOffset>
          </wp:positionV>
          <wp:extent cx="930275" cy="230505"/>
          <wp:effectExtent l="0" t="0" r="952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33905" w14:textId="77777777" w:rsidR="003B7241" w:rsidRPr="000B175B" w:rsidRDefault="003B7241" w:rsidP="000B175B">
      <w:pPr>
        <w:tabs>
          <w:tab w:val="right" w:pos="2155"/>
        </w:tabs>
        <w:spacing w:after="80"/>
        <w:ind w:left="680"/>
        <w:rPr>
          <w:u w:val="single"/>
        </w:rPr>
      </w:pPr>
      <w:r>
        <w:rPr>
          <w:u w:val="single"/>
        </w:rPr>
        <w:tab/>
      </w:r>
    </w:p>
  </w:footnote>
  <w:footnote w:type="continuationSeparator" w:id="0">
    <w:p w14:paraId="38F472C4" w14:textId="77777777" w:rsidR="003B7241" w:rsidRPr="00FC68B7" w:rsidRDefault="003B7241" w:rsidP="00FC68B7">
      <w:pPr>
        <w:tabs>
          <w:tab w:val="left" w:pos="2155"/>
        </w:tabs>
        <w:spacing w:after="80"/>
        <w:ind w:left="680"/>
        <w:rPr>
          <w:u w:val="single"/>
        </w:rPr>
      </w:pPr>
      <w:r>
        <w:rPr>
          <w:u w:val="single"/>
        </w:rPr>
        <w:tab/>
      </w:r>
    </w:p>
  </w:footnote>
  <w:footnote w:type="continuationNotice" w:id="1">
    <w:p w14:paraId="786097CA" w14:textId="77777777" w:rsidR="003B7241" w:rsidRDefault="003B72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F41E" w14:textId="0C855F27" w:rsidR="003B7241" w:rsidRPr="0099001C" w:rsidRDefault="00F2013E" w:rsidP="00366CA7">
    <w:pPr>
      <w:pStyle w:val="Header"/>
    </w:pPr>
    <w:r>
      <w:t>UN/SCEGHS/30/INF.</w:t>
    </w:r>
    <w:r w:rsidR="003263E2">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021F" w14:textId="22536485" w:rsidR="003B7241" w:rsidRPr="0099001C" w:rsidRDefault="003263E2" w:rsidP="0099001C">
    <w:pPr>
      <w:pStyle w:val="Header"/>
      <w:jc w:val="right"/>
    </w:pPr>
    <w:r>
      <w:t>UN/SCEGHS/30/INF.15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267D6" w14:textId="77777777" w:rsidR="003263E2" w:rsidRDefault="00326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5BC558CF"/>
    <w:multiLevelType w:val="hybridMultilevel"/>
    <w:tmpl w:val="4216BDAA"/>
    <w:lvl w:ilvl="0" w:tplc="5B4CD8AE">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65CC0EA5"/>
    <w:multiLevelType w:val="hybridMultilevel"/>
    <w:tmpl w:val="E1982686"/>
    <w:lvl w:ilvl="0" w:tplc="EE20D43E">
      <w:start w:val="6"/>
      <w:numFmt w:val="bullet"/>
      <w:lvlText w:val=""/>
      <w:lvlJc w:val="left"/>
      <w:pPr>
        <w:ind w:left="760" w:hanging="40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4"/>
  </w:num>
  <w:num w:numId="5">
    <w:abstractNumId w:val="4"/>
  </w:num>
  <w:num w:numId="6">
    <w:abstractNumId w:val="4"/>
  </w:num>
  <w:num w:numId="7">
    <w:abstractNumId w:val="4"/>
  </w:num>
  <w:num w:numId="8">
    <w:abstractNumId w:val="4"/>
  </w:num>
  <w:num w:numId="9">
    <w:abstractNumId w:val="2"/>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17821"/>
    <w:rsid w:val="00033B3D"/>
    <w:rsid w:val="00040BEB"/>
    <w:rsid w:val="00050F6B"/>
    <w:rsid w:val="00072C8C"/>
    <w:rsid w:val="00081647"/>
    <w:rsid w:val="000931C0"/>
    <w:rsid w:val="000A2712"/>
    <w:rsid w:val="000B175B"/>
    <w:rsid w:val="000B3A0F"/>
    <w:rsid w:val="000B77A4"/>
    <w:rsid w:val="000C6544"/>
    <w:rsid w:val="000D10AA"/>
    <w:rsid w:val="000E0415"/>
    <w:rsid w:val="001220B8"/>
    <w:rsid w:val="00137482"/>
    <w:rsid w:val="00156F3C"/>
    <w:rsid w:val="00162BF7"/>
    <w:rsid w:val="00190AEA"/>
    <w:rsid w:val="001A375A"/>
    <w:rsid w:val="001B4B04"/>
    <w:rsid w:val="001C6663"/>
    <w:rsid w:val="001C7895"/>
    <w:rsid w:val="001D26DF"/>
    <w:rsid w:val="001E47FD"/>
    <w:rsid w:val="001E632C"/>
    <w:rsid w:val="00211E0B"/>
    <w:rsid w:val="0024019E"/>
    <w:rsid w:val="002405A7"/>
    <w:rsid w:val="0025322D"/>
    <w:rsid w:val="00257E45"/>
    <w:rsid w:val="00262488"/>
    <w:rsid w:val="00262946"/>
    <w:rsid w:val="00280FCA"/>
    <w:rsid w:val="002B73FA"/>
    <w:rsid w:val="002D59D3"/>
    <w:rsid w:val="0030185B"/>
    <w:rsid w:val="003107FA"/>
    <w:rsid w:val="003127A2"/>
    <w:rsid w:val="003229D8"/>
    <w:rsid w:val="003263E2"/>
    <w:rsid w:val="0033745A"/>
    <w:rsid w:val="003642AF"/>
    <w:rsid w:val="00366CA7"/>
    <w:rsid w:val="00375452"/>
    <w:rsid w:val="0039277A"/>
    <w:rsid w:val="003972E0"/>
    <w:rsid w:val="003B4666"/>
    <w:rsid w:val="003B7241"/>
    <w:rsid w:val="003C2CC4"/>
    <w:rsid w:val="003C3936"/>
    <w:rsid w:val="003D4B23"/>
    <w:rsid w:val="003E6346"/>
    <w:rsid w:val="003E6B4C"/>
    <w:rsid w:val="003F1ED3"/>
    <w:rsid w:val="004325CB"/>
    <w:rsid w:val="00446DE4"/>
    <w:rsid w:val="00460DD9"/>
    <w:rsid w:val="00467F71"/>
    <w:rsid w:val="00482FBD"/>
    <w:rsid w:val="00486AD5"/>
    <w:rsid w:val="004A41CA"/>
    <w:rsid w:val="004E7ED6"/>
    <w:rsid w:val="00503228"/>
    <w:rsid w:val="00505384"/>
    <w:rsid w:val="00532EF8"/>
    <w:rsid w:val="005420F2"/>
    <w:rsid w:val="005656BA"/>
    <w:rsid w:val="005B2C89"/>
    <w:rsid w:val="005B3DB3"/>
    <w:rsid w:val="005D1C0F"/>
    <w:rsid w:val="005D2C29"/>
    <w:rsid w:val="005E22FE"/>
    <w:rsid w:val="005F7875"/>
    <w:rsid w:val="0061088B"/>
    <w:rsid w:val="00611FC4"/>
    <w:rsid w:val="006176FB"/>
    <w:rsid w:val="00627ED0"/>
    <w:rsid w:val="00640B26"/>
    <w:rsid w:val="00644CBB"/>
    <w:rsid w:val="00665595"/>
    <w:rsid w:val="00691F20"/>
    <w:rsid w:val="00693543"/>
    <w:rsid w:val="006A7392"/>
    <w:rsid w:val="006A7757"/>
    <w:rsid w:val="006D35CC"/>
    <w:rsid w:val="006E4850"/>
    <w:rsid w:val="006E564B"/>
    <w:rsid w:val="0071349F"/>
    <w:rsid w:val="00720DEB"/>
    <w:rsid w:val="0072632A"/>
    <w:rsid w:val="00733AAE"/>
    <w:rsid w:val="00780E99"/>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736D5"/>
    <w:rsid w:val="00883434"/>
    <w:rsid w:val="008979B1"/>
    <w:rsid w:val="008A6B25"/>
    <w:rsid w:val="008A6C4F"/>
    <w:rsid w:val="008B6E26"/>
    <w:rsid w:val="008E0E46"/>
    <w:rsid w:val="008E30BA"/>
    <w:rsid w:val="008E4C4C"/>
    <w:rsid w:val="00907AD2"/>
    <w:rsid w:val="00911047"/>
    <w:rsid w:val="00963CBA"/>
    <w:rsid w:val="009650E6"/>
    <w:rsid w:val="00974A8D"/>
    <w:rsid w:val="0099001C"/>
    <w:rsid w:val="00991261"/>
    <w:rsid w:val="009A67D5"/>
    <w:rsid w:val="009C396D"/>
    <w:rsid w:val="009C7805"/>
    <w:rsid w:val="009F3A17"/>
    <w:rsid w:val="009F3D53"/>
    <w:rsid w:val="00A05E67"/>
    <w:rsid w:val="00A1427D"/>
    <w:rsid w:val="00A55FB2"/>
    <w:rsid w:val="00A72F22"/>
    <w:rsid w:val="00A748A6"/>
    <w:rsid w:val="00A80459"/>
    <w:rsid w:val="00A805EB"/>
    <w:rsid w:val="00A879A4"/>
    <w:rsid w:val="00AA496B"/>
    <w:rsid w:val="00AB25C6"/>
    <w:rsid w:val="00AE71F3"/>
    <w:rsid w:val="00B11E5C"/>
    <w:rsid w:val="00B30179"/>
    <w:rsid w:val="00B30E8F"/>
    <w:rsid w:val="00B33EC0"/>
    <w:rsid w:val="00B81E12"/>
    <w:rsid w:val="00B97D28"/>
    <w:rsid w:val="00BC74E9"/>
    <w:rsid w:val="00BD2146"/>
    <w:rsid w:val="00BE4F74"/>
    <w:rsid w:val="00BE618E"/>
    <w:rsid w:val="00BF7199"/>
    <w:rsid w:val="00C17699"/>
    <w:rsid w:val="00C1778D"/>
    <w:rsid w:val="00C41A28"/>
    <w:rsid w:val="00C463DD"/>
    <w:rsid w:val="00C47AEE"/>
    <w:rsid w:val="00C55DC0"/>
    <w:rsid w:val="00C745C3"/>
    <w:rsid w:val="00C93BD5"/>
    <w:rsid w:val="00C945EB"/>
    <w:rsid w:val="00CE4A8F"/>
    <w:rsid w:val="00D055EB"/>
    <w:rsid w:val="00D17368"/>
    <w:rsid w:val="00D2031B"/>
    <w:rsid w:val="00D25FE2"/>
    <w:rsid w:val="00D317BB"/>
    <w:rsid w:val="00D35D8F"/>
    <w:rsid w:val="00D43252"/>
    <w:rsid w:val="00D63881"/>
    <w:rsid w:val="00D74F78"/>
    <w:rsid w:val="00D978C6"/>
    <w:rsid w:val="00DA67AD"/>
    <w:rsid w:val="00DB5D0F"/>
    <w:rsid w:val="00DC3242"/>
    <w:rsid w:val="00DE7F20"/>
    <w:rsid w:val="00DF12F7"/>
    <w:rsid w:val="00DF2C64"/>
    <w:rsid w:val="00DF4345"/>
    <w:rsid w:val="00DF7F03"/>
    <w:rsid w:val="00E02C81"/>
    <w:rsid w:val="00E04A75"/>
    <w:rsid w:val="00E06EAB"/>
    <w:rsid w:val="00E130AB"/>
    <w:rsid w:val="00E31C87"/>
    <w:rsid w:val="00E5602F"/>
    <w:rsid w:val="00E70DF5"/>
    <w:rsid w:val="00E7260F"/>
    <w:rsid w:val="00E80F5F"/>
    <w:rsid w:val="00E8231C"/>
    <w:rsid w:val="00E87921"/>
    <w:rsid w:val="00E9433B"/>
    <w:rsid w:val="00E94D08"/>
    <w:rsid w:val="00E96630"/>
    <w:rsid w:val="00E97D2D"/>
    <w:rsid w:val="00EA264E"/>
    <w:rsid w:val="00EA31E1"/>
    <w:rsid w:val="00EA3A41"/>
    <w:rsid w:val="00EC3B8C"/>
    <w:rsid w:val="00ED71D9"/>
    <w:rsid w:val="00ED7A2A"/>
    <w:rsid w:val="00EE1F95"/>
    <w:rsid w:val="00EF1D7F"/>
    <w:rsid w:val="00F00B00"/>
    <w:rsid w:val="00F2013E"/>
    <w:rsid w:val="00F52602"/>
    <w:rsid w:val="00F53EDA"/>
    <w:rsid w:val="00F57075"/>
    <w:rsid w:val="00F7753D"/>
    <w:rsid w:val="00F85F34"/>
    <w:rsid w:val="00FA06F7"/>
    <w:rsid w:val="00FB171A"/>
    <w:rsid w:val="00FC09B8"/>
    <w:rsid w:val="00FC3301"/>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5F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Default">
    <w:name w:val="Default"/>
    <w:rsid w:val="00644CBB"/>
    <w:pPr>
      <w:widowControl w:val="0"/>
      <w:autoSpaceDE w:val="0"/>
      <w:autoSpaceDN w:val="0"/>
      <w:adjustRightInd w:val="0"/>
    </w:pPr>
    <w:rPr>
      <w:color w:val="000000"/>
      <w:sz w:val="24"/>
      <w:szCs w:val="24"/>
      <w:lang w:val="en-US"/>
    </w:rPr>
  </w:style>
  <w:style w:type="paragraph" w:styleId="ListParagraph">
    <w:name w:val="List Paragraph"/>
    <w:basedOn w:val="Normal"/>
    <w:uiPriority w:val="34"/>
    <w:qFormat/>
    <w:rsid w:val="001A375A"/>
    <w:pPr>
      <w:ind w:left="720"/>
      <w:contextualSpacing/>
    </w:pPr>
  </w:style>
  <w:style w:type="paragraph" w:styleId="BalloonText">
    <w:name w:val="Balloon Text"/>
    <w:basedOn w:val="Normal"/>
    <w:link w:val="BalloonTextChar"/>
    <w:semiHidden/>
    <w:unhideWhenUsed/>
    <w:rsid w:val="005D1C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D1C0F"/>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Default">
    <w:name w:val="Default"/>
    <w:rsid w:val="00644CBB"/>
    <w:pPr>
      <w:widowControl w:val="0"/>
      <w:autoSpaceDE w:val="0"/>
      <w:autoSpaceDN w:val="0"/>
      <w:adjustRightInd w:val="0"/>
    </w:pPr>
    <w:rPr>
      <w:color w:val="000000"/>
      <w:sz w:val="24"/>
      <w:szCs w:val="24"/>
      <w:lang w:val="en-US"/>
    </w:rPr>
  </w:style>
  <w:style w:type="paragraph" w:styleId="ListParagraph">
    <w:name w:val="List Paragraph"/>
    <w:basedOn w:val="Normal"/>
    <w:uiPriority w:val="34"/>
    <w:qFormat/>
    <w:rsid w:val="001A375A"/>
    <w:pPr>
      <w:ind w:left="720"/>
      <w:contextualSpacing/>
    </w:pPr>
  </w:style>
  <w:style w:type="paragraph" w:styleId="BalloonText">
    <w:name w:val="Balloon Text"/>
    <w:basedOn w:val="Normal"/>
    <w:link w:val="BalloonTextChar"/>
    <w:semiHidden/>
    <w:unhideWhenUsed/>
    <w:rsid w:val="005D1C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D1C0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039E-4363-4E1E-84AE-A6CF3E18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2015-11-30T16:07:00Z</cp:lastPrinted>
  <dcterms:created xsi:type="dcterms:W3CDTF">2015-11-30T16:48:00Z</dcterms:created>
  <dcterms:modified xsi:type="dcterms:W3CDTF">2015-11-30T16:48:00Z</dcterms:modified>
</cp:coreProperties>
</file>