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395"/>
        <w:gridCol w:w="4961"/>
      </w:tblGrid>
      <w:tr w:rsidR="00806316" w:rsidRPr="00262ADB" w:rsidTr="00B71F52">
        <w:tc>
          <w:tcPr>
            <w:tcW w:w="4395" w:type="dxa"/>
          </w:tcPr>
          <w:p w:rsidR="00806316" w:rsidRPr="00880B8B" w:rsidRDefault="00806316" w:rsidP="00806316">
            <w:pPr>
              <w:pStyle w:val="Header"/>
              <w:rPr>
                <w:sz w:val="16"/>
                <w:szCs w:val="16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Sub</w:t>
            </w:r>
            <w:r w:rsidRPr="00262ADB">
              <w:rPr>
                <w:sz w:val="20"/>
                <w:szCs w:val="20"/>
                <w:lang w:val="en-GB"/>
              </w:rPr>
              <w:t xml:space="preserve">mitted by </w:t>
            </w:r>
            <w:r>
              <w:rPr>
                <w:sz w:val="20"/>
                <w:szCs w:val="20"/>
                <w:lang w:val="en-GB"/>
              </w:rPr>
              <w:t>the expert from the Netherlands</w:t>
            </w:r>
          </w:p>
        </w:tc>
        <w:tc>
          <w:tcPr>
            <w:tcW w:w="4961" w:type="dxa"/>
          </w:tcPr>
          <w:p w:rsidR="00806316" w:rsidRPr="00262ADB" w:rsidRDefault="00806316" w:rsidP="00B71F52">
            <w:pPr>
              <w:ind w:left="742"/>
              <w:rPr>
                <w:b/>
                <w:bCs/>
                <w:sz w:val="20"/>
                <w:szCs w:val="20"/>
                <w:lang w:val="en-GB"/>
              </w:rPr>
            </w:pPr>
            <w:r w:rsidRPr="00262ADB">
              <w:rPr>
                <w:sz w:val="20"/>
                <w:szCs w:val="20"/>
                <w:u w:val="single"/>
                <w:lang w:val="en-GB"/>
              </w:rPr>
              <w:t>Informal document</w:t>
            </w:r>
            <w:r w:rsidRPr="006A5458">
              <w:rPr>
                <w:sz w:val="20"/>
                <w:szCs w:val="20"/>
                <w:lang w:val="en-GB"/>
              </w:rPr>
              <w:t xml:space="preserve"> </w:t>
            </w:r>
            <w:r w:rsidRPr="006A5458">
              <w:rPr>
                <w:b/>
                <w:bCs/>
                <w:sz w:val="20"/>
                <w:szCs w:val="20"/>
                <w:lang w:val="en-GB"/>
              </w:rPr>
              <w:t>GRSG-10</w:t>
            </w:r>
            <w:r>
              <w:rPr>
                <w:b/>
                <w:bCs/>
                <w:sz w:val="20"/>
                <w:szCs w:val="20"/>
                <w:lang w:val="en-GB"/>
              </w:rPr>
              <w:t>5</w:t>
            </w:r>
            <w:r w:rsidRPr="006A5458"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63540C">
              <w:rPr>
                <w:b/>
                <w:bCs/>
                <w:sz w:val="20"/>
                <w:szCs w:val="20"/>
                <w:lang w:val="en-GB"/>
              </w:rPr>
              <w:t>10</w:t>
            </w:r>
          </w:p>
          <w:p w:rsidR="00806316" w:rsidRPr="00262ADB" w:rsidRDefault="00806316" w:rsidP="00B71F52">
            <w:pPr>
              <w:pStyle w:val="Header"/>
              <w:ind w:left="7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(105</w:t>
            </w:r>
            <w:r>
              <w:rPr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262ADB">
              <w:rPr>
                <w:sz w:val="20"/>
                <w:szCs w:val="20"/>
                <w:lang w:val="en-GB"/>
              </w:rPr>
              <w:t xml:space="preserve">GRSG, </w:t>
            </w:r>
            <w:r>
              <w:rPr>
                <w:sz w:val="20"/>
                <w:szCs w:val="20"/>
                <w:lang w:val="en-GB"/>
              </w:rPr>
              <w:t xml:space="preserve">8-11 October </w:t>
            </w:r>
            <w:r w:rsidRPr="00121027">
              <w:rPr>
                <w:sz w:val="20"/>
                <w:szCs w:val="20"/>
                <w:lang w:val="en-GB"/>
              </w:rPr>
              <w:t xml:space="preserve"> 2013</w:t>
            </w:r>
          </w:p>
          <w:p w:rsidR="00806316" w:rsidRPr="00262ADB" w:rsidRDefault="00806316" w:rsidP="00B71F52">
            <w:pPr>
              <w:pStyle w:val="Header"/>
              <w:ind w:left="74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Pr="00262ADB">
              <w:rPr>
                <w:sz w:val="20"/>
                <w:szCs w:val="20"/>
                <w:lang w:val="en-GB"/>
              </w:rPr>
              <w:t xml:space="preserve">genda item </w:t>
            </w:r>
            <w:r w:rsidR="00787394">
              <w:rPr>
                <w:sz w:val="20"/>
                <w:szCs w:val="20"/>
                <w:lang w:val="en-GB"/>
              </w:rPr>
              <w:t>9</w:t>
            </w:r>
            <w:r w:rsidR="0063540C">
              <w:rPr>
                <w:sz w:val="20"/>
                <w:szCs w:val="20"/>
                <w:lang w:val="en-GB"/>
              </w:rPr>
              <w:t>.</w:t>
            </w:r>
            <w:r w:rsidRPr="00262ADB">
              <w:rPr>
                <w:sz w:val="20"/>
                <w:szCs w:val="20"/>
                <w:lang w:val="en-GB"/>
              </w:rPr>
              <w:t>)</w:t>
            </w:r>
          </w:p>
        </w:tc>
      </w:tr>
    </w:tbl>
    <w:p w:rsidR="00DF5956" w:rsidRDefault="00DF5956" w:rsidP="00CF40BB">
      <w:pPr>
        <w:spacing w:before="240" w:after="0" w:line="240" w:lineRule="auto"/>
        <w:rPr>
          <w:lang w:val="en-US"/>
        </w:rPr>
      </w:pPr>
    </w:p>
    <w:p w:rsidR="00984F33" w:rsidRPr="00984F33" w:rsidRDefault="00746741" w:rsidP="00984F33">
      <w:pPr>
        <w:pStyle w:val="HChG"/>
        <w:tabs>
          <w:tab w:val="clear" w:pos="851"/>
        </w:tabs>
        <w:ind w:left="567" w:firstLine="0"/>
        <w:jc w:val="center"/>
      </w:pPr>
      <w:r w:rsidRPr="001447C9">
        <w:t xml:space="preserve">UN </w:t>
      </w:r>
      <w:r>
        <w:t>Regulation No. 110</w:t>
      </w:r>
      <w:r w:rsidRPr="001447C9">
        <w:t xml:space="preserve"> – </w:t>
      </w:r>
      <w:r>
        <w:t>CNG</w:t>
      </w:r>
      <w:r w:rsidR="009E20ED">
        <w:t xml:space="preserve"> vehicles</w:t>
      </w:r>
      <w:r w:rsidR="00984F33">
        <w:br/>
        <w:t>UN Regulation No. 118 – Burning behaviour</w:t>
      </w:r>
    </w:p>
    <w:p w:rsidR="00DF5956" w:rsidRPr="00746741" w:rsidRDefault="00DF5956" w:rsidP="00CF40BB">
      <w:pPr>
        <w:spacing w:before="240" w:after="0" w:line="240" w:lineRule="auto"/>
        <w:rPr>
          <w:lang w:val="en-GB"/>
        </w:rPr>
      </w:pPr>
    </w:p>
    <w:p w:rsidR="00037B84" w:rsidRPr="00746741" w:rsidRDefault="00746741" w:rsidP="00CF40BB">
      <w:pPr>
        <w:spacing w:before="240" w:after="0" w:line="240" w:lineRule="auto"/>
        <w:rPr>
          <w:b/>
          <w:lang w:val="en-US"/>
        </w:rPr>
      </w:pPr>
      <w:r w:rsidRPr="00746741">
        <w:rPr>
          <w:b/>
          <w:lang w:val="en-US"/>
        </w:rPr>
        <w:t>Introduction</w:t>
      </w:r>
    </w:p>
    <w:p w:rsidR="00B65C28" w:rsidRDefault="00DB3D0C" w:rsidP="00CF40BB">
      <w:pPr>
        <w:spacing w:before="240" w:after="0" w:line="240" w:lineRule="auto"/>
        <w:rPr>
          <w:lang w:val="en-US"/>
        </w:rPr>
      </w:pPr>
      <w:r>
        <w:rPr>
          <w:lang w:val="en-US"/>
        </w:rPr>
        <w:t>The existing provisions for buses and coaches are focusing on a rapid evacuation of the vehicle</w:t>
      </w:r>
      <w:r w:rsidR="00B669B4">
        <w:rPr>
          <w:lang w:val="en-US"/>
        </w:rPr>
        <w:t xml:space="preserve"> in cases of emergency</w:t>
      </w:r>
      <w:r>
        <w:rPr>
          <w:lang w:val="en-US"/>
        </w:rPr>
        <w:t xml:space="preserve">. A fire accident in the Netherlands however showed that </w:t>
      </w:r>
      <w:r w:rsidR="00B669B4">
        <w:rPr>
          <w:lang w:val="en-US"/>
        </w:rPr>
        <w:t>nevertheless a serious risk remains for other road</w:t>
      </w:r>
      <w:r w:rsidR="0040504C">
        <w:rPr>
          <w:lang w:val="en-US"/>
        </w:rPr>
        <w:t xml:space="preserve"> users</w:t>
      </w:r>
      <w:r w:rsidR="000D5300">
        <w:rPr>
          <w:lang w:val="en-US"/>
        </w:rPr>
        <w:t xml:space="preserve"> and the surroundings of the vehicle</w:t>
      </w:r>
      <w:r w:rsidR="00B669B4">
        <w:rPr>
          <w:lang w:val="en-US"/>
        </w:rPr>
        <w:t xml:space="preserve">. In the accident </w:t>
      </w:r>
      <w:r w:rsidR="00416DFD">
        <w:rPr>
          <w:lang w:val="en-US"/>
        </w:rPr>
        <w:t xml:space="preserve">concerned </w:t>
      </w:r>
      <w:r w:rsidR="00B669B4">
        <w:rPr>
          <w:lang w:val="en-US"/>
        </w:rPr>
        <w:t xml:space="preserve">the pressure relief device produced a horizontal </w:t>
      </w:r>
      <w:r w:rsidR="00416DFD">
        <w:rPr>
          <w:lang w:val="en-US"/>
        </w:rPr>
        <w:t>jet flame</w:t>
      </w:r>
      <w:r w:rsidR="00B669B4">
        <w:rPr>
          <w:lang w:val="en-US"/>
        </w:rPr>
        <w:t xml:space="preserve"> during several minutes which could have serious consequences for other road users and the area around the vehicle. </w:t>
      </w:r>
      <w:r w:rsidR="00B65C28">
        <w:rPr>
          <w:lang w:val="en-US"/>
        </w:rPr>
        <w:t>T</w:t>
      </w:r>
      <w:r>
        <w:rPr>
          <w:lang w:val="en-US"/>
        </w:rPr>
        <w:t xml:space="preserve">he Netherlands considers it necessary </w:t>
      </w:r>
      <w:r w:rsidR="00B65C28">
        <w:rPr>
          <w:lang w:val="en-US"/>
        </w:rPr>
        <w:t xml:space="preserve">not only to regulate the direction of discharging the pressure relief devices of the CNG containers but also to take more preventive measures. </w:t>
      </w:r>
      <w:r w:rsidR="001268ED">
        <w:rPr>
          <w:lang w:val="en-US"/>
        </w:rPr>
        <w:t xml:space="preserve">These measures should focus on </w:t>
      </w:r>
      <w:r w:rsidR="006D0777">
        <w:rPr>
          <w:lang w:val="en-US"/>
        </w:rPr>
        <w:t xml:space="preserve">new type approval of vehicles; retrofitting is regarded to belong to the national responsibility of the countries. </w:t>
      </w:r>
    </w:p>
    <w:p w:rsidR="001268ED" w:rsidRDefault="00736A72" w:rsidP="00CF40BB">
      <w:pPr>
        <w:spacing w:before="240" w:after="0" w:line="240" w:lineRule="auto"/>
        <w:rPr>
          <w:lang w:val="en-US"/>
        </w:rPr>
      </w:pPr>
      <w:r>
        <w:rPr>
          <w:lang w:val="en-US"/>
        </w:rPr>
        <w:t>Possible options are:</w:t>
      </w:r>
      <w:r>
        <w:rPr>
          <w:lang w:val="en-US"/>
        </w:rPr>
        <w:br/>
        <w:t>a)</w:t>
      </w:r>
      <w:r>
        <w:rPr>
          <w:lang w:val="en-US"/>
        </w:rPr>
        <w:tab/>
        <w:t>limit</w:t>
      </w:r>
      <w:r w:rsidR="001268ED">
        <w:rPr>
          <w:lang w:val="en-US"/>
        </w:rPr>
        <w:t xml:space="preserve"> the direction of discharging the containers via the pressure relief devices,</w:t>
      </w:r>
      <w:r w:rsidR="001268ED">
        <w:rPr>
          <w:lang w:val="en-US"/>
        </w:rPr>
        <w:br/>
        <w:t xml:space="preserve">b) </w:t>
      </w:r>
      <w:r w:rsidR="001268ED">
        <w:rPr>
          <w:lang w:val="en-US"/>
        </w:rPr>
        <w:tab/>
        <w:t xml:space="preserve">mandate smoke detectors </w:t>
      </w:r>
      <w:r w:rsidR="00E2455C">
        <w:rPr>
          <w:lang w:val="en-US"/>
        </w:rPr>
        <w:t xml:space="preserve">and fire alarm </w:t>
      </w:r>
      <w:r w:rsidR="004D7A30">
        <w:rPr>
          <w:lang w:val="en-US"/>
        </w:rPr>
        <w:t>for</w:t>
      </w:r>
      <w:r w:rsidR="001268ED">
        <w:rPr>
          <w:lang w:val="en-US"/>
        </w:rPr>
        <w:t xml:space="preserve"> </w:t>
      </w:r>
      <w:r w:rsidR="006D0777">
        <w:rPr>
          <w:lang w:val="en-US"/>
        </w:rPr>
        <w:t xml:space="preserve">buses and coaches </w:t>
      </w:r>
      <w:r w:rsidR="00116A76">
        <w:rPr>
          <w:lang w:val="en-US"/>
        </w:rPr>
        <w:t xml:space="preserve">with </w:t>
      </w:r>
      <w:r w:rsidR="004D7A30">
        <w:rPr>
          <w:lang w:val="en-US"/>
        </w:rPr>
        <w:t>NG propulsion,</w:t>
      </w:r>
      <w:r w:rsidR="004D7A30">
        <w:rPr>
          <w:lang w:val="en-US"/>
        </w:rPr>
        <w:br/>
        <w:t>c)</w:t>
      </w:r>
      <w:r w:rsidR="004D7A30">
        <w:rPr>
          <w:lang w:val="en-US"/>
        </w:rPr>
        <w:tab/>
        <w:t>mandate automatic fire extinguish</w:t>
      </w:r>
      <w:r w:rsidR="00116A76">
        <w:rPr>
          <w:lang w:val="en-US"/>
        </w:rPr>
        <w:t xml:space="preserve">ers for buses and coaches with </w:t>
      </w:r>
      <w:r w:rsidR="004D7A30">
        <w:rPr>
          <w:lang w:val="en-US"/>
        </w:rPr>
        <w:t>NG propulsion,</w:t>
      </w:r>
      <w:r w:rsidR="004D7A30">
        <w:rPr>
          <w:lang w:val="en-US"/>
        </w:rPr>
        <w:br/>
        <w:t>d)</w:t>
      </w:r>
      <w:r w:rsidR="004D7A30">
        <w:rPr>
          <w:lang w:val="en-US"/>
        </w:rPr>
        <w:tab/>
        <w:t xml:space="preserve">mandate the provisions of </w:t>
      </w:r>
      <w:r w:rsidR="0063540C">
        <w:rPr>
          <w:lang w:val="en-US"/>
        </w:rPr>
        <w:t>UN R</w:t>
      </w:r>
      <w:r w:rsidR="004D7A30">
        <w:rPr>
          <w:lang w:val="en-US"/>
        </w:rPr>
        <w:t xml:space="preserve">egulation </w:t>
      </w:r>
      <w:r w:rsidR="0063540C">
        <w:rPr>
          <w:lang w:val="en-US"/>
        </w:rPr>
        <w:t xml:space="preserve">No. </w:t>
      </w:r>
      <w:r w:rsidR="00116A76">
        <w:rPr>
          <w:lang w:val="en-US"/>
        </w:rPr>
        <w:t xml:space="preserve">118 for buses and coaches with </w:t>
      </w:r>
      <w:r w:rsidR="004D7A30">
        <w:rPr>
          <w:lang w:val="en-US"/>
        </w:rPr>
        <w:t>NG propulsion.</w:t>
      </w:r>
    </w:p>
    <w:p w:rsidR="00CF40BB" w:rsidRDefault="00DD0E06" w:rsidP="00681940">
      <w:pPr>
        <w:spacing w:before="240" w:after="0" w:line="240" w:lineRule="auto"/>
        <w:ind w:hanging="567"/>
        <w:rPr>
          <w:rFonts w:ascii="Times New Roman" w:hAnsi="Times New Roman"/>
          <w:lang w:val="en-US"/>
        </w:rPr>
      </w:pPr>
      <w:r w:rsidRPr="00B86EE5">
        <w:rPr>
          <w:rFonts w:ascii="Times New Roman" w:hAnsi="Times New Roman"/>
          <w:b/>
          <w:lang w:val="en-US"/>
        </w:rPr>
        <w:t>A.</w:t>
      </w:r>
      <w:r w:rsidRPr="00B86EE5">
        <w:rPr>
          <w:rFonts w:ascii="Times New Roman" w:hAnsi="Times New Roman"/>
          <w:b/>
          <w:lang w:val="en-US"/>
        </w:rPr>
        <w:tab/>
      </w:r>
      <w:r w:rsidR="00CF40BB" w:rsidRPr="00B86EE5">
        <w:rPr>
          <w:rFonts w:ascii="Times New Roman" w:hAnsi="Times New Roman"/>
          <w:b/>
          <w:lang w:val="en-US"/>
        </w:rPr>
        <w:t>Regulation</w:t>
      </w:r>
      <w:r w:rsidR="0063540C">
        <w:rPr>
          <w:rFonts w:ascii="Times New Roman" w:hAnsi="Times New Roman"/>
          <w:b/>
          <w:lang w:val="en-US"/>
        </w:rPr>
        <w:t xml:space="preserve"> No.</w:t>
      </w:r>
      <w:r w:rsidR="00CF40BB" w:rsidRPr="00B86EE5">
        <w:rPr>
          <w:rFonts w:ascii="Times New Roman" w:hAnsi="Times New Roman"/>
          <w:b/>
          <w:lang w:val="en-US"/>
        </w:rPr>
        <w:t xml:space="preserve"> 110</w:t>
      </w:r>
      <w:r w:rsidR="00CF40BB">
        <w:rPr>
          <w:rFonts w:ascii="Times New Roman" w:hAnsi="Times New Roman"/>
          <w:lang w:val="en-US"/>
        </w:rPr>
        <w:t>, to be amended as follows:</w:t>
      </w:r>
      <w:r w:rsidR="00681940">
        <w:rPr>
          <w:rFonts w:ascii="Times New Roman" w:hAnsi="Times New Roman"/>
          <w:lang w:val="en-US"/>
        </w:rPr>
        <w:br/>
        <w:t xml:space="preserve">Limitation </w:t>
      </w:r>
      <w:r w:rsidR="00EC08D8">
        <w:rPr>
          <w:rFonts w:ascii="Times New Roman" w:hAnsi="Times New Roman"/>
          <w:lang w:val="en-US"/>
        </w:rPr>
        <w:t xml:space="preserve">of </w:t>
      </w:r>
      <w:r w:rsidR="00681940">
        <w:rPr>
          <w:rFonts w:ascii="Times New Roman" w:hAnsi="Times New Roman"/>
          <w:lang w:val="en-US"/>
        </w:rPr>
        <w:t xml:space="preserve">discharging </w:t>
      </w:r>
      <w:r w:rsidR="00641226">
        <w:rPr>
          <w:rFonts w:ascii="Times New Roman" w:hAnsi="Times New Roman"/>
          <w:lang w:val="en-US"/>
        </w:rPr>
        <w:t xml:space="preserve">direction </w:t>
      </w:r>
      <w:r w:rsidR="00681940">
        <w:rPr>
          <w:rFonts w:ascii="Times New Roman" w:hAnsi="Times New Roman"/>
          <w:lang w:val="en-US"/>
        </w:rPr>
        <w:t>CNG containers could be based on existing provisions within the EU on hydrogen vehicles.</w:t>
      </w:r>
    </w:p>
    <w:p w:rsidR="00CF40BB" w:rsidRDefault="00B27EA9" w:rsidP="00CF40BB">
      <w:pPr>
        <w:tabs>
          <w:tab w:val="left" w:pos="1418"/>
        </w:tabs>
        <w:spacing w:before="240" w:after="0" w:line="240" w:lineRule="auto"/>
        <w:ind w:left="1418" w:hanging="1418"/>
        <w:jc w:val="both"/>
        <w:rPr>
          <w:rFonts w:ascii="Times New Roman" w:hAnsi="Times New Roman"/>
          <w:u w:val="single"/>
          <w:lang w:val="en-US"/>
        </w:rPr>
      </w:pPr>
      <w:r>
        <w:rPr>
          <w:rFonts w:ascii="Times New Roman" w:hAnsi="Times New Roman"/>
          <w:lang w:val="en-US"/>
        </w:rPr>
        <w:t>“</w:t>
      </w:r>
      <w:r w:rsidR="00CF40BB" w:rsidRPr="00CF40BB">
        <w:rPr>
          <w:rFonts w:ascii="Times New Roman" w:hAnsi="Times New Roman"/>
          <w:lang w:val="en-US"/>
        </w:rPr>
        <w:t>17.5.2.</w:t>
      </w:r>
      <w:r w:rsidR="00CF40BB" w:rsidRPr="00CF40BB">
        <w:rPr>
          <w:rFonts w:ascii="Times New Roman" w:hAnsi="Times New Roman"/>
          <w:lang w:val="en-US"/>
        </w:rPr>
        <w:tab/>
      </w:r>
      <w:r w:rsidR="00CF40BB" w:rsidRPr="00CF40BB">
        <w:rPr>
          <w:rFonts w:ascii="Times New Roman" w:hAnsi="Times New Roman"/>
          <w:u w:val="single"/>
          <w:lang w:val="en-US"/>
        </w:rPr>
        <w:t>Pressure relief device</w:t>
      </w:r>
    </w:p>
    <w:p w:rsidR="009D2C33" w:rsidRDefault="009D2C33" w:rsidP="009D2C33">
      <w:pPr>
        <w:tabs>
          <w:tab w:val="left" w:pos="1418"/>
        </w:tabs>
        <w:spacing w:after="0" w:line="240" w:lineRule="auto"/>
        <w:ind w:left="1418" w:hanging="1418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lang w:val="en-US"/>
        </w:rPr>
        <w:t>17.5.2.1.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b/>
          <w:lang w:val="en-US"/>
        </w:rPr>
        <w:t>The CNG</w:t>
      </w:r>
      <w:r w:rsidRPr="00E17F34">
        <w:rPr>
          <w:rFonts w:ascii="Times New Roman" w:hAnsi="Times New Roman"/>
          <w:b/>
          <w:lang w:val="en-US"/>
        </w:rPr>
        <w:t xml:space="preserve"> gas discharge from pressure relief device </w:t>
      </w:r>
      <w:r>
        <w:rPr>
          <w:rFonts w:ascii="Times New Roman" w:hAnsi="Times New Roman"/>
          <w:b/>
          <w:lang w:val="en-US"/>
        </w:rPr>
        <w:t xml:space="preserve">(temperature triggered) </w:t>
      </w:r>
      <w:r w:rsidRPr="00E17F34">
        <w:rPr>
          <w:rFonts w:ascii="Times New Roman" w:hAnsi="Times New Roman"/>
          <w:b/>
          <w:lang w:val="en-US"/>
        </w:rPr>
        <w:t xml:space="preserve">shall not be directed: </w:t>
      </w:r>
    </w:p>
    <w:p w:rsidR="009D2C33" w:rsidRDefault="009D2C33" w:rsidP="009D2C33">
      <w:pPr>
        <w:spacing w:after="0" w:line="240" w:lineRule="auto"/>
        <w:ind w:left="1843" w:hanging="425"/>
        <w:rPr>
          <w:rFonts w:ascii="Times New Roman" w:hAnsi="Times New Roman"/>
          <w:b/>
          <w:lang w:val="en-US"/>
        </w:rPr>
      </w:pPr>
      <w:r w:rsidRPr="00E17F34">
        <w:rPr>
          <w:rFonts w:ascii="Times New Roman" w:hAnsi="Times New Roman"/>
          <w:b/>
          <w:lang w:val="en-US"/>
        </w:rPr>
        <w:t xml:space="preserve">(a) </w:t>
      </w:r>
      <w:r>
        <w:rPr>
          <w:rFonts w:ascii="Times New Roman" w:hAnsi="Times New Roman"/>
          <w:b/>
          <w:lang w:val="en-US"/>
        </w:rPr>
        <w:tab/>
      </w:r>
      <w:r w:rsidRPr="00E17F34">
        <w:rPr>
          <w:rFonts w:ascii="Times New Roman" w:hAnsi="Times New Roman"/>
          <w:b/>
          <w:lang w:val="en-US"/>
        </w:rPr>
        <w:t>towards exposed electrical terminals, exposed electrical switches or other ignition sources;</w:t>
      </w:r>
    </w:p>
    <w:p w:rsidR="009D2C33" w:rsidRDefault="009D2C33" w:rsidP="009D2C33">
      <w:pPr>
        <w:spacing w:after="0" w:line="240" w:lineRule="auto"/>
        <w:ind w:left="1843" w:hanging="425"/>
        <w:rPr>
          <w:rFonts w:ascii="Times New Roman" w:hAnsi="Times New Roman"/>
          <w:b/>
          <w:lang w:val="en-US"/>
        </w:rPr>
      </w:pPr>
      <w:r w:rsidRPr="00E17F34">
        <w:rPr>
          <w:rFonts w:ascii="Times New Roman" w:hAnsi="Times New Roman"/>
          <w:b/>
          <w:lang w:val="en-US"/>
        </w:rPr>
        <w:t xml:space="preserve">(b) </w:t>
      </w:r>
      <w:r>
        <w:rPr>
          <w:rFonts w:ascii="Times New Roman" w:hAnsi="Times New Roman"/>
          <w:b/>
          <w:lang w:val="en-US"/>
        </w:rPr>
        <w:tab/>
      </w:r>
      <w:r w:rsidRPr="00E17F34">
        <w:rPr>
          <w:rFonts w:ascii="Times New Roman" w:hAnsi="Times New Roman"/>
          <w:b/>
          <w:lang w:val="en-US"/>
        </w:rPr>
        <w:t>into or towards the vehicle passenger or luggage compartments;</w:t>
      </w:r>
    </w:p>
    <w:p w:rsidR="009D2C33" w:rsidRDefault="009D2C33" w:rsidP="009D2C33">
      <w:pPr>
        <w:spacing w:after="0" w:line="240" w:lineRule="auto"/>
        <w:ind w:left="1843" w:hanging="425"/>
        <w:rPr>
          <w:rFonts w:ascii="Times New Roman" w:hAnsi="Times New Roman"/>
          <w:b/>
          <w:lang w:val="en-US"/>
        </w:rPr>
      </w:pPr>
      <w:r w:rsidRPr="00E17F34">
        <w:rPr>
          <w:rFonts w:ascii="Times New Roman" w:hAnsi="Times New Roman"/>
          <w:b/>
          <w:lang w:val="en-US"/>
        </w:rPr>
        <w:t xml:space="preserve">(c) </w:t>
      </w:r>
      <w:r>
        <w:rPr>
          <w:rFonts w:ascii="Times New Roman" w:hAnsi="Times New Roman"/>
          <w:b/>
          <w:lang w:val="en-US"/>
        </w:rPr>
        <w:tab/>
      </w:r>
      <w:r w:rsidR="00116A76" w:rsidRPr="00E17F34">
        <w:rPr>
          <w:rFonts w:ascii="Times New Roman" w:hAnsi="Times New Roman"/>
          <w:b/>
          <w:lang w:val="en-US"/>
        </w:rPr>
        <w:t>towards any class 0 component;</w:t>
      </w:r>
    </w:p>
    <w:p w:rsidR="00B01CF4" w:rsidRDefault="009D2C33" w:rsidP="009D2C33">
      <w:pPr>
        <w:spacing w:after="0" w:line="240" w:lineRule="auto"/>
        <w:ind w:left="1843" w:hanging="425"/>
        <w:rPr>
          <w:rFonts w:ascii="Times New Roman" w:hAnsi="Times New Roman"/>
          <w:b/>
          <w:lang w:val="en-US"/>
        </w:rPr>
      </w:pPr>
      <w:r w:rsidRPr="00E17F34">
        <w:rPr>
          <w:rFonts w:ascii="Times New Roman" w:hAnsi="Times New Roman"/>
          <w:b/>
          <w:lang w:val="en-US"/>
        </w:rPr>
        <w:t xml:space="preserve">(d) </w:t>
      </w:r>
      <w:r>
        <w:rPr>
          <w:rFonts w:ascii="Times New Roman" w:hAnsi="Times New Roman"/>
          <w:b/>
          <w:lang w:val="en-US"/>
        </w:rPr>
        <w:tab/>
      </w:r>
      <w:r w:rsidR="00116A76" w:rsidRPr="00E17F34">
        <w:rPr>
          <w:rFonts w:ascii="Times New Roman" w:hAnsi="Times New Roman"/>
          <w:b/>
          <w:lang w:val="en-US"/>
        </w:rPr>
        <w:t>forward from the vehicle, or horizontally from the back or sides of the vehicle.</w:t>
      </w:r>
    </w:p>
    <w:p w:rsidR="009D2C33" w:rsidRPr="00116A76" w:rsidRDefault="00B01CF4" w:rsidP="00116A76">
      <w:pPr>
        <w:spacing w:after="0" w:line="240" w:lineRule="auto"/>
        <w:ind w:left="1843" w:hanging="425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ab/>
      </w:r>
    </w:p>
    <w:p w:rsidR="009D2C33" w:rsidRPr="00CF40BB" w:rsidRDefault="009D2C33" w:rsidP="00E14A73">
      <w:pPr>
        <w:tabs>
          <w:tab w:val="left" w:pos="1418"/>
        </w:tabs>
        <w:spacing w:before="240" w:after="0" w:line="240" w:lineRule="auto"/>
        <w:ind w:left="1418" w:hanging="1418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17.5.2.2.</w:t>
      </w:r>
      <w:r>
        <w:rPr>
          <w:rFonts w:ascii="Times New Roman" w:hAnsi="Times New Roman"/>
          <w:b/>
          <w:lang w:val="en-US"/>
        </w:rPr>
        <w:tab/>
      </w:r>
      <w:r w:rsidR="00C95F63"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  <w:lang w:val="en-US"/>
        </w:rPr>
        <w:t xml:space="preserve">n case the container(s) is (are) fitted inside the vehicle </w:t>
      </w:r>
      <w:r w:rsidR="00E14A73" w:rsidRPr="00E14A73">
        <w:rPr>
          <w:rFonts w:ascii="Times New Roman" w:hAnsi="Times New Roman"/>
          <w:b/>
          <w:lang w:val="en-US"/>
        </w:rPr>
        <w:t>the pressure relief device (temperature triggered) shall</w:t>
      </w:r>
      <w:r w:rsidR="00C95F63">
        <w:rPr>
          <w:rFonts w:ascii="Times New Roman" w:hAnsi="Times New Roman"/>
          <w:b/>
          <w:lang w:val="en-US"/>
        </w:rPr>
        <w:t>,</w:t>
      </w:r>
      <w:r w:rsidR="00E14A73" w:rsidRPr="00E14A73">
        <w:rPr>
          <w:rFonts w:ascii="Times New Roman" w:hAnsi="Times New Roman"/>
          <w:b/>
          <w:lang w:val="en-US"/>
        </w:rPr>
        <w:t xml:space="preserve"> </w:t>
      </w:r>
      <w:r w:rsidR="00C95F63">
        <w:rPr>
          <w:rFonts w:ascii="Times New Roman" w:hAnsi="Times New Roman"/>
          <w:b/>
          <w:lang w:val="en-US"/>
        </w:rPr>
        <w:t xml:space="preserve">in addition to the provisions of paragraph 15.5.2.1., </w:t>
      </w:r>
      <w:r w:rsidR="00E14A73" w:rsidRPr="00E14A73">
        <w:rPr>
          <w:rFonts w:ascii="Times New Roman" w:hAnsi="Times New Roman"/>
          <w:b/>
          <w:lang w:val="en-US"/>
        </w:rPr>
        <w:t>be fitted to the fuel container(s) in such a manner that it can discharge the CNG into an atmospheric outlet that vents outside the vehicle.</w:t>
      </w:r>
      <w:r w:rsidR="0063540C" w:rsidRPr="0063540C">
        <w:rPr>
          <w:rFonts w:ascii="Times New Roman" w:hAnsi="Times New Roman"/>
          <w:lang w:val="en-US"/>
        </w:rPr>
        <w:t xml:space="preserve"> </w:t>
      </w:r>
      <w:r w:rsidR="0063540C">
        <w:rPr>
          <w:rFonts w:ascii="Times New Roman" w:hAnsi="Times New Roman"/>
          <w:lang w:val="en-US"/>
        </w:rPr>
        <w:t>”</w:t>
      </w:r>
    </w:p>
    <w:p w:rsidR="006455C9" w:rsidRPr="006455C9" w:rsidRDefault="006455C9" w:rsidP="006455C9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6455C9" w:rsidRDefault="006455C9" w:rsidP="006455C9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116A76" w:rsidRPr="00E17F34" w:rsidRDefault="00116A76" w:rsidP="006455C9">
      <w:pPr>
        <w:spacing w:after="0" w:line="240" w:lineRule="auto"/>
        <w:rPr>
          <w:rFonts w:ascii="Times New Roman" w:hAnsi="Times New Roman"/>
          <w:b/>
          <w:lang w:val="en-US"/>
        </w:rPr>
      </w:pPr>
    </w:p>
    <w:p w:rsidR="004C2851" w:rsidRPr="006F2CD8" w:rsidRDefault="00B44D1F" w:rsidP="00B44D1F">
      <w:pPr>
        <w:spacing w:before="240" w:after="0" w:line="240" w:lineRule="auto"/>
        <w:ind w:hanging="567"/>
        <w:rPr>
          <w:rFonts w:ascii="Times New Roman" w:hAnsi="Times New Roman"/>
          <w:lang w:val="en-US"/>
        </w:rPr>
      </w:pPr>
      <w:r w:rsidRPr="002429BC">
        <w:rPr>
          <w:rFonts w:ascii="Times New Roman" w:hAnsi="Times New Roman"/>
          <w:b/>
          <w:lang w:val="en-US"/>
        </w:rPr>
        <w:lastRenderedPageBreak/>
        <w:t>B.</w:t>
      </w:r>
      <w:r w:rsidRPr="002429BC">
        <w:rPr>
          <w:rFonts w:ascii="Times New Roman" w:hAnsi="Times New Roman"/>
          <w:b/>
          <w:lang w:val="en-US"/>
        </w:rPr>
        <w:tab/>
      </w:r>
      <w:r w:rsidR="002429BC" w:rsidRPr="002429BC">
        <w:rPr>
          <w:rFonts w:ascii="Times New Roman" w:hAnsi="Times New Roman"/>
          <w:b/>
          <w:lang w:val="en-US"/>
        </w:rPr>
        <w:t>Smoke detectors</w:t>
      </w:r>
      <w:r w:rsidR="00E2455C">
        <w:rPr>
          <w:rFonts w:ascii="Times New Roman" w:hAnsi="Times New Roman"/>
          <w:b/>
          <w:lang w:val="en-US"/>
        </w:rPr>
        <w:t xml:space="preserve"> and fire alarm</w:t>
      </w:r>
      <w:r w:rsidR="00387AAD" w:rsidRPr="002429BC">
        <w:rPr>
          <w:rFonts w:ascii="Times New Roman" w:hAnsi="Times New Roman"/>
          <w:b/>
          <w:lang w:val="en-US"/>
        </w:rPr>
        <w:br/>
      </w:r>
      <w:r w:rsidR="002429BC" w:rsidRPr="002429BC">
        <w:rPr>
          <w:rFonts w:ascii="Times New Roman" w:hAnsi="Times New Roman"/>
          <w:lang w:val="en-US"/>
        </w:rPr>
        <w:t xml:space="preserve">UN Regulation </w:t>
      </w:r>
      <w:r w:rsidR="0063540C">
        <w:rPr>
          <w:rFonts w:ascii="Times New Roman" w:hAnsi="Times New Roman"/>
          <w:lang w:val="en-US"/>
        </w:rPr>
        <w:t>No. 107, R</w:t>
      </w:r>
      <w:r w:rsidR="002429BC" w:rsidRPr="002429BC">
        <w:rPr>
          <w:rFonts w:ascii="Times New Roman" w:hAnsi="Times New Roman"/>
          <w:lang w:val="en-US"/>
        </w:rPr>
        <w:t xml:space="preserve">evision 3 already requires </w:t>
      </w:r>
      <w:r w:rsidR="006F1B95">
        <w:rPr>
          <w:rFonts w:ascii="Times New Roman" w:hAnsi="Times New Roman"/>
          <w:lang w:val="en-US"/>
        </w:rPr>
        <w:t xml:space="preserve">since 31-12-2012 </w:t>
      </w:r>
      <w:r w:rsidR="002429BC" w:rsidRPr="002429BC">
        <w:rPr>
          <w:rFonts w:ascii="Times New Roman" w:hAnsi="Times New Roman"/>
          <w:lang w:val="en-US"/>
        </w:rPr>
        <w:t xml:space="preserve">an </w:t>
      </w:r>
      <w:r w:rsidR="006F1B95">
        <w:rPr>
          <w:rFonts w:ascii="Times New Roman" w:hAnsi="Times New Roman"/>
          <w:lang w:val="en-US"/>
        </w:rPr>
        <w:t>a</w:t>
      </w:r>
      <w:r w:rsidR="002429BC" w:rsidRPr="002429BC">
        <w:rPr>
          <w:rFonts w:ascii="Times New Roman" w:hAnsi="Times New Roman"/>
          <w:lang w:val="en-US"/>
        </w:rPr>
        <w:t>cou</w:t>
      </w:r>
      <w:r w:rsidR="006F1B95">
        <w:rPr>
          <w:rFonts w:ascii="Times New Roman" w:hAnsi="Times New Roman"/>
          <w:lang w:val="en-US"/>
        </w:rPr>
        <w:t>s</w:t>
      </w:r>
      <w:r w:rsidR="002429BC" w:rsidRPr="002429BC">
        <w:rPr>
          <w:rFonts w:ascii="Times New Roman" w:hAnsi="Times New Roman"/>
          <w:lang w:val="en-US"/>
        </w:rPr>
        <w:t xml:space="preserve">tic and visual fire alarm </w:t>
      </w:r>
      <w:r w:rsidR="002D4346">
        <w:rPr>
          <w:rFonts w:ascii="Times New Roman" w:hAnsi="Times New Roman"/>
          <w:lang w:val="en-US"/>
        </w:rPr>
        <w:t xml:space="preserve">in case of excess temperatures </w:t>
      </w:r>
      <w:r w:rsidR="002429BC" w:rsidRPr="002429BC">
        <w:rPr>
          <w:rFonts w:ascii="Times New Roman" w:hAnsi="Times New Roman"/>
          <w:lang w:val="en-US"/>
        </w:rPr>
        <w:t xml:space="preserve">for the engine </w:t>
      </w:r>
      <w:r w:rsidR="00984F33" w:rsidRPr="002429BC">
        <w:rPr>
          <w:rFonts w:ascii="Times New Roman" w:hAnsi="Times New Roman"/>
          <w:lang w:val="en-US"/>
        </w:rPr>
        <w:t>comp</w:t>
      </w:r>
      <w:r w:rsidR="00984F33">
        <w:rPr>
          <w:rFonts w:ascii="Times New Roman" w:hAnsi="Times New Roman"/>
          <w:lang w:val="en-US"/>
        </w:rPr>
        <w:t>artment when</w:t>
      </w:r>
      <w:r w:rsidR="006F1B95">
        <w:rPr>
          <w:rFonts w:ascii="Times New Roman" w:hAnsi="Times New Roman"/>
          <w:lang w:val="en-US"/>
        </w:rPr>
        <w:t xml:space="preserve"> it is situated beh</w:t>
      </w:r>
      <w:r w:rsidR="002429BC" w:rsidRPr="002429BC">
        <w:rPr>
          <w:rFonts w:ascii="Times New Roman" w:hAnsi="Times New Roman"/>
          <w:lang w:val="en-US"/>
        </w:rPr>
        <w:t xml:space="preserve">ind the drivers compartment and for other </w:t>
      </w:r>
      <w:r w:rsidR="00821445">
        <w:rPr>
          <w:rFonts w:ascii="Times New Roman" w:hAnsi="Times New Roman"/>
          <w:lang w:val="en-US"/>
        </w:rPr>
        <w:t xml:space="preserve">separate heating </w:t>
      </w:r>
      <w:r w:rsidR="002429BC" w:rsidRPr="002429BC">
        <w:rPr>
          <w:rFonts w:ascii="Times New Roman" w:hAnsi="Times New Roman"/>
          <w:lang w:val="en-US"/>
        </w:rPr>
        <w:t>compartments</w:t>
      </w:r>
      <w:r w:rsidR="0063540C">
        <w:rPr>
          <w:rFonts w:ascii="Times New Roman" w:hAnsi="Times New Roman"/>
          <w:lang w:val="en-US"/>
        </w:rPr>
        <w:t xml:space="preserve">. </w:t>
      </w:r>
      <w:r w:rsidR="006F1B95" w:rsidRPr="006F1B95">
        <w:rPr>
          <w:rFonts w:ascii="Times New Roman" w:hAnsi="Times New Roman"/>
          <w:lang w:val="en-US"/>
        </w:rPr>
        <w:t>The Eu</w:t>
      </w:r>
      <w:r w:rsidR="0063540C">
        <w:rPr>
          <w:rFonts w:ascii="Times New Roman" w:hAnsi="Times New Roman"/>
          <w:lang w:val="en-US"/>
        </w:rPr>
        <w:t>ropean Union has mandated this R</w:t>
      </w:r>
      <w:r w:rsidR="006F1B95" w:rsidRPr="006F1B95">
        <w:rPr>
          <w:rFonts w:ascii="Times New Roman" w:hAnsi="Times New Roman"/>
          <w:lang w:val="en-US"/>
        </w:rPr>
        <w:t>ev.3 for new</w:t>
      </w:r>
      <w:r w:rsidR="00641226">
        <w:rPr>
          <w:rFonts w:ascii="Times New Roman" w:hAnsi="Times New Roman"/>
          <w:lang w:val="en-US"/>
        </w:rPr>
        <w:t xml:space="preserve"> type approvals via the General Safety Regulation</w:t>
      </w:r>
      <w:r w:rsidR="006F1B95" w:rsidRPr="006F1B95">
        <w:rPr>
          <w:rFonts w:ascii="Times New Roman" w:hAnsi="Times New Roman"/>
          <w:lang w:val="en-US"/>
        </w:rPr>
        <w:t xml:space="preserve"> as from</w:t>
      </w:r>
      <w:r w:rsidR="006F2CD8">
        <w:rPr>
          <w:rFonts w:ascii="Times New Roman" w:hAnsi="Times New Roman"/>
          <w:lang w:val="en-US"/>
        </w:rPr>
        <w:t xml:space="preserve"> 1-11-2012 and for new registrati</w:t>
      </w:r>
      <w:r w:rsidR="006F1B95" w:rsidRPr="006F1B95">
        <w:rPr>
          <w:rFonts w:ascii="Times New Roman" w:hAnsi="Times New Roman"/>
          <w:lang w:val="en-US"/>
        </w:rPr>
        <w:t xml:space="preserve">ons as from 1-11-2014. </w:t>
      </w:r>
      <w:r w:rsidR="005F6529">
        <w:rPr>
          <w:rFonts w:ascii="Times New Roman" w:hAnsi="Times New Roman"/>
          <w:lang w:val="en-US"/>
        </w:rPr>
        <w:br/>
      </w:r>
      <w:r w:rsidR="00D15E80">
        <w:rPr>
          <w:rFonts w:ascii="Times New Roman" w:hAnsi="Times New Roman"/>
          <w:lang w:val="en-US"/>
        </w:rPr>
        <w:br/>
        <w:t xml:space="preserve">In addition, Revision 3, amendment 4 mandates smoke/fire detection in toilet compartments, driver’s sleeping compartments and other separate compartments as from 26July 2014 for new types and as from </w:t>
      </w:r>
      <w:r w:rsidR="005F6529">
        <w:rPr>
          <w:rFonts w:ascii="Times New Roman" w:hAnsi="Times New Roman"/>
          <w:lang w:val="en-US"/>
        </w:rPr>
        <w:t xml:space="preserve">26 July 2015 Contracting Parties may refuse registration of new vehicles when these provisions are not met. </w:t>
      </w:r>
      <w:r w:rsidR="00BE1353" w:rsidRPr="006F2CD8">
        <w:rPr>
          <w:rFonts w:ascii="Times New Roman" w:hAnsi="Times New Roman"/>
          <w:lang w:val="en-US"/>
        </w:rPr>
        <w:br/>
      </w:r>
    </w:p>
    <w:p w:rsidR="00BE1353" w:rsidRPr="00F552F2" w:rsidRDefault="00BE1353" w:rsidP="00B44D1F">
      <w:pPr>
        <w:spacing w:before="240" w:after="0" w:line="240" w:lineRule="auto"/>
        <w:ind w:hanging="567"/>
        <w:rPr>
          <w:rFonts w:ascii="Times New Roman" w:hAnsi="Times New Roman"/>
          <w:lang w:val="en-US"/>
        </w:rPr>
      </w:pPr>
      <w:r w:rsidRPr="00F552F2">
        <w:rPr>
          <w:rFonts w:ascii="Times New Roman" w:hAnsi="Times New Roman"/>
          <w:b/>
          <w:lang w:val="en-US"/>
        </w:rPr>
        <w:t>C.</w:t>
      </w:r>
      <w:r w:rsidRPr="00F552F2">
        <w:rPr>
          <w:rFonts w:ascii="Times New Roman" w:hAnsi="Times New Roman"/>
          <w:b/>
          <w:lang w:val="en-US"/>
        </w:rPr>
        <w:tab/>
      </w:r>
      <w:r w:rsidR="00F552F2" w:rsidRPr="00F552F2">
        <w:rPr>
          <w:rFonts w:ascii="Times New Roman" w:hAnsi="Times New Roman"/>
          <w:b/>
          <w:lang w:val="en-US"/>
        </w:rPr>
        <w:t>Automatic fire extinguishers</w:t>
      </w:r>
      <w:r w:rsidR="00486625" w:rsidRPr="00F552F2">
        <w:rPr>
          <w:rFonts w:ascii="Times New Roman" w:hAnsi="Times New Roman"/>
          <w:b/>
          <w:lang w:val="en-US"/>
        </w:rPr>
        <w:br/>
      </w:r>
      <w:r w:rsidR="00F552F2" w:rsidRPr="00F552F2">
        <w:rPr>
          <w:rFonts w:ascii="Times New Roman" w:hAnsi="Times New Roman"/>
          <w:lang w:val="en-US"/>
        </w:rPr>
        <w:t>At the moment there exist no legal provisions within the EU that mandate the fitting of automatic</w:t>
      </w:r>
      <w:r w:rsidR="00F552F2">
        <w:rPr>
          <w:rFonts w:ascii="Times New Roman" w:hAnsi="Times New Roman"/>
          <w:lang w:val="en-US"/>
        </w:rPr>
        <w:t xml:space="preserve"> fire extinguishers for buses an</w:t>
      </w:r>
      <w:r w:rsidR="00F552F2" w:rsidRPr="00F552F2">
        <w:rPr>
          <w:rFonts w:ascii="Times New Roman" w:hAnsi="Times New Roman"/>
          <w:lang w:val="en-US"/>
        </w:rPr>
        <w:t>d coaches.</w:t>
      </w:r>
      <w:r w:rsidR="00F552F2">
        <w:rPr>
          <w:rFonts w:ascii="Times New Roman" w:hAnsi="Times New Roman"/>
          <w:lang w:val="en-US"/>
        </w:rPr>
        <w:t xml:space="preserve"> However, this topic is under discussion in the GRSG and a first draft regulation from Sweden might be available in October 2013.</w:t>
      </w:r>
      <w:r w:rsidR="00397CDD">
        <w:rPr>
          <w:rFonts w:ascii="Times New Roman" w:hAnsi="Times New Roman"/>
          <w:lang w:val="en-US"/>
        </w:rPr>
        <w:t xml:space="preserve"> </w:t>
      </w:r>
      <w:r w:rsidR="003C693E" w:rsidRPr="00F552F2">
        <w:rPr>
          <w:rFonts w:ascii="Times New Roman" w:hAnsi="Times New Roman"/>
          <w:lang w:val="en-US"/>
        </w:rPr>
        <w:br/>
      </w:r>
    </w:p>
    <w:p w:rsidR="003C693E" w:rsidRPr="001268ED" w:rsidRDefault="003C693E" w:rsidP="00B44D1F">
      <w:pPr>
        <w:spacing w:before="240" w:after="0" w:line="240" w:lineRule="auto"/>
        <w:ind w:hanging="567"/>
        <w:rPr>
          <w:rFonts w:ascii="Times New Roman" w:hAnsi="Times New Roman"/>
          <w:lang w:val="en-US"/>
        </w:rPr>
      </w:pPr>
      <w:r w:rsidRPr="00F552F2">
        <w:rPr>
          <w:rFonts w:ascii="Times New Roman" w:hAnsi="Times New Roman"/>
          <w:b/>
          <w:lang w:val="en-US"/>
        </w:rPr>
        <w:t>D.</w:t>
      </w:r>
      <w:r w:rsidRPr="00F552F2">
        <w:rPr>
          <w:rFonts w:ascii="Times New Roman" w:hAnsi="Times New Roman"/>
          <w:b/>
          <w:lang w:val="en-US"/>
        </w:rPr>
        <w:tab/>
      </w:r>
      <w:r w:rsidR="00821445">
        <w:rPr>
          <w:rFonts w:ascii="Times New Roman" w:hAnsi="Times New Roman"/>
          <w:b/>
          <w:lang w:val="en-US"/>
        </w:rPr>
        <w:t>Burning behavio</w:t>
      </w:r>
      <w:r w:rsidR="00F552F2" w:rsidRPr="00F552F2">
        <w:rPr>
          <w:rFonts w:ascii="Times New Roman" w:hAnsi="Times New Roman"/>
          <w:b/>
          <w:lang w:val="en-US"/>
        </w:rPr>
        <w:t>r of materials used in buses and coaches</w:t>
      </w:r>
      <w:r w:rsidRPr="00F552F2">
        <w:rPr>
          <w:rFonts w:ascii="Times New Roman" w:hAnsi="Times New Roman"/>
          <w:lang w:val="en-US"/>
        </w:rPr>
        <w:br/>
      </w:r>
      <w:r w:rsidR="008C62A6">
        <w:rPr>
          <w:rFonts w:ascii="Times New Roman" w:hAnsi="Times New Roman"/>
          <w:lang w:val="en-US"/>
        </w:rPr>
        <w:t xml:space="preserve">UN </w:t>
      </w:r>
      <w:r w:rsidR="00F552F2" w:rsidRPr="00F552F2">
        <w:rPr>
          <w:rFonts w:ascii="Times New Roman" w:hAnsi="Times New Roman"/>
          <w:lang w:val="en-US"/>
        </w:rPr>
        <w:t>Regulation 118 contains pro</w:t>
      </w:r>
      <w:r w:rsidR="00821445">
        <w:rPr>
          <w:rFonts w:ascii="Times New Roman" w:hAnsi="Times New Roman"/>
          <w:lang w:val="en-US"/>
        </w:rPr>
        <w:t>visions for the burning behavio</w:t>
      </w:r>
      <w:r w:rsidR="00F552F2" w:rsidRPr="00F552F2">
        <w:rPr>
          <w:rFonts w:ascii="Times New Roman" w:hAnsi="Times New Roman"/>
          <w:lang w:val="en-US"/>
        </w:rPr>
        <w:t xml:space="preserve">r of materials used in the </w:t>
      </w:r>
      <w:r w:rsidR="0011406F">
        <w:rPr>
          <w:rFonts w:ascii="Times New Roman" w:hAnsi="Times New Roman"/>
          <w:lang w:val="en-US"/>
        </w:rPr>
        <w:t xml:space="preserve">interior of vehicles class II and III of category </w:t>
      </w:r>
      <w:r w:rsidRPr="00F552F2">
        <w:rPr>
          <w:rFonts w:ascii="Times New Roman" w:hAnsi="Times New Roman"/>
          <w:lang w:val="en-US"/>
        </w:rPr>
        <w:t>M</w:t>
      </w:r>
      <w:r w:rsidRPr="00F552F2">
        <w:rPr>
          <w:rFonts w:ascii="Times New Roman" w:hAnsi="Times New Roman"/>
          <w:vertAlign w:val="subscript"/>
          <w:lang w:val="en-US"/>
        </w:rPr>
        <w:t>3</w:t>
      </w:r>
      <w:r w:rsidRPr="00F552F2">
        <w:rPr>
          <w:rFonts w:ascii="Times New Roman" w:hAnsi="Times New Roman"/>
          <w:lang w:val="en-US"/>
        </w:rPr>
        <w:t xml:space="preserve"> </w:t>
      </w:r>
      <w:r w:rsidR="0011406F">
        <w:rPr>
          <w:rFonts w:ascii="Times New Roman" w:hAnsi="Times New Roman"/>
          <w:lang w:val="en-US"/>
        </w:rPr>
        <w:t>but excluding class I vehicles (city buses)</w:t>
      </w:r>
      <w:r w:rsidRPr="00F552F2">
        <w:rPr>
          <w:rFonts w:ascii="Times New Roman" w:hAnsi="Times New Roman"/>
          <w:lang w:val="en-US"/>
        </w:rPr>
        <w:t>.</w:t>
      </w:r>
      <w:r w:rsidR="00C41EAC" w:rsidRPr="00F552F2">
        <w:rPr>
          <w:rFonts w:ascii="Times New Roman" w:hAnsi="Times New Roman"/>
          <w:lang w:val="en-US"/>
        </w:rPr>
        <w:t xml:space="preserve"> </w:t>
      </w:r>
      <w:r w:rsidR="0011406F" w:rsidRPr="002F75C8">
        <w:rPr>
          <w:rFonts w:ascii="Times New Roman" w:hAnsi="Times New Roman"/>
          <w:lang w:val="en-US"/>
        </w:rPr>
        <w:t xml:space="preserve">It could be proposed to apply this regulation also to </w:t>
      </w:r>
      <w:r w:rsidR="00DF5956">
        <w:rPr>
          <w:rFonts w:ascii="Times New Roman" w:hAnsi="Times New Roman"/>
          <w:lang w:val="en-US"/>
        </w:rPr>
        <w:t xml:space="preserve">all bus </w:t>
      </w:r>
      <w:r w:rsidR="0011406F" w:rsidRPr="002F75C8">
        <w:rPr>
          <w:rFonts w:ascii="Times New Roman" w:hAnsi="Times New Roman"/>
          <w:lang w:val="en-US"/>
        </w:rPr>
        <w:t>class</w:t>
      </w:r>
      <w:r w:rsidR="00DF5956">
        <w:rPr>
          <w:rFonts w:ascii="Times New Roman" w:hAnsi="Times New Roman"/>
          <w:lang w:val="en-US"/>
        </w:rPr>
        <w:t xml:space="preserve">es </w:t>
      </w:r>
      <w:r w:rsidR="0011406F" w:rsidRPr="002F75C8">
        <w:rPr>
          <w:rFonts w:ascii="Times New Roman" w:hAnsi="Times New Roman"/>
          <w:lang w:val="en-US"/>
        </w:rPr>
        <w:t xml:space="preserve">with a CNG propulsion in order to </w:t>
      </w:r>
      <w:r w:rsidR="002F75C8" w:rsidRPr="002F75C8">
        <w:rPr>
          <w:rFonts w:ascii="Times New Roman" w:hAnsi="Times New Roman"/>
          <w:lang w:val="en-US"/>
        </w:rPr>
        <w:t xml:space="preserve">slow down the extension </w:t>
      </w:r>
      <w:r w:rsidR="00397CDD">
        <w:rPr>
          <w:rFonts w:ascii="Times New Roman" w:hAnsi="Times New Roman"/>
          <w:lang w:val="en-US"/>
        </w:rPr>
        <w:t xml:space="preserve">of a fire </w:t>
      </w:r>
      <w:r w:rsidR="002F75C8" w:rsidRPr="002F75C8">
        <w:rPr>
          <w:rFonts w:ascii="Times New Roman" w:hAnsi="Times New Roman"/>
          <w:lang w:val="en-US"/>
        </w:rPr>
        <w:t xml:space="preserve">or to </w:t>
      </w:r>
      <w:r w:rsidR="00984F33" w:rsidRPr="002F75C8">
        <w:rPr>
          <w:rFonts w:ascii="Times New Roman" w:hAnsi="Times New Roman"/>
          <w:lang w:val="en-US"/>
        </w:rPr>
        <w:t>exti</w:t>
      </w:r>
      <w:r w:rsidR="00984F33">
        <w:rPr>
          <w:rFonts w:ascii="Times New Roman" w:hAnsi="Times New Roman"/>
          <w:lang w:val="en-US"/>
        </w:rPr>
        <w:t>n</w:t>
      </w:r>
      <w:r w:rsidR="00984F33" w:rsidRPr="002F75C8">
        <w:rPr>
          <w:rFonts w:ascii="Times New Roman" w:hAnsi="Times New Roman"/>
          <w:lang w:val="en-US"/>
        </w:rPr>
        <w:t>guish a</w:t>
      </w:r>
      <w:r w:rsidR="002F75C8" w:rsidRPr="002F75C8">
        <w:rPr>
          <w:rFonts w:ascii="Times New Roman" w:hAnsi="Times New Roman"/>
          <w:lang w:val="en-US"/>
        </w:rPr>
        <w:t xml:space="preserve"> fire which might prevent the </w:t>
      </w:r>
      <w:r w:rsidR="002F75C8">
        <w:rPr>
          <w:rFonts w:ascii="Times New Roman" w:hAnsi="Times New Roman"/>
          <w:lang w:val="en-US"/>
        </w:rPr>
        <w:t xml:space="preserve">discharging of the CNG containers. A possible amendment to the scope of Regulation </w:t>
      </w:r>
      <w:r w:rsidR="0063540C">
        <w:rPr>
          <w:rFonts w:ascii="Times New Roman" w:hAnsi="Times New Roman"/>
          <w:lang w:val="en-US"/>
        </w:rPr>
        <w:t xml:space="preserve">No. </w:t>
      </w:r>
      <w:bookmarkStart w:id="0" w:name="_GoBack"/>
      <w:bookmarkEnd w:id="0"/>
      <w:r w:rsidR="002F75C8">
        <w:rPr>
          <w:rFonts w:ascii="Times New Roman" w:hAnsi="Times New Roman"/>
          <w:lang w:val="en-US"/>
        </w:rPr>
        <w:t>118 could be:</w:t>
      </w:r>
    </w:p>
    <w:p w:rsidR="008C5A4F" w:rsidRPr="008C5A4F" w:rsidRDefault="000C5BB9" w:rsidP="00F528A4">
      <w:pPr>
        <w:spacing w:before="240"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“</w:t>
      </w:r>
      <w:r w:rsidR="008C5A4F" w:rsidRPr="008C5A4F">
        <w:rPr>
          <w:rFonts w:ascii="Times New Roman" w:hAnsi="Times New Roman"/>
          <w:lang w:val="en-GB"/>
        </w:rPr>
        <w:t>1.</w:t>
      </w:r>
      <w:r w:rsidR="008C5A4F" w:rsidRPr="008C5A4F">
        <w:rPr>
          <w:rFonts w:ascii="Times New Roman" w:hAnsi="Times New Roman"/>
          <w:lang w:val="en-GB"/>
        </w:rPr>
        <w:tab/>
        <w:t>Scope</w:t>
      </w:r>
    </w:p>
    <w:p w:rsidR="008C5A4F" w:rsidRPr="008C5A4F" w:rsidRDefault="008C5A4F" w:rsidP="00F528A4">
      <w:pPr>
        <w:spacing w:before="240" w:after="0" w:line="240" w:lineRule="auto"/>
        <w:ind w:left="567" w:hanging="567"/>
        <w:rPr>
          <w:rFonts w:ascii="Times New Roman" w:hAnsi="Times New Roman"/>
          <w:lang w:val="en-GB"/>
        </w:rPr>
      </w:pPr>
      <w:r w:rsidRPr="008C5A4F">
        <w:rPr>
          <w:rFonts w:ascii="Times New Roman" w:hAnsi="Times New Roman"/>
          <w:lang w:val="en-GB"/>
        </w:rPr>
        <w:t>1.1.</w:t>
      </w:r>
      <w:r w:rsidRPr="008C5A4F">
        <w:rPr>
          <w:rFonts w:ascii="Times New Roman" w:hAnsi="Times New Roman"/>
          <w:lang w:val="en-GB"/>
        </w:rPr>
        <w:tab/>
        <w:t>This Regulation applies to the burning behaviour (ignitibility, burning rate and melting behaviour) and to the capability to repel fuel or lubricants of materials used in vehicles of categories M</w:t>
      </w:r>
      <w:r w:rsidRPr="008C5A4F">
        <w:rPr>
          <w:rFonts w:ascii="Times New Roman" w:hAnsi="Times New Roman"/>
          <w:vertAlign w:val="subscript"/>
          <w:lang w:val="en-GB"/>
        </w:rPr>
        <w:t>3</w:t>
      </w:r>
      <w:r w:rsidRPr="008C5A4F">
        <w:rPr>
          <w:rFonts w:ascii="Times New Roman" w:hAnsi="Times New Roman"/>
          <w:lang w:val="en-GB"/>
        </w:rPr>
        <w:t>, Classes II and III</w:t>
      </w:r>
      <w:r w:rsidR="00DF7E29" w:rsidRPr="008C5A4F">
        <w:rPr>
          <w:rFonts w:ascii="Times New Roman" w:hAnsi="Times New Roman"/>
          <w:vertAlign w:val="superscript"/>
          <w:lang w:val="en-GB"/>
        </w:rPr>
        <w:footnoteReference w:id="1"/>
      </w:r>
      <w:r w:rsidR="00DF7E29">
        <w:rPr>
          <w:rFonts w:ascii="Times New Roman" w:hAnsi="Times New Roman"/>
          <w:b/>
          <w:lang w:val="en-GB"/>
        </w:rPr>
        <w:t xml:space="preserve"> </w:t>
      </w:r>
      <w:r>
        <w:rPr>
          <w:rFonts w:ascii="Times New Roman" w:hAnsi="Times New Roman"/>
          <w:b/>
          <w:lang w:val="en-GB"/>
        </w:rPr>
        <w:t xml:space="preserve">and </w:t>
      </w:r>
      <w:r w:rsidR="000C5BB9">
        <w:rPr>
          <w:rFonts w:ascii="Times New Roman" w:hAnsi="Times New Roman"/>
          <w:b/>
          <w:lang w:val="en-GB"/>
        </w:rPr>
        <w:t xml:space="preserve">in </w:t>
      </w:r>
      <w:r>
        <w:rPr>
          <w:rFonts w:ascii="Times New Roman" w:hAnsi="Times New Roman"/>
          <w:b/>
          <w:lang w:val="en-GB"/>
        </w:rPr>
        <w:t xml:space="preserve">vehicles of category </w:t>
      </w:r>
      <w:r w:rsidR="00DF7E29">
        <w:rPr>
          <w:rFonts w:ascii="Times New Roman" w:hAnsi="Times New Roman"/>
          <w:b/>
          <w:lang w:val="en-GB"/>
        </w:rPr>
        <w:t>M</w:t>
      </w:r>
      <w:r w:rsidR="00DF7E29">
        <w:rPr>
          <w:rFonts w:ascii="Times New Roman" w:hAnsi="Times New Roman"/>
          <w:b/>
          <w:vertAlign w:val="subscript"/>
          <w:lang w:val="en-GB"/>
        </w:rPr>
        <w:t>2</w:t>
      </w:r>
      <w:r w:rsidR="00DF7E29">
        <w:rPr>
          <w:rFonts w:ascii="Times New Roman" w:hAnsi="Times New Roman"/>
          <w:b/>
          <w:lang w:val="en-GB"/>
        </w:rPr>
        <w:t xml:space="preserve"> or </w:t>
      </w:r>
      <w:r>
        <w:rPr>
          <w:rFonts w:ascii="Times New Roman" w:hAnsi="Times New Roman"/>
          <w:b/>
          <w:lang w:val="en-GB"/>
        </w:rPr>
        <w:t>M</w:t>
      </w:r>
      <w:r w:rsidRPr="000C5BB9">
        <w:rPr>
          <w:rFonts w:ascii="Times New Roman" w:hAnsi="Times New Roman"/>
          <w:b/>
          <w:vertAlign w:val="subscript"/>
          <w:lang w:val="en-GB"/>
        </w:rPr>
        <w:t>3</w:t>
      </w:r>
      <w:r w:rsidR="00DF7E29">
        <w:rPr>
          <w:rFonts w:ascii="Times New Roman" w:hAnsi="Times New Roman"/>
          <w:b/>
          <w:vertAlign w:val="subscript"/>
          <w:lang w:val="en-GB"/>
        </w:rPr>
        <w:t xml:space="preserve"> </w:t>
      </w:r>
      <w:r w:rsidR="00163756">
        <w:rPr>
          <w:rFonts w:ascii="Times New Roman" w:hAnsi="Times New Roman"/>
          <w:b/>
          <w:lang w:val="en-GB"/>
        </w:rPr>
        <w:t>using compressed natural gas (CNG) in their propulsion system</w:t>
      </w:r>
      <w:r w:rsidRPr="008C5A4F">
        <w:rPr>
          <w:rFonts w:ascii="Times New Roman" w:hAnsi="Times New Roman"/>
          <w:lang w:val="en-GB"/>
        </w:rPr>
        <w:t>.</w:t>
      </w:r>
    </w:p>
    <w:p w:rsidR="008C5A4F" w:rsidRPr="008C5A4F" w:rsidRDefault="008C5A4F" w:rsidP="00F528A4">
      <w:pPr>
        <w:spacing w:before="240" w:after="0" w:line="240" w:lineRule="auto"/>
        <w:ind w:left="567" w:hanging="567"/>
        <w:rPr>
          <w:rFonts w:ascii="Times New Roman" w:hAnsi="Times New Roman"/>
          <w:lang w:val="en-GB"/>
        </w:rPr>
      </w:pPr>
      <w:r w:rsidRPr="008C5A4F">
        <w:rPr>
          <w:rFonts w:ascii="Times New Roman" w:hAnsi="Times New Roman"/>
          <w:lang w:val="en-GB"/>
        </w:rPr>
        <w:tab/>
        <w:t>Type approvals are granted according to:</w:t>
      </w:r>
    </w:p>
    <w:p w:rsidR="008C5A4F" w:rsidRPr="008C5A4F" w:rsidRDefault="008C5A4F" w:rsidP="00F528A4">
      <w:pPr>
        <w:spacing w:before="240" w:after="0" w:line="240" w:lineRule="auto"/>
        <w:ind w:left="567" w:hanging="567"/>
        <w:rPr>
          <w:rFonts w:ascii="Times New Roman" w:hAnsi="Times New Roman"/>
          <w:lang w:val="en-GB"/>
        </w:rPr>
      </w:pPr>
      <w:r w:rsidRPr="008C5A4F">
        <w:rPr>
          <w:rFonts w:ascii="Times New Roman" w:hAnsi="Times New Roman"/>
          <w:lang w:val="en-GB"/>
        </w:rPr>
        <w:t>1.2.</w:t>
      </w:r>
      <w:r w:rsidRPr="008C5A4F">
        <w:rPr>
          <w:rFonts w:ascii="Times New Roman" w:hAnsi="Times New Roman"/>
          <w:lang w:val="en-GB"/>
        </w:rPr>
        <w:tab/>
        <w:t>Part I - Approval of a vehicle type with regard to the burning behaviour and/or the capability to repel fuel or lubricant of the components used in the interior compartment, the engine compartment and any separate heating compartment.</w:t>
      </w:r>
    </w:p>
    <w:p w:rsidR="008C5A4F" w:rsidRPr="008C5A4F" w:rsidRDefault="008C5A4F" w:rsidP="00F528A4">
      <w:pPr>
        <w:spacing w:before="240" w:after="0" w:line="240" w:lineRule="auto"/>
        <w:ind w:left="567" w:hanging="567"/>
        <w:rPr>
          <w:rFonts w:ascii="Times New Roman" w:hAnsi="Times New Roman"/>
          <w:lang w:val="en-GB"/>
        </w:rPr>
      </w:pPr>
      <w:r w:rsidRPr="008C5A4F">
        <w:rPr>
          <w:rFonts w:ascii="Times New Roman" w:hAnsi="Times New Roman"/>
          <w:lang w:val="en-GB"/>
        </w:rPr>
        <w:t>1.3.</w:t>
      </w:r>
      <w:r w:rsidRPr="008C5A4F">
        <w:rPr>
          <w:rFonts w:ascii="Times New Roman" w:hAnsi="Times New Roman"/>
          <w:lang w:val="en-GB"/>
        </w:rPr>
        <w:tab/>
        <w:t>Part II – Approval of a component with regard to its burning behaviour and/or its capability to repel fuel or lubricant installed in the interior compartment, the engine compartment or any separate heating compartment.</w:t>
      </w:r>
      <w:r w:rsidR="000C5BB9">
        <w:rPr>
          <w:rFonts w:ascii="Times New Roman" w:hAnsi="Times New Roman"/>
          <w:lang w:val="en-GB"/>
        </w:rPr>
        <w:t>”</w:t>
      </w:r>
    </w:p>
    <w:p w:rsidR="005648E5" w:rsidRDefault="005648E5">
      <w:pPr>
        <w:rPr>
          <w:lang w:val="en-US"/>
        </w:rPr>
      </w:pPr>
    </w:p>
    <w:p w:rsidR="00DF5956" w:rsidRPr="00DF5956" w:rsidRDefault="0064122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30</w:t>
      </w:r>
      <w:r w:rsidR="008C62A6">
        <w:rPr>
          <w:rFonts w:ascii="Times New Roman" w:hAnsi="Times New Roman" w:cs="Times New Roman"/>
          <w:lang w:val="en-US"/>
        </w:rPr>
        <w:t xml:space="preserve"> September </w:t>
      </w:r>
      <w:r w:rsidR="00DF5956" w:rsidRPr="00DF5956">
        <w:rPr>
          <w:rFonts w:ascii="Times New Roman" w:hAnsi="Times New Roman" w:cs="Times New Roman"/>
          <w:lang w:val="en-US"/>
        </w:rPr>
        <w:t>2013</w:t>
      </w:r>
    </w:p>
    <w:p w:rsidR="00EE2B8B" w:rsidRPr="008C5A4F" w:rsidRDefault="00EE2B8B">
      <w:pPr>
        <w:rPr>
          <w:lang w:val="en-US"/>
        </w:rPr>
      </w:pPr>
    </w:p>
    <w:sectPr w:rsidR="00EE2B8B" w:rsidRPr="008C5A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F5C" w:rsidRDefault="00470F5C" w:rsidP="008C5A4F">
      <w:pPr>
        <w:spacing w:after="0" w:line="240" w:lineRule="auto"/>
      </w:pPr>
      <w:r>
        <w:separator/>
      </w:r>
    </w:p>
  </w:endnote>
  <w:endnote w:type="continuationSeparator" w:id="0">
    <w:p w:rsidR="00470F5C" w:rsidRDefault="00470F5C" w:rsidP="008C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457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540C" w:rsidRDefault="006354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540C" w:rsidRDefault="006354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F5C" w:rsidRDefault="00470F5C" w:rsidP="008C5A4F">
      <w:pPr>
        <w:spacing w:after="0" w:line="240" w:lineRule="auto"/>
      </w:pPr>
      <w:r>
        <w:separator/>
      </w:r>
    </w:p>
  </w:footnote>
  <w:footnote w:type="continuationSeparator" w:id="0">
    <w:p w:rsidR="00470F5C" w:rsidRDefault="00470F5C" w:rsidP="008C5A4F">
      <w:pPr>
        <w:spacing w:after="0" w:line="240" w:lineRule="auto"/>
      </w:pPr>
      <w:r>
        <w:continuationSeparator/>
      </w:r>
    </w:p>
  </w:footnote>
  <w:footnote w:id="1">
    <w:p w:rsidR="00DF7E29" w:rsidRPr="005F6C1B" w:rsidRDefault="00DF7E29" w:rsidP="00DF7E29">
      <w:pPr>
        <w:pStyle w:val="FootnoteText"/>
        <w:widowControl w:val="0"/>
        <w:tabs>
          <w:tab w:val="right" w:pos="1020"/>
        </w:tabs>
        <w:rPr>
          <w:lang w:val="fr-CH"/>
        </w:rPr>
      </w:pPr>
      <w:r>
        <w:rPr>
          <w:rStyle w:val="FootnoteReference"/>
        </w:rPr>
        <w:footnoteRef/>
      </w:r>
      <w:r w:rsidRPr="008C5A4F">
        <w:rPr>
          <w:lang w:val="en-US"/>
        </w:rPr>
        <w:tab/>
      </w:r>
      <w:r w:rsidRPr="005F6C1B">
        <w:rPr>
          <w:lang w:val="en-US"/>
        </w:rPr>
        <w:t xml:space="preserve">As defined in the Consolidated Resolution on the Construction of Vehicles (R.E.3.), document ECE/TRANS/WP.29/78/Rev.2, para. </w:t>
      </w:r>
      <w:r w:rsidRPr="005F6C1B">
        <w:rPr>
          <w:lang w:val="fr-FR"/>
        </w:rPr>
        <w:t>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27"/>
    <w:rsid w:val="00037B84"/>
    <w:rsid w:val="0009017B"/>
    <w:rsid w:val="000C5BB9"/>
    <w:rsid w:val="000D5300"/>
    <w:rsid w:val="0011406F"/>
    <w:rsid w:val="00116A76"/>
    <w:rsid w:val="00122748"/>
    <w:rsid w:val="001268ED"/>
    <w:rsid w:val="00145DED"/>
    <w:rsid w:val="00163756"/>
    <w:rsid w:val="00201E50"/>
    <w:rsid w:val="002429BC"/>
    <w:rsid w:val="00254389"/>
    <w:rsid w:val="00287E43"/>
    <w:rsid w:val="002D4346"/>
    <w:rsid w:val="002F75C8"/>
    <w:rsid w:val="00300227"/>
    <w:rsid w:val="003129F7"/>
    <w:rsid w:val="00387AAD"/>
    <w:rsid w:val="00397CDD"/>
    <w:rsid w:val="003A71D3"/>
    <w:rsid w:val="003C5EC8"/>
    <w:rsid w:val="003C693E"/>
    <w:rsid w:val="0040504C"/>
    <w:rsid w:val="00416DFD"/>
    <w:rsid w:val="00470F5C"/>
    <w:rsid w:val="00474190"/>
    <w:rsid w:val="00486625"/>
    <w:rsid w:val="00493642"/>
    <w:rsid w:val="004C2851"/>
    <w:rsid w:val="004C76FB"/>
    <w:rsid w:val="004D7A30"/>
    <w:rsid w:val="005648E5"/>
    <w:rsid w:val="005F6529"/>
    <w:rsid w:val="0063540C"/>
    <w:rsid w:val="00641226"/>
    <w:rsid w:val="006455C9"/>
    <w:rsid w:val="00681940"/>
    <w:rsid w:val="006A22BC"/>
    <w:rsid w:val="006D0777"/>
    <w:rsid w:val="006E4491"/>
    <w:rsid w:val="006F1B95"/>
    <w:rsid w:val="006F2CD8"/>
    <w:rsid w:val="00736A72"/>
    <w:rsid w:val="00746741"/>
    <w:rsid w:val="00787394"/>
    <w:rsid w:val="007B3747"/>
    <w:rsid w:val="007B757D"/>
    <w:rsid w:val="00806316"/>
    <w:rsid w:val="00811CD2"/>
    <w:rsid w:val="00821445"/>
    <w:rsid w:val="008569A4"/>
    <w:rsid w:val="008C5A4F"/>
    <w:rsid w:val="008C62A6"/>
    <w:rsid w:val="009545EB"/>
    <w:rsid w:val="00984F33"/>
    <w:rsid w:val="00990C40"/>
    <w:rsid w:val="009D2C33"/>
    <w:rsid w:val="009E20ED"/>
    <w:rsid w:val="00AB3A8F"/>
    <w:rsid w:val="00AF62BE"/>
    <w:rsid w:val="00B01CF4"/>
    <w:rsid w:val="00B27EA9"/>
    <w:rsid w:val="00B41B53"/>
    <w:rsid w:val="00B44D1F"/>
    <w:rsid w:val="00B65C28"/>
    <w:rsid w:val="00B669B4"/>
    <w:rsid w:val="00B673FB"/>
    <w:rsid w:val="00B86EE5"/>
    <w:rsid w:val="00BE1353"/>
    <w:rsid w:val="00BF5AB9"/>
    <w:rsid w:val="00C41EAC"/>
    <w:rsid w:val="00C95F63"/>
    <w:rsid w:val="00CF40BB"/>
    <w:rsid w:val="00D15E80"/>
    <w:rsid w:val="00D6414D"/>
    <w:rsid w:val="00DB3D0C"/>
    <w:rsid w:val="00DD0E06"/>
    <w:rsid w:val="00DF5956"/>
    <w:rsid w:val="00DF7E29"/>
    <w:rsid w:val="00E14A73"/>
    <w:rsid w:val="00E17F34"/>
    <w:rsid w:val="00E2455C"/>
    <w:rsid w:val="00E863E0"/>
    <w:rsid w:val="00E966CE"/>
    <w:rsid w:val="00EC08D8"/>
    <w:rsid w:val="00EC4C00"/>
    <w:rsid w:val="00ED2B84"/>
    <w:rsid w:val="00EE2B8B"/>
    <w:rsid w:val="00F528A4"/>
    <w:rsid w:val="00F552F2"/>
    <w:rsid w:val="00F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C5A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A4F"/>
    <w:rPr>
      <w:sz w:val="20"/>
      <w:szCs w:val="20"/>
    </w:rPr>
  </w:style>
  <w:style w:type="character" w:styleId="FootnoteReference">
    <w:name w:val="footnote reference"/>
    <w:aliases w:val="4_G"/>
    <w:rsid w:val="008C5A4F"/>
    <w:rPr>
      <w:rFonts w:ascii="Times New Roman" w:hAnsi="Times New Roman"/>
      <w:sz w:val="18"/>
      <w:vertAlign w:val="superscript"/>
    </w:rPr>
  </w:style>
  <w:style w:type="paragraph" w:styleId="Header">
    <w:name w:val="header"/>
    <w:basedOn w:val="Normal"/>
    <w:link w:val="HeaderChar"/>
    <w:uiPriority w:val="99"/>
    <w:rsid w:val="0080631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80631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HChG">
    <w:name w:val="_ H _Ch_G"/>
    <w:basedOn w:val="Normal"/>
    <w:next w:val="Normal"/>
    <w:link w:val="HChGChar"/>
    <w:rsid w:val="0074674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746741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35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C5A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A4F"/>
    <w:rPr>
      <w:sz w:val="20"/>
      <w:szCs w:val="20"/>
    </w:rPr>
  </w:style>
  <w:style w:type="character" w:styleId="FootnoteReference">
    <w:name w:val="footnote reference"/>
    <w:aliases w:val="4_G"/>
    <w:rsid w:val="008C5A4F"/>
    <w:rPr>
      <w:rFonts w:ascii="Times New Roman" w:hAnsi="Times New Roman"/>
      <w:sz w:val="18"/>
      <w:vertAlign w:val="superscript"/>
    </w:rPr>
  </w:style>
  <w:style w:type="paragraph" w:styleId="Header">
    <w:name w:val="header"/>
    <w:basedOn w:val="Normal"/>
    <w:link w:val="HeaderChar"/>
    <w:uiPriority w:val="99"/>
    <w:rsid w:val="0080631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80631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HChG">
    <w:name w:val="_ H _Ch_G"/>
    <w:basedOn w:val="Normal"/>
    <w:next w:val="Normal"/>
    <w:link w:val="HChGChar"/>
    <w:rsid w:val="0074674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746741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35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RDW Voertuiginformatie en -toelating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Jongenelen, Harry</dc:creator>
  <cp:lastModifiedBy>Romain Hubert</cp:lastModifiedBy>
  <cp:revision>2</cp:revision>
  <cp:lastPrinted>2013-09-30T11:18:00Z</cp:lastPrinted>
  <dcterms:created xsi:type="dcterms:W3CDTF">2013-09-30T15:51:00Z</dcterms:created>
  <dcterms:modified xsi:type="dcterms:W3CDTF">2013-09-30T15:51:00Z</dcterms:modified>
</cp:coreProperties>
</file>