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DD8" w:rsidRDefault="00FF5DD8" w:rsidP="007D42EF">
      <w:pPr>
        <w:widowControl w:val="0"/>
        <w:autoSpaceDE w:val="0"/>
        <w:autoSpaceDN w:val="0"/>
        <w:adjustRightInd w:val="0"/>
        <w:spacing w:after="240"/>
        <w:rPr>
          <w:rFonts w:ascii="Times New Roman" w:hAnsi="Times New Roman"/>
          <w:sz w:val="26"/>
          <w:szCs w:val="26"/>
        </w:rPr>
      </w:pPr>
      <w:r>
        <w:rPr>
          <w:rFonts w:ascii="Times New Roman" w:hAnsi="Times New Roman"/>
          <w:sz w:val="26"/>
          <w:szCs w:val="26"/>
        </w:rPr>
        <w:t>Transmitted by OICA</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Informal Document </w:t>
      </w:r>
      <w:r>
        <w:rPr>
          <w:rFonts w:ascii="Times" w:hAnsi="Times" w:cs="Times"/>
          <w:sz w:val="26"/>
          <w:szCs w:val="26"/>
        </w:rPr>
        <w:t>GRPE-66-</w:t>
      </w:r>
      <w:r w:rsidR="00D84371">
        <w:rPr>
          <w:rFonts w:ascii="Times" w:hAnsi="Times" w:cs="Times"/>
          <w:sz w:val="26"/>
          <w:szCs w:val="26"/>
        </w:rPr>
        <w:t>41</w:t>
      </w:r>
      <w:bookmarkStart w:id="0" w:name="_GoBack"/>
      <w:bookmarkEnd w:id="0"/>
    </w:p>
    <w:p w:rsidR="00FF5DD8" w:rsidRPr="007D42EF" w:rsidRDefault="00FF5DD8" w:rsidP="007D42EF">
      <w:pPr>
        <w:widowControl w:val="0"/>
        <w:autoSpaceDE w:val="0"/>
        <w:autoSpaceDN w:val="0"/>
        <w:adjustRightInd w:val="0"/>
        <w:spacing w:after="240"/>
        <w:ind w:left="4320" w:firstLine="720"/>
        <w:rPr>
          <w:rFonts w:ascii="Times" w:hAnsi="Times" w:cs="Times"/>
          <w:sz w:val="26"/>
          <w:szCs w:val="26"/>
        </w:rPr>
      </w:pPr>
      <w:r>
        <w:rPr>
          <w:rFonts w:ascii="Times New Roman" w:hAnsi="Times New Roman"/>
          <w:sz w:val="26"/>
          <w:szCs w:val="26"/>
        </w:rPr>
        <w:t>(GRPE-66, June 3-7, 2013, agenda item 14)</w:t>
      </w:r>
    </w:p>
    <w:p w:rsidR="001A143A" w:rsidRDefault="001A143A" w:rsidP="001A143A">
      <w:pPr>
        <w:widowControl w:val="0"/>
        <w:autoSpaceDE w:val="0"/>
        <w:autoSpaceDN w:val="0"/>
        <w:adjustRightInd w:val="0"/>
        <w:spacing w:after="240"/>
        <w:jc w:val="center"/>
        <w:rPr>
          <w:rFonts w:ascii="Times" w:hAnsi="Times" w:cs="Times"/>
          <w:sz w:val="38"/>
          <w:szCs w:val="38"/>
        </w:rPr>
      </w:pPr>
    </w:p>
    <w:p w:rsidR="00904E7F" w:rsidRPr="00144AA9" w:rsidRDefault="001A143A" w:rsidP="00904E7F">
      <w:pPr>
        <w:widowControl w:val="0"/>
        <w:autoSpaceDE w:val="0"/>
        <w:autoSpaceDN w:val="0"/>
        <w:adjustRightInd w:val="0"/>
        <w:spacing w:after="240"/>
        <w:jc w:val="center"/>
        <w:rPr>
          <w:rFonts w:ascii="Times" w:hAnsi="Times" w:cs="Times"/>
          <w:b/>
          <w:sz w:val="38"/>
          <w:szCs w:val="38"/>
        </w:rPr>
      </w:pPr>
      <w:r w:rsidRPr="00144AA9">
        <w:rPr>
          <w:rFonts w:ascii="Times" w:hAnsi="Times" w:cs="Times"/>
          <w:b/>
          <w:sz w:val="38"/>
          <w:szCs w:val="38"/>
        </w:rPr>
        <w:t xml:space="preserve">Proposal for amendments </w:t>
      </w:r>
      <w:r w:rsidR="00904E7F" w:rsidRPr="00144AA9">
        <w:rPr>
          <w:rFonts w:ascii="Times" w:hAnsi="Times" w:cs="Times"/>
          <w:b/>
          <w:sz w:val="38"/>
          <w:szCs w:val="38"/>
        </w:rPr>
        <w:t>to document</w:t>
      </w:r>
    </w:p>
    <w:p w:rsidR="00904E7F" w:rsidRPr="00144AA9" w:rsidRDefault="00FF5DD8" w:rsidP="001A143A">
      <w:pPr>
        <w:widowControl w:val="0"/>
        <w:autoSpaceDE w:val="0"/>
        <w:autoSpaceDN w:val="0"/>
        <w:adjustRightInd w:val="0"/>
        <w:spacing w:after="240"/>
        <w:jc w:val="center"/>
        <w:rPr>
          <w:rFonts w:ascii="Times" w:hAnsi="Times" w:cs="Times"/>
          <w:b/>
          <w:sz w:val="38"/>
          <w:szCs w:val="38"/>
        </w:rPr>
      </w:pPr>
      <w:r w:rsidRPr="00144AA9">
        <w:rPr>
          <w:rFonts w:ascii="Times" w:hAnsi="Times" w:cs="Times"/>
          <w:b/>
          <w:sz w:val="38"/>
          <w:szCs w:val="38"/>
        </w:rPr>
        <w:t>GRPE-66-37 by the Russian Federation</w:t>
      </w:r>
    </w:p>
    <w:p w:rsidR="00904E7F" w:rsidRPr="00144AA9" w:rsidRDefault="00904E7F" w:rsidP="00904E7F">
      <w:pPr>
        <w:widowControl w:val="0"/>
        <w:autoSpaceDE w:val="0"/>
        <w:autoSpaceDN w:val="0"/>
        <w:adjustRightInd w:val="0"/>
        <w:spacing w:after="240"/>
        <w:jc w:val="center"/>
        <w:rPr>
          <w:rFonts w:ascii="Times" w:hAnsi="Times" w:cs="Times"/>
          <w:b/>
          <w:sz w:val="38"/>
          <w:szCs w:val="38"/>
        </w:rPr>
      </w:pPr>
      <w:r w:rsidRPr="00144AA9">
        <w:rPr>
          <w:rFonts w:ascii="Times" w:hAnsi="Times" w:cs="Times"/>
          <w:b/>
          <w:sz w:val="38"/>
          <w:szCs w:val="38"/>
        </w:rPr>
        <w:t>(</w:t>
      </w:r>
      <w:proofErr w:type="gramStart"/>
      <w:r w:rsidRPr="00144AA9">
        <w:rPr>
          <w:rFonts w:ascii="Times" w:hAnsi="Times" w:cs="Times"/>
          <w:b/>
          <w:sz w:val="38"/>
          <w:szCs w:val="38"/>
        </w:rPr>
        <w:t>ref</w:t>
      </w:r>
      <w:proofErr w:type="gramEnd"/>
      <w:r w:rsidRPr="00144AA9">
        <w:rPr>
          <w:rFonts w:ascii="Times" w:hAnsi="Times" w:cs="Times"/>
          <w:b/>
          <w:sz w:val="38"/>
          <w:szCs w:val="38"/>
        </w:rPr>
        <w:t>. draft new Regulation on recyclability of motor vehicles)</w:t>
      </w:r>
    </w:p>
    <w:p w:rsidR="00FF5DD8" w:rsidRPr="007D42EF" w:rsidRDefault="00FF5DD8" w:rsidP="00904E7F">
      <w:pPr>
        <w:widowControl w:val="0"/>
        <w:autoSpaceDE w:val="0"/>
        <w:autoSpaceDN w:val="0"/>
        <w:adjustRightInd w:val="0"/>
        <w:spacing w:after="240"/>
        <w:jc w:val="center"/>
        <w:rPr>
          <w:rFonts w:ascii="Times" w:hAnsi="Times" w:cs="Times"/>
          <w:sz w:val="38"/>
          <w:szCs w:val="38"/>
        </w:rPr>
      </w:pPr>
    </w:p>
    <w:p w:rsidR="00FF5DD8" w:rsidRDefault="00FF5DD8" w:rsidP="007D42EF">
      <w:pPr>
        <w:widowControl w:val="0"/>
        <w:autoSpaceDE w:val="0"/>
        <w:autoSpaceDN w:val="0"/>
        <w:adjustRightInd w:val="0"/>
        <w:spacing w:after="240"/>
        <w:rPr>
          <w:rFonts w:ascii="Times" w:hAnsi="Times" w:cs="Times"/>
          <w:sz w:val="38"/>
          <w:szCs w:val="38"/>
        </w:rPr>
      </w:pPr>
      <w:r>
        <w:rPr>
          <w:rFonts w:ascii="Times" w:hAnsi="Times" w:cs="Times"/>
          <w:sz w:val="38"/>
          <w:szCs w:val="38"/>
        </w:rPr>
        <w:t>I. Proposal</w:t>
      </w:r>
    </w:p>
    <w:p w:rsidR="00FF5DD8" w:rsidRDefault="00FF5DD8" w:rsidP="007D42EF">
      <w:pPr>
        <w:widowControl w:val="0"/>
        <w:autoSpaceDE w:val="0"/>
        <w:autoSpaceDN w:val="0"/>
        <w:adjustRightInd w:val="0"/>
        <w:spacing w:after="240"/>
        <w:rPr>
          <w:rFonts w:ascii="Times" w:hAnsi="Times" w:cs="Times"/>
          <w:sz w:val="26"/>
          <w:szCs w:val="26"/>
        </w:rPr>
      </w:pPr>
      <w:r>
        <w:rPr>
          <w:rFonts w:ascii="Times" w:hAnsi="Times" w:cs="Times"/>
          <w:sz w:val="26"/>
          <w:szCs w:val="26"/>
        </w:rPr>
        <w:t>1. Add the following new paragraphs to Annex 1:</w:t>
      </w:r>
    </w:p>
    <w:p w:rsidR="00FF5DD8" w:rsidRPr="007D42EF" w:rsidRDefault="00FF5DD8" w:rsidP="007D42EF">
      <w:pPr>
        <w:widowControl w:val="0"/>
        <w:autoSpaceDE w:val="0"/>
        <w:autoSpaceDN w:val="0"/>
        <w:adjustRightInd w:val="0"/>
        <w:spacing w:after="240"/>
        <w:rPr>
          <w:rFonts w:ascii="Times" w:hAnsi="Times" w:cs="Times"/>
          <w:sz w:val="26"/>
          <w:szCs w:val="26"/>
        </w:rPr>
      </w:pPr>
      <w:r>
        <w:rPr>
          <w:rFonts w:ascii="Times" w:hAnsi="Times" w:cs="Times"/>
          <w:sz w:val="26"/>
          <w:szCs w:val="26"/>
        </w:rPr>
        <w:t>Paragraph 10.</w:t>
      </w:r>
    </w:p>
    <w:p w:rsidR="00FF5DD8" w:rsidRPr="007D42EF" w:rsidRDefault="00FF5DD8" w:rsidP="007D42EF">
      <w:pPr>
        <w:widowControl w:val="0"/>
        <w:autoSpaceDE w:val="0"/>
        <w:autoSpaceDN w:val="0"/>
        <w:adjustRightInd w:val="0"/>
        <w:spacing w:after="240"/>
        <w:rPr>
          <w:rFonts w:ascii="Times New Roman" w:hAnsi="Times New Roman"/>
          <w:sz w:val="26"/>
          <w:szCs w:val="26"/>
        </w:rPr>
      </w:pPr>
      <w:r>
        <w:rPr>
          <w:rFonts w:ascii="Times New Roman" w:hAnsi="Times New Roman"/>
          <w:sz w:val="26"/>
          <w:szCs w:val="26"/>
        </w:rPr>
        <w:t xml:space="preserve">For the </w:t>
      </w:r>
      <w:r w:rsidRPr="007D42EF">
        <w:rPr>
          <w:rFonts w:ascii="Times New Roman" w:hAnsi="Times New Roman"/>
          <w:strike/>
          <w:sz w:val="26"/>
          <w:szCs w:val="26"/>
        </w:rPr>
        <w:t>purposes</w:t>
      </w:r>
      <w:r>
        <w:rPr>
          <w:rFonts w:ascii="Times New Roman" w:hAnsi="Times New Roman"/>
          <w:sz w:val="26"/>
          <w:szCs w:val="26"/>
        </w:rPr>
        <w:t xml:space="preserve"> </w:t>
      </w:r>
      <w:r w:rsidRPr="007D42EF">
        <w:rPr>
          <w:rFonts w:ascii="Times New Roman" w:hAnsi="Times New Roman"/>
          <w:b/>
          <w:sz w:val="26"/>
          <w:szCs w:val="26"/>
          <w:u w:val="single"/>
        </w:rPr>
        <w:t>purpose</w:t>
      </w:r>
      <w:r>
        <w:rPr>
          <w:rFonts w:ascii="Times New Roman" w:hAnsi="Times New Roman"/>
          <w:sz w:val="26"/>
          <w:szCs w:val="26"/>
        </w:rPr>
        <w:t xml:space="preserve"> of identification</w:t>
      </w:r>
      <w:r w:rsidRPr="007D42EF">
        <w:rPr>
          <w:rFonts w:ascii="Times New Roman" w:hAnsi="Times New Roman"/>
          <w:b/>
          <w:sz w:val="26"/>
          <w:szCs w:val="26"/>
          <w:u w:val="single"/>
        </w:rPr>
        <w:t xml:space="preserve"> of</w:t>
      </w:r>
      <w:r>
        <w:rPr>
          <w:rFonts w:ascii="Times New Roman" w:hAnsi="Times New Roman"/>
          <w:sz w:val="26"/>
          <w:szCs w:val="26"/>
        </w:rPr>
        <w:t xml:space="preserve"> components in the recycling process, </w:t>
      </w:r>
      <w:r w:rsidRPr="007D42EF">
        <w:rPr>
          <w:rFonts w:ascii="Times New Roman" w:hAnsi="Times New Roman"/>
          <w:b/>
          <w:sz w:val="26"/>
          <w:szCs w:val="26"/>
          <w:u w:val="single"/>
        </w:rPr>
        <w:t>the</w:t>
      </w:r>
      <w:r>
        <w:rPr>
          <w:rFonts w:ascii="Times New Roman" w:hAnsi="Times New Roman"/>
          <w:sz w:val="26"/>
          <w:szCs w:val="26"/>
        </w:rPr>
        <w:t xml:space="preserve"> manufacturer declares </w:t>
      </w:r>
      <w:r w:rsidRPr="007D42EF">
        <w:rPr>
          <w:rFonts w:ascii="Times New Roman" w:hAnsi="Times New Roman"/>
          <w:strike/>
          <w:sz w:val="26"/>
          <w:szCs w:val="26"/>
        </w:rPr>
        <w:t>about</w:t>
      </w:r>
      <w:r w:rsidRPr="007D42EF">
        <w:rPr>
          <w:rFonts w:ascii="Times New Roman" w:hAnsi="Times New Roman"/>
          <w:b/>
          <w:sz w:val="26"/>
          <w:szCs w:val="26"/>
          <w:u w:val="single"/>
        </w:rPr>
        <w:t xml:space="preserve"> that </w:t>
      </w:r>
      <w:r>
        <w:rPr>
          <w:rFonts w:ascii="Times New Roman" w:hAnsi="Times New Roman"/>
          <w:b/>
          <w:sz w:val="26"/>
          <w:szCs w:val="26"/>
          <w:u w:val="single"/>
        </w:rPr>
        <w:t xml:space="preserve">processes </w:t>
      </w:r>
      <w:r w:rsidRPr="007D42EF">
        <w:rPr>
          <w:rFonts w:ascii="Times New Roman" w:hAnsi="Times New Roman"/>
          <w:b/>
          <w:sz w:val="26"/>
          <w:szCs w:val="26"/>
          <w:u w:val="single"/>
        </w:rPr>
        <w:t>to comply with the</w:t>
      </w:r>
      <w:r w:rsidRPr="007D42EF">
        <w:rPr>
          <w:rFonts w:ascii="Times New Roman" w:hAnsi="Times New Roman"/>
          <w:sz w:val="26"/>
          <w:szCs w:val="26"/>
        </w:rPr>
        <w:t xml:space="preserve"> </w:t>
      </w:r>
      <w:r>
        <w:rPr>
          <w:rFonts w:ascii="Times New Roman" w:hAnsi="Times New Roman"/>
          <w:sz w:val="26"/>
          <w:szCs w:val="26"/>
        </w:rPr>
        <w:t xml:space="preserve">labeling of plastic components in accordance with paragraph 3.3 of Annex 5, and about labeling of rubber components in accordance with paragraph 3.4 of Annex 5 </w:t>
      </w:r>
      <w:r w:rsidRPr="007D42EF">
        <w:rPr>
          <w:rFonts w:ascii="Times New Roman" w:hAnsi="Times New Roman"/>
          <w:b/>
          <w:sz w:val="26"/>
          <w:szCs w:val="26"/>
          <w:u w:val="single"/>
        </w:rPr>
        <w:t>apply to this vehicle type</w:t>
      </w:r>
      <w:r>
        <w:rPr>
          <w:rFonts w:ascii="Times New Roman" w:hAnsi="Times New Roman"/>
          <w:sz w:val="26"/>
          <w:szCs w:val="26"/>
        </w:rPr>
        <w:t>.</w:t>
      </w:r>
    </w:p>
    <w:p w:rsidR="00FF5DD8" w:rsidRPr="007D42EF" w:rsidRDefault="00FF5DD8" w:rsidP="007D42EF">
      <w:pPr>
        <w:widowControl w:val="0"/>
        <w:autoSpaceDE w:val="0"/>
        <w:autoSpaceDN w:val="0"/>
        <w:adjustRightInd w:val="0"/>
        <w:spacing w:after="240"/>
        <w:rPr>
          <w:rFonts w:ascii="Times" w:hAnsi="Times" w:cs="Times"/>
          <w:sz w:val="26"/>
          <w:szCs w:val="26"/>
        </w:rPr>
      </w:pPr>
      <w:r>
        <w:rPr>
          <w:rFonts w:ascii="Times" w:hAnsi="Times" w:cs="Times"/>
          <w:sz w:val="26"/>
          <w:szCs w:val="26"/>
        </w:rPr>
        <w:t>Paragraph 11.</w:t>
      </w:r>
    </w:p>
    <w:p w:rsidR="00FF5DD8" w:rsidRPr="007D42EF" w:rsidRDefault="00FF5DD8" w:rsidP="007D42EF">
      <w:pPr>
        <w:widowControl w:val="0"/>
        <w:autoSpaceDE w:val="0"/>
        <w:autoSpaceDN w:val="0"/>
        <w:adjustRightInd w:val="0"/>
        <w:spacing w:after="240"/>
        <w:rPr>
          <w:rFonts w:ascii="Times New Roman" w:hAnsi="Times New Roman"/>
          <w:sz w:val="26"/>
          <w:szCs w:val="26"/>
        </w:rPr>
      </w:pPr>
      <w:r>
        <w:rPr>
          <w:rFonts w:ascii="Times New Roman" w:hAnsi="Times New Roman"/>
          <w:sz w:val="26"/>
          <w:szCs w:val="26"/>
        </w:rPr>
        <w:t xml:space="preserve">For the purposes of informing about </w:t>
      </w:r>
      <w:r w:rsidRPr="007D42EF">
        <w:rPr>
          <w:rFonts w:ascii="Times New Roman" w:hAnsi="Times New Roman"/>
          <w:b/>
          <w:sz w:val="26"/>
          <w:szCs w:val="26"/>
          <w:u w:val="single"/>
        </w:rPr>
        <w:t>materials and substances used</w:t>
      </w:r>
      <w:r>
        <w:rPr>
          <w:rFonts w:ascii="Times New Roman" w:hAnsi="Times New Roman"/>
          <w:sz w:val="26"/>
          <w:szCs w:val="26"/>
        </w:rPr>
        <w:t xml:space="preserve"> </w:t>
      </w:r>
      <w:r w:rsidRPr="007D42EF">
        <w:rPr>
          <w:rFonts w:ascii="Times New Roman" w:hAnsi="Times New Roman"/>
          <w:strike/>
          <w:sz w:val="26"/>
          <w:szCs w:val="26"/>
        </w:rPr>
        <w:t>using</w:t>
      </w:r>
      <w:r>
        <w:rPr>
          <w:rFonts w:ascii="Times New Roman" w:hAnsi="Times New Roman"/>
          <w:sz w:val="26"/>
          <w:szCs w:val="26"/>
        </w:rPr>
        <w:t xml:space="preserve"> in the vehicle construction </w:t>
      </w:r>
      <w:r w:rsidRPr="007D42EF">
        <w:rPr>
          <w:rFonts w:ascii="Times New Roman" w:hAnsi="Times New Roman"/>
          <w:strike/>
          <w:sz w:val="26"/>
          <w:szCs w:val="26"/>
        </w:rPr>
        <w:t>lead, mercury, cadmium, and hexavalent chromium</w:t>
      </w:r>
      <w:r>
        <w:rPr>
          <w:rFonts w:ascii="Times New Roman" w:hAnsi="Times New Roman"/>
          <w:sz w:val="26"/>
          <w:szCs w:val="26"/>
        </w:rPr>
        <w:t xml:space="preserve"> </w:t>
      </w:r>
      <w:r w:rsidRPr="007D42EF">
        <w:rPr>
          <w:rFonts w:ascii="Times New Roman" w:hAnsi="Times New Roman"/>
          <w:b/>
          <w:sz w:val="26"/>
          <w:szCs w:val="26"/>
          <w:u w:val="single"/>
        </w:rPr>
        <w:t>the</w:t>
      </w:r>
      <w:r>
        <w:rPr>
          <w:rFonts w:ascii="Times New Roman" w:hAnsi="Times New Roman"/>
          <w:sz w:val="26"/>
          <w:szCs w:val="26"/>
        </w:rPr>
        <w:t xml:space="preserve"> manufacturer declares </w:t>
      </w:r>
      <w:r w:rsidRPr="00636865">
        <w:rPr>
          <w:rFonts w:ascii="Times New Roman" w:hAnsi="Times New Roman"/>
          <w:b/>
          <w:sz w:val="26"/>
          <w:szCs w:val="26"/>
          <w:u w:val="single"/>
        </w:rPr>
        <w:t>that processes to comply with the materials and substances restrictions apply to this vehicle type</w:t>
      </w:r>
      <w:r>
        <w:rPr>
          <w:rFonts w:ascii="Times New Roman" w:hAnsi="Times New Roman"/>
          <w:sz w:val="26"/>
          <w:szCs w:val="26"/>
        </w:rPr>
        <w:t xml:space="preserve"> </w:t>
      </w:r>
      <w:r w:rsidRPr="007D42EF">
        <w:rPr>
          <w:rFonts w:ascii="Times New Roman" w:hAnsi="Times New Roman"/>
          <w:strike/>
          <w:sz w:val="26"/>
          <w:szCs w:val="26"/>
        </w:rPr>
        <w:t>their existence in the components of vehicle</w:t>
      </w:r>
      <w:r>
        <w:rPr>
          <w:rFonts w:ascii="Times New Roman" w:hAnsi="Times New Roman"/>
          <w:sz w:val="26"/>
          <w:szCs w:val="26"/>
        </w:rPr>
        <w:t>.</w:t>
      </w:r>
    </w:p>
    <w:p w:rsidR="00FF5DD8" w:rsidRPr="007D42EF" w:rsidRDefault="00FF5DD8" w:rsidP="007D42EF">
      <w:pPr>
        <w:widowControl w:val="0"/>
        <w:autoSpaceDE w:val="0"/>
        <w:autoSpaceDN w:val="0"/>
        <w:adjustRightInd w:val="0"/>
        <w:spacing w:after="240"/>
        <w:rPr>
          <w:rFonts w:ascii="Times" w:hAnsi="Times" w:cs="Times"/>
          <w:i/>
          <w:strike/>
          <w:sz w:val="26"/>
          <w:szCs w:val="26"/>
        </w:rPr>
      </w:pPr>
      <w:r>
        <w:rPr>
          <w:rFonts w:ascii="Times" w:hAnsi="Times" w:cs="Times"/>
          <w:i/>
          <w:strike/>
          <w:sz w:val="26"/>
          <w:szCs w:val="26"/>
        </w:rPr>
        <w:t xml:space="preserve">2. </w:t>
      </w:r>
      <w:r w:rsidRPr="007D42EF">
        <w:rPr>
          <w:rFonts w:ascii="Times" w:hAnsi="Times" w:cs="Times"/>
          <w:i/>
          <w:strike/>
          <w:sz w:val="26"/>
          <w:szCs w:val="26"/>
        </w:rPr>
        <w:t xml:space="preserve">Annex 5, Paragraph 3.2. </w:t>
      </w:r>
      <w:proofErr w:type="gramStart"/>
      <w:r w:rsidRPr="007D42EF">
        <w:rPr>
          <w:rFonts w:ascii="Times" w:hAnsi="Times" w:cs="Times"/>
          <w:i/>
          <w:strike/>
          <w:sz w:val="26"/>
          <w:szCs w:val="26"/>
        </w:rPr>
        <w:t>amend</w:t>
      </w:r>
      <w:proofErr w:type="gramEnd"/>
      <w:r w:rsidRPr="007D42EF">
        <w:rPr>
          <w:rFonts w:ascii="Times" w:hAnsi="Times" w:cs="Times"/>
          <w:i/>
          <w:strike/>
          <w:sz w:val="26"/>
          <w:szCs w:val="26"/>
        </w:rPr>
        <w:t xml:space="preserve"> to read:</w:t>
      </w:r>
    </w:p>
    <w:p w:rsidR="00FF5DD8" w:rsidRPr="007D42EF" w:rsidRDefault="00FF5DD8" w:rsidP="007D42EF">
      <w:pPr>
        <w:widowControl w:val="0"/>
        <w:autoSpaceDE w:val="0"/>
        <w:autoSpaceDN w:val="0"/>
        <w:adjustRightInd w:val="0"/>
        <w:spacing w:after="240"/>
        <w:rPr>
          <w:rFonts w:ascii="Times New Roman" w:hAnsi="Times New Roman"/>
          <w:strike/>
          <w:sz w:val="26"/>
          <w:szCs w:val="26"/>
        </w:rPr>
      </w:pPr>
      <w:r w:rsidRPr="007D42EF">
        <w:rPr>
          <w:rFonts w:ascii="Times New Roman" w:hAnsi="Times New Roman"/>
          <w:strike/>
          <w:sz w:val="26"/>
          <w:szCs w:val="26"/>
        </w:rPr>
        <w:t>The manufacturer shall provide the competent authority with all necessary information in the form of documents. In particular, appropriately in the form of a document should be drawn up: information about recycling and recovery of materials; manufacturer's declaration with the list of components containing lead, mercury, cadmium and hexavalent chromium; manufacturer's declaration about labeling of plastic and rubber components used in the vehicle construction.</w:t>
      </w:r>
    </w:p>
    <w:p w:rsidR="00FF5DD8" w:rsidRDefault="00FF5DD8" w:rsidP="007D42EF">
      <w:pPr>
        <w:widowControl w:val="0"/>
        <w:autoSpaceDE w:val="0"/>
        <w:autoSpaceDN w:val="0"/>
        <w:adjustRightInd w:val="0"/>
        <w:spacing w:after="240"/>
        <w:rPr>
          <w:rFonts w:ascii="Times New Roman" w:hAnsi="Times New Roman"/>
          <w:sz w:val="26"/>
          <w:szCs w:val="26"/>
        </w:rPr>
      </w:pPr>
    </w:p>
    <w:p w:rsidR="00FF5DD8" w:rsidRPr="007D42EF" w:rsidRDefault="00FF5DD8" w:rsidP="007D42EF">
      <w:pPr>
        <w:widowControl w:val="0"/>
        <w:autoSpaceDE w:val="0"/>
        <w:autoSpaceDN w:val="0"/>
        <w:adjustRightInd w:val="0"/>
        <w:spacing w:after="240"/>
        <w:rPr>
          <w:rFonts w:ascii="Times New Roman" w:hAnsi="Times New Roman"/>
          <w:sz w:val="26"/>
          <w:szCs w:val="26"/>
        </w:rPr>
      </w:pPr>
      <w:r w:rsidRPr="007D42EF">
        <w:rPr>
          <w:rFonts w:ascii="Times New Roman" w:hAnsi="Times New Roman"/>
          <w:sz w:val="26"/>
          <w:szCs w:val="26"/>
        </w:rPr>
        <w:t>In</w:t>
      </w:r>
      <w:r>
        <w:rPr>
          <w:rFonts w:ascii="Times New Roman" w:hAnsi="Times New Roman"/>
          <w:sz w:val="26"/>
          <w:szCs w:val="26"/>
        </w:rPr>
        <w:t xml:space="preserve">stead of amending paragraph 3.2, OICA proposes </w:t>
      </w:r>
      <w:r w:rsidRPr="007D42EF">
        <w:rPr>
          <w:rFonts w:ascii="Times New Roman" w:hAnsi="Times New Roman"/>
          <w:sz w:val="26"/>
          <w:szCs w:val="26"/>
        </w:rPr>
        <w:t>to amend para</w:t>
      </w:r>
      <w:r>
        <w:rPr>
          <w:rFonts w:ascii="Times New Roman" w:hAnsi="Times New Roman"/>
          <w:sz w:val="26"/>
          <w:szCs w:val="26"/>
        </w:rPr>
        <w:t xml:space="preserve">graph 3.5, </w:t>
      </w:r>
      <w:r w:rsidRPr="007D42EF">
        <w:rPr>
          <w:rFonts w:ascii="Times New Roman" w:hAnsi="Times New Roman"/>
          <w:sz w:val="26"/>
          <w:szCs w:val="26"/>
        </w:rPr>
        <w:t xml:space="preserve">as follows: </w:t>
      </w:r>
    </w:p>
    <w:p w:rsidR="00537A5F" w:rsidRDefault="00537A5F">
      <w:pPr>
        <w:rPr>
          <w:rFonts w:ascii="Times" w:hAnsi="Times" w:cs="Times"/>
          <w:i/>
          <w:sz w:val="26"/>
          <w:szCs w:val="26"/>
        </w:rPr>
      </w:pPr>
      <w:r>
        <w:rPr>
          <w:rFonts w:ascii="Times" w:hAnsi="Times" w:cs="Times"/>
          <w:i/>
          <w:sz w:val="26"/>
          <w:szCs w:val="26"/>
        </w:rPr>
        <w:br w:type="page"/>
      </w:r>
    </w:p>
    <w:p w:rsidR="00FF5DD8" w:rsidRPr="007D42EF" w:rsidRDefault="00FF5DD8" w:rsidP="007D42EF">
      <w:pPr>
        <w:widowControl w:val="0"/>
        <w:autoSpaceDE w:val="0"/>
        <w:autoSpaceDN w:val="0"/>
        <w:adjustRightInd w:val="0"/>
        <w:spacing w:after="240"/>
        <w:rPr>
          <w:rFonts w:ascii="Times" w:hAnsi="Times" w:cs="Times"/>
          <w:i/>
          <w:sz w:val="26"/>
          <w:szCs w:val="26"/>
        </w:rPr>
      </w:pPr>
      <w:r w:rsidRPr="007D42EF">
        <w:rPr>
          <w:rFonts w:ascii="Times" w:hAnsi="Times" w:cs="Times"/>
          <w:i/>
          <w:sz w:val="26"/>
          <w:szCs w:val="26"/>
        </w:rPr>
        <w:lastRenderedPageBreak/>
        <w:t xml:space="preserve">2. Annex 5, Paragraph 3.5. </w:t>
      </w:r>
      <w:proofErr w:type="gramStart"/>
      <w:r w:rsidRPr="007D42EF">
        <w:rPr>
          <w:rFonts w:ascii="Times" w:hAnsi="Times" w:cs="Times"/>
          <w:i/>
          <w:sz w:val="26"/>
          <w:szCs w:val="26"/>
        </w:rPr>
        <w:t>amend</w:t>
      </w:r>
      <w:proofErr w:type="gramEnd"/>
      <w:r w:rsidRPr="007D42EF">
        <w:rPr>
          <w:rFonts w:ascii="Times" w:hAnsi="Times" w:cs="Times"/>
          <w:i/>
          <w:sz w:val="26"/>
          <w:szCs w:val="26"/>
        </w:rPr>
        <w:t xml:space="preserve"> to read:</w:t>
      </w:r>
    </w:p>
    <w:p w:rsidR="00FF5DD8" w:rsidRPr="007D42EF" w:rsidRDefault="00FF5DD8" w:rsidP="007D42EF">
      <w:pPr>
        <w:widowControl w:val="0"/>
        <w:autoSpaceDE w:val="0"/>
        <w:autoSpaceDN w:val="0"/>
        <w:adjustRightInd w:val="0"/>
        <w:spacing w:after="240"/>
        <w:rPr>
          <w:rFonts w:ascii="Times New Roman" w:hAnsi="Times New Roman"/>
          <w:sz w:val="26"/>
          <w:szCs w:val="26"/>
        </w:rPr>
      </w:pPr>
      <w:r w:rsidRPr="007D42EF">
        <w:rPr>
          <w:rFonts w:ascii="Times New Roman" w:hAnsi="Times New Roman"/>
          <w:sz w:val="26"/>
          <w:szCs w:val="26"/>
        </w:rPr>
        <w:t>3.5</w:t>
      </w:r>
      <w:r>
        <w:rPr>
          <w:rFonts w:ascii="Times New Roman" w:hAnsi="Times New Roman"/>
          <w:sz w:val="26"/>
          <w:szCs w:val="26"/>
        </w:rPr>
        <w:t>.</w:t>
      </w:r>
      <w:r w:rsidRPr="007D42EF">
        <w:rPr>
          <w:rFonts w:ascii="Times New Roman" w:hAnsi="Times New Roman"/>
          <w:sz w:val="26"/>
          <w:szCs w:val="26"/>
        </w:rPr>
        <w:t xml:space="preserve"> “The vehicle manufacturer shall be required to demonstrate that, through contractual arrangements with his suppliers, management of material and substance restrictions </w:t>
      </w:r>
      <w:r w:rsidRPr="0039315F">
        <w:rPr>
          <w:rFonts w:ascii="Times New Roman" w:hAnsi="Times New Roman"/>
          <w:b/>
          <w:sz w:val="26"/>
          <w:szCs w:val="26"/>
        </w:rPr>
        <w:t>for not allowed applications of lead, mercury, cadmium, hexavalent chromium</w:t>
      </w:r>
      <w:r w:rsidRPr="007D42EF">
        <w:rPr>
          <w:rFonts w:ascii="Times New Roman" w:hAnsi="Times New Roman"/>
          <w:sz w:val="26"/>
          <w:szCs w:val="26"/>
        </w:rPr>
        <w:t xml:space="preserve"> is ensured.”</w:t>
      </w:r>
    </w:p>
    <w:p w:rsidR="00537A5F" w:rsidRDefault="00537A5F" w:rsidP="007D42EF">
      <w:pPr>
        <w:widowControl w:val="0"/>
        <w:autoSpaceDE w:val="0"/>
        <w:autoSpaceDN w:val="0"/>
        <w:adjustRightInd w:val="0"/>
        <w:spacing w:after="240"/>
        <w:rPr>
          <w:rFonts w:ascii="Times" w:hAnsi="Times" w:cs="Times"/>
          <w:sz w:val="38"/>
          <w:szCs w:val="38"/>
        </w:rPr>
      </w:pPr>
    </w:p>
    <w:p w:rsidR="00FF5DD8" w:rsidRDefault="00FF5DD8" w:rsidP="007D42EF">
      <w:pPr>
        <w:widowControl w:val="0"/>
        <w:autoSpaceDE w:val="0"/>
        <w:autoSpaceDN w:val="0"/>
        <w:adjustRightInd w:val="0"/>
        <w:spacing w:after="240"/>
        <w:rPr>
          <w:rFonts w:ascii="Times" w:hAnsi="Times" w:cs="Times"/>
        </w:rPr>
      </w:pPr>
      <w:r>
        <w:rPr>
          <w:rFonts w:ascii="Times" w:hAnsi="Times" w:cs="Times"/>
          <w:sz w:val="38"/>
          <w:szCs w:val="38"/>
        </w:rPr>
        <w:t>II. Justification</w:t>
      </w:r>
    </w:p>
    <w:p w:rsidR="00FF5DD8" w:rsidRDefault="00FF5DD8" w:rsidP="007D42EF">
      <w:pPr>
        <w:widowControl w:val="0"/>
        <w:autoSpaceDE w:val="0"/>
        <w:autoSpaceDN w:val="0"/>
        <w:adjustRightInd w:val="0"/>
        <w:spacing w:after="240"/>
        <w:rPr>
          <w:rFonts w:ascii="Times New Roman" w:hAnsi="Times New Roman"/>
          <w:sz w:val="26"/>
          <w:szCs w:val="26"/>
        </w:rPr>
      </w:pPr>
      <w:r>
        <w:rPr>
          <w:rFonts w:ascii="Times New Roman" w:hAnsi="Times New Roman"/>
          <w:sz w:val="26"/>
          <w:szCs w:val="26"/>
        </w:rPr>
        <w:t>Amendments to paragraphs 10 and 11 are mainly editorial.</w:t>
      </w:r>
    </w:p>
    <w:p w:rsidR="00FF5DD8" w:rsidRDefault="00FF5DD8" w:rsidP="007D42EF">
      <w:pPr>
        <w:widowControl w:val="0"/>
        <w:autoSpaceDE w:val="0"/>
        <w:autoSpaceDN w:val="0"/>
        <w:adjustRightInd w:val="0"/>
        <w:spacing w:after="240"/>
        <w:rPr>
          <w:rFonts w:ascii="Times New Roman" w:hAnsi="Times New Roman"/>
          <w:sz w:val="26"/>
          <w:szCs w:val="26"/>
        </w:rPr>
      </w:pPr>
      <w:r>
        <w:rPr>
          <w:rFonts w:ascii="Times New Roman" w:hAnsi="Times New Roman"/>
          <w:sz w:val="26"/>
          <w:szCs w:val="26"/>
        </w:rPr>
        <w:t>The proposed amendments by the Russian Federation to paragraph 3.2 in Annex 5 would involve a substantial administrative burden so OICA believes that the contractual arrangements with suppliers fully covers the restrictions on materials and substances. However, OICA proposes to amend annex 5, paragraph 3.5 to mention the four restricted substances.</w:t>
      </w:r>
    </w:p>
    <w:p w:rsidR="00FF5DD8" w:rsidRDefault="00FF5DD8" w:rsidP="007D42EF">
      <w:pPr>
        <w:widowControl w:val="0"/>
        <w:autoSpaceDE w:val="0"/>
        <w:autoSpaceDN w:val="0"/>
        <w:adjustRightInd w:val="0"/>
        <w:spacing w:after="240"/>
        <w:rPr>
          <w:rFonts w:ascii="Times New Roman" w:hAnsi="Times New Roman"/>
          <w:sz w:val="26"/>
          <w:szCs w:val="26"/>
        </w:rPr>
      </w:pPr>
    </w:p>
    <w:p w:rsidR="00FF5DD8" w:rsidRDefault="00FF5DD8" w:rsidP="0039315F">
      <w:pPr>
        <w:jc w:val="center"/>
      </w:pPr>
      <w:r>
        <w:t>***</w:t>
      </w:r>
    </w:p>
    <w:sectPr w:rsidR="00FF5DD8" w:rsidSect="007D42EF">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EF"/>
    <w:rsid w:val="00144AA9"/>
    <w:rsid w:val="001A143A"/>
    <w:rsid w:val="003755ED"/>
    <w:rsid w:val="0039315F"/>
    <w:rsid w:val="003E30F6"/>
    <w:rsid w:val="00511B49"/>
    <w:rsid w:val="00537A5F"/>
    <w:rsid w:val="00636865"/>
    <w:rsid w:val="0071095D"/>
    <w:rsid w:val="007B0740"/>
    <w:rsid w:val="007D42EF"/>
    <w:rsid w:val="008D2E25"/>
    <w:rsid w:val="00904E7F"/>
    <w:rsid w:val="00984122"/>
    <w:rsid w:val="00A4669D"/>
    <w:rsid w:val="00A748B1"/>
    <w:rsid w:val="00CA70E3"/>
    <w:rsid w:val="00D84371"/>
    <w:rsid w:val="00FF5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42EF"/>
    <w:pPr>
      <w:ind w:left="720"/>
      <w:contextualSpacing/>
    </w:pPr>
  </w:style>
  <w:style w:type="paragraph" w:customStyle="1" w:styleId="a">
    <w:name w:val="Базовый"/>
    <w:uiPriority w:val="99"/>
    <w:rsid w:val="007D42EF"/>
    <w:pPr>
      <w:suppressAutoHyphens/>
      <w:spacing w:after="200" w:line="288" w:lineRule="auto"/>
      <w:ind w:firstLine="709"/>
      <w:jc w:val="both"/>
    </w:pPr>
    <w:rPr>
      <w:rFonts w:ascii="Times New Roman" w:hAnsi="Times New Roman"/>
      <w:sz w:val="28"/>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42EF"/>
    <w:pPr>
      <w:ind w:left="720"/>
      <w:contextualSpacing/>
    </w:pPr>
  </w:style>
  <w:style w:type="paragraph" w:customStyle="1" w:styleId="a">
    <w:name w:val="Базовый"/>
    <w:uiPriority w:val="99"/>
    <w:rsid w:val="007D42EF"/>
    <w:pPr>
      <w:suppressAutoHyphens/>
      <w:spacing w:after="200" w:line="288" w:lineRule="auto"/>
      <w:ind w:firstLine="709"/>
      <w:jc w:val="both"/>
    </w:pPr>
    <w:rPr>
      <w:rFonts w:ascii="Times New Roman" w:hAnsi="Times New Roman"/>
      <w:sz w:val="28"/>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1972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Transmitted by OICA</vt:lpstr>
    </vt:vector>
  </TitlesOfParts>
  <Company>ACEA</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Transmitted by OICA</dc:title>
  <dc:creator>Paul Greening</dc:creator>
  <cp:lastModifiedBy>GRPE secretary</cp:lastModifiedBy>
  <cp:revision>2</cp:revision>
  <dcterms:created xsi:type="dcterms:W3CDTF">2013-06-07T09:30:00Z</dcterms:created>
  <dcterms:modified xsi:type="dcterms:W3CDTF">2013-06-07T09:30:00Z</dcterms:modified>
</cp:coreProperties>
</file>