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3705BE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CF5594">
        <w:rPr>
          <w:lang w:val="en-GB"/>
        </w:rPr>
        <w:t>/BATUMI.CONF/2016/</w:t>
      </w:r>
      <w:r w:rsidR="00853B46">
        <w:rPr>
          <w:lang w:val="en-US"/>
        </w:rPr>
        <w:t>9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DF7769" w:rsidRDefault="00DF7769" w:rsidP="00DF7769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0550C">
      <w:pPr>
        <w:pStyle w:val="HMGR"/>
        <w:spacing w:before="1920"/>
        <w:rPr>
          <w:w w:val="100"/>
        </w:rPr>
      </w:pPr>
      <w:r w:rsidRPr="004326BF">
        <w:rPr>
          <w:w w:val="100"/>
        </w:rPr>
        <w:tab/>
      </w:r>
      <w:r w:rsidRPr="003E049B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3E049B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Pr="00CF5594" w:rsidRDefault="004F2A3E" w:rsidP="00CF5594">
      <w:pPr>
        <w:pStyle w:val="HChGR"/>
        <w:spacing w:before="440" w:after="4120"/>
      </w:pPr>
      <w:r w:rsidRPr="003E049B">
        <w:tab/>
      </w:r>
      <w:r w:rsidRPr="003E049B">
        <w:tab/>
      </w:r>
      <w:r w:rsidR="002F7733" w:rsidRPr="00853B46">
        <w:t>Резюме основных выводов и политических установок панъевропейской региональной оценки в рамках шестой Глобальной экологической перспективы</w:t>
      </w:r>
    </w:p>
    <w:p w:rsidR="00CF5594" w:rsidRPr="00853B46" w:rsidRDefault="00CF5594" w:rsidP="00CF5594">
      <w:pPr>
        <w:rPr>
          <w:lang w:eastAsia="ru-RU"/>
        </w:rPr>
      </w:pPr>
    </w:p>
    <w:p w:rsidR="00CF5594" w:rsidRPr="00853B46" w:rsidRDefault="00CF5594" w:rsidP="00CF5594">
      <w:pPr>
        <w:rPr>
          <w:lang w:eastAsia="ru-RU"/>
        </w:rPr>
        <w:sectPr w:rsidR="00CF5594" w:rsidRPr="00853B46" w:rsidSect="009174A1">
          <w:headerReference w:type="default" r:id="rId10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853B46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ED37D9">
              <w:rPr>
                <w:rFonts w:eastAsia="Times New Roman" w:cs="Times New Roman"/>
                <w:szCs w:val="20"/>
              </w:rPr>
              <w:t>BATUMI.CONF/2016/</w:t>
            </w:r>
            <w:r w:rsidR="00ED37D9" w:rsidRPr="00ED37D9">
              <w:rPr>
                <w:rFonts w:eastAsia="Times New Roman" w:cs="Times New Roman"/>
                <w:szCs w:val="20"/>
                <w:lang w:val="en-US"/>
              </w:rPr>
              <w:t>9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7D70B7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754BB027" wp14:editId="73B1BA6E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240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 xml:space="preserve">Distr.: </w:t>
            </w:r>
            <w:bookmarkStart w:id="0" w:name="ПолеСоСписком1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2F7733">
              <w:rPr>
                <w:rFonts w:eastAsia="Times New Roman" w:cs="Times New Roman"/>
                <w:szCs w:val="20"/>
              </w:rPr>
            </w:r>
            <w:r w:rsidR="002F7733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0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дату документа"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ED37D9" w:rsidRPr="00ED37D9">
              <w:rPr>
                <w:rFonts w:eastAsia="Times New Roman" w:cs="Times New Roman"/>
                <w:szCs w:val="20"/>
                <w:lang w:val="en-US"/>
              </w:rPr>
              <w:t>29</w:t>
            </w:r>
            <w:r w:rsidR="00ED37D9">
              <w:rPr>
                <w:rFonts w:eastAsia="Times New Roman" w:cs="Times New Roman"/>
                <w:szCs w:val="20"/>
              </w:rPr>
              <w:t xml:space="preserve"> </w:t>
            </w:r>
            <w:r w:rsidR="00ED37D9" w:rsidRPr="00ED37D9">
              <w:rPr>
                <w:rFonts w:eastAsia="Times New Roman" w:cs="Times New Roman"/>
                <w:szCs w:val="20"/>
                <w:lang w:val="en-US"/>
              </w:rPr>
              <w:t>April</w:t>
            </w:r>
            <w:r w:rsidR="00ED37D9">
              <w:rPr>
                <w:rFonts w:eastAsia="Times New Roman" w:cs="Times New Roman"/>
                <w:szCs w:val="20"/>
              </w:rPr>
              <w:t xml:space="preserve">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>Russian</w:t>
            </w:r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Cs w:val="20"/>
              </w:rPr>
              <w:t xml:space="preserve">Original: </w:t>
            </w:r>
            <w:bookmarkStart w:id="1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70B7">
              <w:rPr>
                <w:rFonts w:eastAsia="Times New Roman" w:cs="Times New Roman"/>
                <w:szCs w:val="20"/>
              </w:rPr>
              <w:instrText xml:space="preserve"> FORMDROPDOWN </w:instrText>
            </w:r>
            <w:r w:rsidR="002F7733">
              <w:rPr>
                <w:rFonts w:eastAsia="Times New Roman" w:cs="Times New Roman"/>
                <w:szCs w:val="20"/>
              </w:rPr>
            </w:r>
            <w:r w:rsidR="002F7733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7D70B7" w:rsidRDefault="007D70B7" w:rsidP="007D70B7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7680F" w:rsidRPr="0067680F" w:rsidRDefault="0067680F" w:rsidP="00067736">
      <w:pPr>
        <w:suppressAutoHyphens/>
        <w:spacing w:before="8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DF1CCC" w:rsidP="006F1973">
      <w:pPr>
        <w:suppressAutoHyphens/>
        <w:spacing w:before="6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>
        <w:rPr>
          <w:rFonts w:eastAsia="Times New Roman" w:cs="Times New Roman"/>
          <w:bCs/>
          <w:w w:val="100"/>
          <w:kern w:val="0"/>
          <w:sz w:val="28"/>
          <w:szCs w:val="28"/>
        </w:rPr>
        <w:t>Восьмая Конференция министров</w:t>
      </w:r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</w:t>
      </w:r>
      <w:bookmarkStart w:id="2" w:name="_GoBack"/>
      <w:bookmarkEnd w:id="2"/>
      <w:r w:rsidR="0067680F"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>ающая среда для Европы»</w:t>
      </w:r>
    </w:p>
    <w:p w:rsidR="004F2A3E" w:rsidRPr="00853B46" w:rsidRDefault="0067680F" w:rsidP="006F1973">
      <w:pPr>
        <w:suppressAutoHyphens/>
        <w:spacing w:before="6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CF5594">
        <w:rPr>
          <w:rFonts w:eastAsia="Times New Roman" w:cs="Times New Roman"/>
          <w:w w:val="100"/>
          <w:kern w:val="0"/>
          <w:szCs w:val="20"/>
        </w:rPr>
        <w:t xml:space="preserve">Пункт </w:t>
      </w:r>
      <w:r w:rsidR="00853B46" w:rsidRPr="00853B46">
        <w:rPr>
          <w:rFonts w:eastAsia="Times New Roman" w:cs="Times New Roman"/>
          <w:w w:val="100"/>
          <w:kern w:val="0"/>
          <w:szCs w:val="20"/>
        </w:rPr>
        <w:t xml:space="preserve">2 </w:t>
      </w:r>
      <w:r w:rsidR="00853B46">
        <w:rPr>
          <w:rFonts w:eastAsia="Times New Roman" w:cs="Times New Roman"/>
          <w:w w:val="100"/>
          <w:kern w:val="0"/>
          <w:szCs w:val="20"/>
          <w:lang w:val="en-US"/>
        </w:rPr>
        <w:t>b</w:t>
      </w:r>
      <w:r w:rsidR="00853B46" w:rsidRPr="00853B46">
        <w:rPr>
          <w:rFonts w:eastAsia="Times New Roman" w:cs="Times New Roman"/>
          <w:w w:val="100"/>
          <w:kern w:val="0"/>
          <w:szCs w:val="20"/>
        </w:rPr>
        <w:t>)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2F7733" w:rsidRPr="00853B46">
        <w:rPr>
          <w:b/>
        </w:rPr>
        <w:t xml:space="preserve">Экологическое измерение Повестки дня в области </w:t>
      </w:r>
      <w:r w:rsidR="007B1A6B">
        <w:rPr>
          <w:b/>
        </w:rPr>
        <w:br/>
      </w:r>
      <w:r w:rsidR="002F7733" w:rsidRPr="00853B46">
        <w:rPr>
          <w:b/>
        </w:rPr>
        <w:t xml:space="preserve">устойчивого развития на период до 2030 года – </w:t>
      </w:r>
      <w:r w:rsidR="007B1A6B">
        <w:rPr>
          <w:b/>
        </w:rPr>
        <w:br/>
      </w:r>
      <w:r w:rsidR="002F7733" w:rsidRPr="00853B46">
        <w:rPr>
          <w:b/>
        </w:rPr>
        <w:t>продвижение вперед в панъевропейском регионе:</w:t>
      </w:r>
      <w:r w:rsidR="00853B46" w:rsidRPr="00853B46">
        <w:rPr>
          <w:b/>
        </w:rPr>
        <w:t xml:space="preserve"> </w:t>
      </w:r>
      <w:r w:rsidR="007B1A6B">
        <w:rPr>
          <w:b/>
        </w:rPr>
        <w:br/>
      </w:r>
      <w:r w:rsidR="002F7733" w:rsidRPr="00853B46">
        <w:rPr>
          <w:b/>
        </w:rPr>
        <w:t xml:space="preserve">осуществление контроля за состоянием </w:t>
      </w:r>
      <w:r w:rsidR="007B1A6B">
        <w:rPr>
          <w:b/>
        </w:rPr>
        <w:br/>
      </w:r>
      <w:r w:rsidR="002F7733" w:rsidRPr="00853B46">
        <w:rPr>
          <w:b/>
        </w:rPr>
        <w:t>окружающей среды в панъевропейском регионе</w:t>
      </w:r>
    </w:p>
    <w:p w:rsidR="00CF5594" w:rsidRPr="00B538EB" w:rsidRDefault="00436190" w:rsidP="006F1973">
      <w:pPr>
        <w:pStyle w:val="HChGR"/>
        <w:spacing w:before="240"/>
      </w:pPr>
      <w:r>
        <w:tab/>
      </w:r>
      <w:r>
        <w:tab/>
      </w:r>
      <w:r w:rsidR="002F7733" w:rsidRPr="00B538EB">
        <w:t>Резюме основных выводов и политических установок панъевропейской</w:t>
      </w:r>
      <w:r w:rsidR="00B538EB" w:rsidRPr="007B1A6B">
        <w:rPr>
          <w:rStyle w:val="a6"/>
          <w:b w:val="0"/>
          <w:sz w:val="20"/>
          <w:vertAlign w:val="baseline"/>
        </w:rPr>
        <w:footnoteReference w:customMarkFollows="1" w:id="1"/>
        <w:t>*</w:t>
      </w:r>
      <w:r w:rsidR="002F7733" w:rsidRPr="00B538EB">
        <w:t xml:space="preserve"> региональной оценки в рамках шестой Глобальной экологической перспективы</w:t>
      </w:r>
    </w:p>
    <w:p w:rsidR="00436190" w:rsidRPr="00436190" w:rsidRDefault="006F0937" w:rsidP="006F1973">
      <w:pPr>
        <w:pStyle w:val="H1GR"/>
        <w:spacing w:before="240" w:line="260" w:lineRule="exact"/>
      </w:pPr>
      <w:r>
        <w:tab/>
      </w:r>
      <w:r>
        <w:tab/>
      </w:r>
      <w:r w:rsidR="002F7733" w:rsidRPr="00B538EB">
        <w:t>Записка, подготовленная Межправительственной консультативной группой заинтересованных сторон высокого уровня по шестой Глобальной экологической перспективе</w:t>
      </w:r>
      <w:r w:rsidR="00B538EB" w:rsidRPr="007B1A6B">
        <w:rPr>
          <w:rStyle w:val="a6"/>
          <w:b w:val="0"/>
          <w:sz w:val="20"/>
          <w:vertAlign w:val="baseline"/>
        </w:rPr>
        <w:footnoteReference w:customMarkFollows="1" w:id="2"/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3705BE" w:rsidTr="00934269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705BE" w:rsidRPr="003705BE" w:rsidRDefault="003705BE" w:rsidP="003705BE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3705BE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3705BE" w:rsidRPr="003705BE" w:rsidTr="00934269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3705BE" w:rsidRPr="003705BE" w:rsidRDefault="003705BE" w:rsidP="007B1A6B">
            <w:pPr>
              <w:pStyle w:val="SingleTxtGR"/>
              <w:rPr>
                <w:lang w:eastAsia="ru-RU"/>
              </w:rPr>
            </w:pPr>
            <w:r w:rsidRPr="003705BE">
              <w:rPr>
                <w:lang w:eastAsia="ru-RU"/>
              </w:rPr>
              <w:tab/>
            </w:r>
            <w:r w:rsidR="002F7733" w:rsidRPr="00B538EB">
              <w:rPr>
                <w:lang w:eastAsia="ru-RU"/>
              </w:rPr>
              <w:t>На восьмой Конференци</w:t>
            </w:r>
            <w:r w:rsidR="007B1A6B">
              <w:rPr>
                <w:lang w:eastAsia="ru-RU"/>
              </w:rPr>
              <w:t>и министров «</w:t>
            </w:r>
            <w:r w:rsidR="002F7733" w:rsidRPr="00B538EB">
              <w:rPr>
                <w:lang w:eastAsia="ru-RU"/>
              </w:rPr>
              <w:t>Окружающая среда для Европы</w:t>
            </w:r>
            <w:r w:rsidR="007B1A6B">
              <w:rPr>
                <w:lang w:eastAsia="ru-RU"/>
              </w:rPr>
              <w:t>»</w:t>
            </w:r>
            <w:r w:rsidR="002F7733" w:rsidRPr="00B538EB">
              <w:rPr>
                <w:lang w:eastAsia="ru-RU"/>
              </w:rPr>
              <w:t xml:space="preserve"> будет </w:t>
            </w:r>
            <w:r w:rsidR="007B1A6B">
              <w:rPr>
                <w:lang w:eastAsia="ru-RU"/>
              </w:rPr>
              <w:t>запущена</w:t>
            </w:r>
            <w:r w:rsidR="002F7733" w:rsidRPr="00B538EB">
              <w:rPr>
                <w:lang w:eastAsia="ru-RU"/>
              </w:rPr>
              <w:t xml:space="preserve"> панъевропейск</w:t>
            </w:r>
            <w:r w:rsidR="007B1A6B">
              <w:rPr>
                <w:lang w:eastAsia="ru-RU"/>
              </w:rPr>
              <w:t>ая</w:t>
            </w:r>
            <w:r w:rsidR="002F7733" w:rsidRPr="00B538EB">
              <w:rPr>
                <w:lang w:eastAsia="ru-RU"/>
              </w:rPr>
              <w:t xml:space="preserve"> региональн</w:t>
            </w:r>
            <w:r w:rsidR="007B1A6B">
              <w:rPr>
                <w:lang w:eastAsia="ru-RU"/>
              </w:rPr>
              <w:t>ая</w:t>
            </w:r>
            <w:r w:rsidR="002F7733" w:rsidRPr="00B538EB">
              <w:rPr>
                <w:lang w:eastAsia="ru-RU"/>
              </w:rPr>
              <w:t xml:space="preserve"> оценк</w:t>
            </w:r>
            <w:r w:rsidR="007B1A6B">
              <w:rPr>
                <w:lang w:eastAsia="ru-RU"/>
              </w:rPr>
              <w:t>а</w:t>
            </w:r>
            <w:r w:rsidR="002F7733" w:rsidRPr="00B538EB">
              <w:rPr>
                <w:lang w:eastAsia="ru-RU"/>
              </w:rPr>
              <w:t xml:space="preserve"> в рамках шестой Гл</w:t>
            </w:r>
            <w:r w:rsidR="002F7733" w:rsidRPr="00B538EB">
              <w:rPr>
                <w:lang w:eastAsia="ru-RU"/>
              </w:rPr>
              <w:t>о</w:t>
            </w:r>
            <w:r w:rsidR="002F7733" w:rsidRPr="00B538EB">
              <w:rPr>
                <w:lang w:eastAsia="ru-RU"/>
              </w:rPr>
              <w:t>бальной экологической перспективы. На своей специальной сессии в феврале 2016</w:t>
            </w:r>
            <w:r w:rsidR="00934269">
              <w:rPr>
                <w:lang w:eastAsia="ru-RU"/>
              </w:rPr>
              <w:t xml:space="preserve"> года</w:t>
            </w:r>
            <w:r w:rsidR="002F7733" w:rsidRPr="00B538EB">
              <w:rPr>
                <w:lang w:eastAsia="ru-RU"/>
              </w:rPr>
              <w:t xml:space="preserve"> Комитет по экологической политике Европейской экономической к</w:t>
            </w:r>
            <w:r w:rsidR="002F7733" w:rsidRPr="00B538EB">
              <w:rPr>
                <w:lang w:eastAsia="ru-RU"/>
              </w:rPr>
              <w:t>о</w:t>
            </w:r>
            <w:r w:rsidR="002F7733" w:rsidRPr="00B538EB">
              <w:rPr>
                <w:lang w:eastAsia="ru-RU"/>
              </w:rPr>
              <w:t>миссии Организации Объединенных Наций (ЕЭК) принял решение о том, что Конференции должно быть представлено резюме такой оценки с изложением основных выводов и политических установок (ECE/CEP/S/2016/2, готовится к выпуску).</w:t>
            </w:r>
          </w:p>
        </w:tc>
      </w:tr>
      <w:tr w:rsidR="00B538EB" w:rsidRPr="003705BE" w:rsidTr="00934269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B538EB" w:rsidRPr="00B538EB" w:rsidRDefault="00B538EB" w:rsidP="00981718">
            <w:pPr>
              <w:pStyle w:val="SingleTxtGR"/>
              <w:pageBreakBefore/>
              <w:rPr>
                <w:lang w:eastAsia="ru-RU"/>
              </w:rPr>
            </w:pPr>
            <w:r w:rsidRPr="00934269">
              <w:rPr>
                <w:lang w:eastAsia="ru-RU"/>
              </w:rPr>
              <w:lastRenderedPageBreak/>
              <w:tab/>
            </w:r>
            <w:r w:rsidR="002F7733" w:rsidRPr="00B538EB">
              <w:rPr>
                <w:lang w:eastAsia="ru-RU"/>
              </w:rPr>
              <w:t xml:space="preserve">Этот документ был разработан </w:t>
            </w:r>
            <w:r w:rsidR="007B1A6B">
              <w:rPr>
                <w:lang w:eastAsia="ru-RU"/>
              </w:rPr>
              <w:t xml:space="preserve">европейскими </w:t>
            </w:r>
            <w:r w:rsidR="002F7733" w:rsidRPr="00B538EB">
              <w:rPr>
                <w:lang w:eastAsia="ru-RU"/>
              </w:rPr>
              <w:t>членами Межправител</w:t>
            </w:r>
            <w:r w:rsidR="002F7733" w:rsidRPr="00B538EB">
              <w:rPr>
                <w:lang w:eastAsia="ru-RU"/>
              </w:rPr>
              <w:t>ь</w:t>
            </w:r>
            <w:r w:rsidR="002F7733" w:rsidRPr="00B538EB">
              <w:rPr>
                <w:lang w:eastAsia="ru-RU"/>
              </w:rPr>
              <w:t>ственной консульта</w:t>
            </w:r>
            <w:r w:rsidR="007B1A6B">
              <w:rPr>
                <w:lang w:eastAsia="ru-RU"/>
              </w:rPr>
              <w:t>тивной</w:t>
            </w:r>
            <w:r w:rsidR="002F7733" w:rsidRPr="00B538EB">
              <w:rPr>
                <w:lang w:eastAsia="ru-RU"/>
              </w:rPr>
              <w:t xml:space="preserve"> группы заинтересованных сторон высокого уровня по шестой Глобальной экологической перспективе при поддержке </w:t>
            </w:r>
            <w:r w:rsidR="007B1A6B">
              <w:rPr>
                <w:lang w:eastAsia="ru-RU"/>
              </w:rPr>
              <w:t xml:space="preserve">со стороны </w:t>
            </w:r>
            <w:r w:rsidR="002F7733" w:rsidRPr="00B538EB">
              <w:rPr>
                <w:lang w:eastAsia="ru-RU"/>
              </w:rPr>
              <w:t>Программы Организации Объединенных Наций по окружающей среде и в ко</w:t>
            </w:r>
            <w:r w:rsidR="002F7733" w:rsidRPr="00B538EB">
              <w:rPr>
                <w:lang w:eastAsia="ru-RU"/>
              </w:rPr>
              <w:t>н</w:t>
            </w:r>
            <w:r w:rsidR="002F7733" w:rsidRPr="00B538EB">
              <w:rPr>
                <w:lang w:eastAsia="ru-RU"/>
              </w:rPr>
              <w:t>сультации с секретариатом ЕЭК. По проекту резюме на этапе его подготовки были проведены консультации с членами и наблюдателями Комитета ЕЭК по экологической политике.</w:t>
            </w:r>
          </w:p>
        </w:tc>
      </w:tr>
      <w:tr w:rsidR="00B538EB" w:rsidRPr="003705BE" w:rsidTr="00934269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B538EB" w:rsidRPr="00B538EB" w:rsidRDefault="00B538EB" w:rsidP="003705BE">
            <w:pPr>
              <w:pStyle w:val="SingleTxtGR"/>
              <w:rPr>
                <w:lang w:eastAsia="ru-RU"/>
              </w:rPr>
            </w:pPr>
            <w:r>
              <w:rPr>
                <w:lang w:val="en-US" w:eastAsia="ru-RU"/>
              </w:rPr>
              <w:tab/>
            </w:r>
            <w:r w:rsidR="002F7733" w:rsidRPr="00B538EB">
              <w:rPr>
                <w:lang w:eastAsia="ru-RU"/>
              </w:rPr>
              <w:t>Данный документ призван содействовать обсуждению министрами в</w:t>
            </w:r>
            <w:r w:rsidR="002F7733" w:rsidRPr="00B538EB">
              <w:rPr>
                <w:lang w:eastAsia="ru-RU"/>
              </w:rPr>
              <w:t>о</w:t>
            </w:r>
            <w:r w:rsidR="002F7733" w:rsidRPr="00B538EB">
              <w:rPr>
                <w:lang w:eastAsia="ru-RU"/>
              </w:rPr>
              <w:t>проса об осуществлении контроля за состоянием окружающей среды в панъе</w:t>
            </w:r>
            <w:r w:rsidR="002F7733" w:rsidRPr="00B538EB">
              <w:rPr>
                <w:lang w:eastAsia="ru-RU"/>
              </w:rPr>
              <w:t>в</w:t>
            </w:r>
            <w:r w:rsidR="002F7733" w:rsidRPr="00B538EB">
              <w:rPr>
                <w:lang w:eastAsia="ru-RU"/>
              </w:rPr>
              <w:t>ропейском регионе.</w:t>
            </w:r>
          </w:p>
        </w:tc>
      </w:tr>
      <w:tr w:rsidR="003705BE" w:rsidRPr="003705BE" w:rsidTr="003705BE">
        <w:tc>
          <w:tcPr>
            <w:tcW w:w="9854" w:type="dxa"/>
            <w:shd w:val="clear" w:color="auto" w:fill="auto"/>
          </w:tcPr>
          <w:p w:rsidR="003705BE" w:rsidRPr="003705BE" w:rsidRDefault="003705BE" w:rsidP="003705BE">
            <w:pPr>
              <w:rPr>
                <w:lang w:eastAsia="ru-RU"/>
              </w:rPr>
            </w:pPr>
          </w:p>
        </w:tc>
      </w:tr>
    </w:tbl>
    <w:p w:rsidR="003705BE" w:rsidRPr="003705BE" w:rsidRDefault="003705BE" w:rsidP="009B2237">
      <w:pPr>
        <w:pStyle w:val="HChGR"/>
        <w:pageBreakBefore/>
      </w:pPr>
      <w:r w:rsidRPr="003705BE">
        <w:lastRenderedPageBreak/>
        <w:tab/>
      </w:r>
      <w:r w:rsidRPr="003705BE">
        <w:rPr>
          <w:lang w:val="en-GB"/>
        </w:rPr>
        <w:t>I</w:t>
      </w:r>
      <w:r w:rsidRPr="003705BE">
        <w:t>.</w:t>
      </w:r>
      <w:r w:rsidRPr="003705BE">
        <w:tab/>
      </w:r>
      <w:r w:rsidR="002F7733" w:rsidRPr="007B1A6B">
        <w:t>Общая картина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1.</w:t>
      </w:r>
      <w:r w:rsidRPr="00981718">
        <w:rPr>
          <w:bCs/>
          <w:lang w:eastAsia="ru-RU"/>
        </w:rPr>
        <w:tab/>
        <w:t>Панъевропейская региональная оценка в рамках шестой Глобальной эк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 xml:space="preserve">логической перспективы нацеливает на </w:t>
      </w:r>
      <w:r w:rsidR="00981718">
        <w:rPr>
          <w:bCs/>
          <w:lang w:eastAsia="ru-RU"/>
        </w:rPr>
        <w:t>более срочные действия</w:t>
      </w:r>
      <w:r w:rsidRPr="00981718">
        <w:rPr>
          <w:bCs/>
          <w:lang w:eastAsia="ru-RU"/>
        </w:rPr>
        <w:t xml:space="preserve"> как по линии уже реализуем</w:t>
      </w:r>
      <w:r w:rsidR="00981718">
        <w:rPr>
          <w:bCs/>
          <w:lang w:eastAsia="ru-RU"/>
        </w:rPr>
        <w:t>ой</w:t>
      </w:r>
      <w:r w:rsidRPr="00981718">
        <w:rPr>
          <w:bCs/>
          <w:lang w:eastAsia="ru-RU"/>
        </w:rPr>
        <w:t xml:space="preserve"> политики, так и в русле осуществления Повестки дня в обл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сти устойчивого развития на период до 2030 года (Повестка дня на период до 2030 года) в целях противодействия вызовам, с которыми сталкивается рег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он.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2.</w:t>
      </w:r>
      <w:r w:rsidRPr="00981718">
        <w:rPr>
          <w:bCs/>
          <w:lang w:eastAsia="ru-RU"/>
        </w:rPr>
        <w:tab/>
        <w:t>Региональные и глобальные многосторонние природоохранные соглаш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ния позволили улучшить состояние окружающей среды в регионе, расширить доступ к информации и участие общественности. Дальнейшего улучшения п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ложения можно добиться путем повышения эффективности осуществления и расширения доступа к правосудию.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3.</w:t>
      </w:r>
      <w:r w:rsidRPr="00981718">
        <w:rPr>
          <w:bCs/>
          <w:lang w:eastAsia="ru-RU"/>
        </w:rPr>
        <w:tab/>
      </w:r>
      <w:r w:rsidR="00981718">
        <w:rPr>
          <w:bCs/>
          <w:lang w:eastAsia="ru-RU"/>
        </w:rPr>
        <w:t>«</w:t>
      </w:r>
      <w:r w:rsidR="00981718" w:rsidRPr="00981718">
        <w:rPr>
          <w:bCs/>
          <w:lang w:eastAsia="ru-RU"/>
        </w:rPr>
        <w:t>Ресурсный след</w:t>
      </w:r>
      <w:r w:rsidR="00981718">
        <w:rPr>
          <w:bCs/>
          <w:lang w:eastAsia="ru-RU"/>
        </w:rPr>
        <w:t>» в</w:t>
      </w:r>
      <w:r w:rsidR="00981718" w:rsidRPr="00981718">
        <w:rPr>
          <w:bCs/>
          <w:lang w:eastAsia="ru-RU"/>
        </w:rPr>
        <w:t xml:space="preserve"> </w:t>
      </w:r>
      <w:r w:rsidR="00981718">
        <w:rPr>
          <w:bCs/>
          <w:lang w:eastAsia="ru-RU"/>
        </w:rPr>
        <w:t>р</w:t>
      </w:r>
      <w:r w:rsidRPr="00981718">
        <w:rPr>
          <w:bCs/>
          <w:lang w:eastAsia="ru-RU"/>
        </w:rPr>
        <w:t>егион</w:t>
      </w:r>
      <w:r w:rsidR="00981718">
        <w:rPr>
          <w:bCs/>
          <w:lang w:eastAsia="ru-RU"/>
        </w:rPr>
        <w:t xml:space="preserve">е является неприемлемым, что объясняется </w:t>
      </w:r>
      <w:r w:rsidRPr="00981718">
        <w:rPr>
          <w:bCs/>
          <w:lang w:eastAsia="ru-RU"/>
        </w:rPr>
        <w:t>чрезмерной эксплуатаци</w:t>
      </w:r>
      <w:r w:rsidR="00981718">
        <w:rPr>
          <w:bCs/>
          <w:lang w:eastAsia="ru-RU"/>
        </w:rPr>
        <w:t>ей</w:t>
      </w:r>
      <w:r w:rsidRPr="00981718">
        <w:rPr>
          <w:bCs/>
          <w:lang w:eastAsia="ru-RU"/>
        </w:rPr>
        <w:t xml:space="preserve"> природных ресурсов </w:t>
      </w:r>
      <w:r w:rsidR="00981718">
        <w:rPr>
          <w:bCs/>
          <w:lang w:eastAsia="ru-RU"/>
        </w:rPr>
        <w:t xml:space="preserve">в нем </w:t>
      </w:r>
      <w:r w:rsidRPr="00981718">
        <w:rPr>
          <w:bCs/>
          <w:lang w:eastAsia="ru-RU"/>
        </w:rPr>
        <w:t>и модел</w:t>
      </w:r>
      <w:r w:rsidR="00981718">
        <w:rPr>
          <w:bCs/>
          <w:lang w:eastAsia="ru-RU"/>
        </w:rPr>
        <w:t>ями его</w:t>
      </w:r>
      <w:r w:rsidRPr="00981718">
        <w:rPr>
          <w:bCs/>
          <w:lang w:eastAsia="ru-RU"/>
        </w:rPr>
        <w:t xml:space="preserve"> торговли с другими регионами. В предстоящие десятилетия на экологической, социал</w:t>
      </w:r>
      <w:r w:rsidRPr="00981718">
        <w:rPr>
          <w:bCs/>
          <w:lang w:eastAsia="ru-RU"/>
        </w:rPr>
        <w:t>ь</w:t>
      </w:r>
      <w:r w:rsidRPr="00981718">
        <w:rPr>
          <w:bCs/>
          <w:lang w:eastAsia="ru-RU"/>
        </w:rPr>
        <w:t xml:space="preserve">ной и экономической резильентности отрицательно скажутся глобальные </w:t>
      </w:r>
      <w:r w:rsidR="00981718">
        <w:rPr>
          <w:bCs/>
          <w:lang w:eastAsia="ru-RU"/>
        </w:rPr>
        <w:t>м</w:t>
      </w:r>
      <w:r w:rsidR="00981718">
        <w:rPr>
          <w:bCs/>
          <w:lang w:eastAsia="ru-RU"/>
        </w:rPr>
        <w:t>е</w:t>
      </w:r>
      <w:r w:rsidR="00981718">
        <w:rPr>
          <w:bCs/>
          <w:lang w:eastAsia="ru-RU"/>
        </w:rPr>
        <w:t>гатренды</w:t>
      </w:r>
      <w:r w:rsidRPr="00981718">
        <w:rPr>
          <w:bCs/>
          <w:lang w:eastAsia="ru-RU"/>
        </w:rPr>
        <w:t>, которы</w:t>
      </w:r>
      <w:r w:rsid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 </w:t>
      </w:r>
      <w:r w:rsidR="00981718">
        <w:rPr>
          <w:bCs/>
          <w:lang w:eastAsia="ru-RU"/>
        </w:rPr>
        <w:t xml:space="preserve">выходят </w:t>
      </w:r>
      <w:r w:rsidRPr="00981718">
        <w:rPr>
          <w:bCs/>
          <w:lang w:eastAsia="ru-RU"/>
        </w:rPr>
        <w:t>за предел</w:t>
      </w:r>
      <w:r w:rsidR="00981718">
        <w:rPr>
          <w:bCs/>
          <w:lang w:eastAsia="ru-RU"/>
        </w:rPr>
        <w:t>ы</w:t>
      </w:r>
      <w:r w:rsidRPr="00981718">
        <w:rPr>
          <w:bCs/>
          <w:lang w:eastAsia="ru-RU"/>
        </w:rPr>
        <w:t xml:space="preserve"> прямого контроля и влияния реги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на.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4.</w:t>
      </w:r>
      <w:r w:rsidRPr="00981718">
        <w:rPr>
          <w:bCs/>
          <w:lang w:eastAsia="ru-RU"/>
        </w:rPr>
        <w:tab/>
        <w:t>Экологические проблемы современности носят все более системный, многогранный, комплексный и неопределенный характер, тесно переплетаясь с социально-экономическими факторами. Вследствие антропогенных изменений были нарушены четыре из девяти планетарных границ, что привело к измен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нию климата</w:t>
      </w:r>
      <w:r w:rsidR="00981718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утрате биоразнообразия</w:t>
      </w:r>
      <w:r w:rsidR="00981718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изменению </w:t>
      </w:r>
      <w:r w:rsidR="00981718">
        <w:rPr>
          <w:bCs/>
          <w:lang w:eastAsia="ru-RU"/>
        </w:rPr>
        <w:t xml:space="preserve">земельной </w:t>
      </w:r>
      <w:r w:rsidRPr="00981718">
        <w:rPr>
          <w:bCs/>
          <w:lang w:eastAsia="ru-RU"/>
        </w:rPr>
        <w:t>системы и изм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нению фосфорного и азотного циклов. Неудовлетворительное кач</w:t>
      </w:r>
      <w:r w:rsidRPr="00981718">
        <w:rPr>
          <w:bCs/>
          <w:lang w:eastAsia="ru-RU"/>
        </w:rPr>
        <w:t>е</w:t>
      </w:r>
      <w:r w:rsidR="00934269">
        <w:rPr>
          <w:bCs/>
          <w:lang w:eastAsia="ru-RU"/>
        </w:rPr>
        <w:t>ство</w:t>
      </w:r>
      <w:r w:rsidRPr="00981718">
        <w:rPr>
          <w:bCs/>
          <w:lang w:eastAsia="ru-RU"/>
        </w:rPr>
        <w:t xml:space="preserve"> воздуха, изменение климата, нездоровы</w:t>
      </w:r>
      <w:r w:rsidR="00934269">
        <w:rPr>
          <w:bCs/>
          <w:lang w:eastAsia="ru-RU"/>
        </w:rPr>
        <w:t>й</w:t>
      </w:r>
      <w:r w:rsidRPr="00981718">
        <w:rPr>
          <w:bCs/>
          <w:lang w:eastAsia="ru-RU"/>
        </w:rPr>
        <w:t xml:space="preserve"> образ жизни и ослабление связи между общ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ством и природной окружающей средой все больше </w:t>
      </w:r>
      <w:r w:rsidR="00981718">
        <w:rPr>
          <w:bCs/>
          <w:lang w:eastAsia="ru-RU"/>
        </w:rPr>
        <w:t>сказываются на</w:t>
      </w:r>
      <w:r w:rsidRPr="00981718">
        <w:rPr>
          <w:bCs/>
          <w:lang w:eastAsia="ru-RU"/>
        </w:rPr>
        <w:t xml:space="preserve"> здоровье человека в регионе и порождают новые риски.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5.</w:t>
      </w:r>
      <w:r w:rsidRPr="00981718">
        <w:rPr>
          <w:bCs/>
          <w:lang w:eastAsia="ru-RU"/>
        </w:rPr>
        <w:tab/>
        <w:t>Для обеспечения здоровья планеты и здоровья людей крайне необходимы резильентные экосистемы, эффективное ресурсопользование, чистый воздух, достаточное количество чистой воды, устойчивое управление химическими в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ществами и отходами и устойчивые города. Однако для достижения устойчив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сти нельзя ограничиваться только экологической политикой или повышением экономической и технологической эффективности. Необходимо ставить более амбициозные цели. Эта реальность получила признание в Повестке дня в обл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сти устойчивого развития на период до 2030 года.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6.</w:t>
      </w:r>
      <w:r w:rsidRPr="00981718">
        <w:rPr>
          <w:bCs/>
          <w:lang w:eastAsia="ru-RU"/>
        </w:rPr>
        <w:tab/>
        <w:t>Для того чтобы жить в пределах планетарных границ, потребуется ос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 xml:space="preserve">ществить фундаментальные изменения в энергетической и продовольственной системах, системах мобильности и городов, которые повлекли </w:t>
      </w:r>
      <w:r w:rsidR="00981718">
        <w:rPr>
          <w:bCs/>
          <w:lang w:eastAsia="ru-RU"/>
        </w:rPr>
        <w:t xml:space="preserve">бы </w:t>
      </w:r>
      <w:r w:rsidRPr="00981718">
        <w:rPr>
          <w:bCs/>
          <w:lang w:eastAsia="ru-RU"/>
        </w:rPr>
        <w:t>за собой гл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бокие изменения в доминирующих институтах, практик</w:t>
      </w:r>
      <w:r w:rsidR="00981718">
        <w:rPr>
          <w:bCs/>
          <w:lang w:eastAsia="ru-RU"/>
        </w:rPr>
        <w:t>е</w:t>
      </w:r>
      <w:r w:rsidRPr="00981718">
        <w:rPr>
          <w:bCs/>
          <w:lang w:eastAsia="ru-RU"/>
        </w:rPr>
        <w:t>, технологиях, полит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к</w:t>
      </w:r>
      <w:r w:rsid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 и образе жизни. Существует неотложная необходимость создания новых ко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 xml:space="preserve">лиций </w:t>
      </w:r>
      <w:r w:rsidR="00981718">
        <w:rPr>
          <w:bCs/>
          <w:lang w:eastAsia="ru-RU"/>
        </w:rPr>
        <w:t>по</w:t>
      </w:r>
      <w:r w:rsidRPr="00981718">
        <w:rPr>
          <w:bCs/>
          <w:lang w:eastAsia="ru-RU"/>
        </w:rPr>
        <w:t xml:space="preserve"> управлени</w:t>
      </w:r>
      <w:r w:rsidR="00981718">
        <w:rPr>
          <w:bCs/>
          <w:lang w:eastAsia="ru-RU"/>
        </w:rPr>
        <w:t>ю</w:t>
      </w:r>
      <w:r w:rsidRPr="00981718">
        <w:rPr>
          <w:bCs/>
          <w:lang w:eastAsia="ru-RU"/>
        </w:rPr>
        <w:t xml:space="preserve"> с участием национальных и субнациональных </w:t>
      </w:r>
      <w:r w:rsidR="00981718">
        <w:rPr>
          <w:bCs/>
          <w:lang w:eastAsia="ru-RU"/>
        </w:rPr>
        <w:t>органов</w:t>
      </w:r>
      <w:r w:rsidRPr="00981718">
        <w:rPr>
          <w:bCs/>
          <w:lang w:eastAsia="ru-RU"/>
        </w:rPr>
        <w:t xml:space="preserve"> управления, предприятий и граждан.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7.</w:t>
      </w:r>
      <w:r w:rsidRPr="00981718">
        <w:rPr>
          <w:bCs/>
          <w:lang w:eastAsia="ru-RU"/>
        </w:rPr>
        <w:tab/>
      </w:r>
      <w:r w:rsidR="00981718">
        <w:rPr>
          <w:bCs/>
          <w:lang w:eastAsia="ru-RU"/>
        </w:rPr>
        <w:t>Переход к подлинно инклюзивной «</w:t>
      </w:r>
      <w:r w:rsidRPr="00981718">
        <w:rPr>
          <w:bCs/>
          <w:lang w:eastAsia="ru-RU"/>
        </w:rPr>
        <w:t>зеленой</w:t>
      </w:r>
      <w:r w:rsidR="00981718"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 экономике должен опират</w:t>
      </w:r>
      <w:r w:rsidRPr="00981718">
        <w:rPr>
          <w:bCs/>
          <w:lang w:eastAsia="ru-RU"/>
        </w:rPr>
        <w:t>ь</w:t>
      </w:r>
      <w:r w:rsidRPr="00981718">
        <w:rPr>
          <w:bCs/>
          <w:lang w:eastAsia="ru-RU"/>
        </w:rPr>
        <w:t>ся на резильентные экосистемы, системы экологически чистого производства, выбор в пользу здорового потребления, снижение масштабов негативных ра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пределительных последствий экологической политики и общее улучшение эк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логического правосудия для всех.</w:t>
      </w:r>
    </w:p>
    <w:p w:rsidR="002F7733" w:rsidRPr="00981718" w:rsidRDefault="002F7733" w:rsidP="00934269">
      <w:pPr>
        <w:pStyle w:val="SingleTxtGR"/>
        <w:pageBreakBefore/>
        <w:rPr>
          <w:bCs/>
          <w:lang w:eastAsia="ru-RU"/>
        </w:rPr>
      </w:pPr>
      <w:r w:rsidRPr="00981718">
        <w:rPr>
          <w:bCs/>
          <w:lang w:eastAsia="ru-RU"/>
        </w:rPr>
        <w:lastRenderedPageBreak/>
        <w:t>8.</w:t>
      </w:r>
      <w:r w:rsidRPr="00981718">
        <w:rPr>
          <w:bCs/>
          <w:lang w:eastAsia="ru-RU"/>
        </w:rPr>
        <w:tab/>
        <w:t>Для реализации позитивных изменений в долгосрочной перспективе н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обходим безотлагательный переход от количественных изменений к изменениям качественного порядка, которые бы позволили добиться</w:t>
      </w:r>
      <w:r w:rsidR="00981718">
        <w:rPr>
          <w:bCs/>
          <w:lang w:eastAsia="ru-RU"/>
        </w:rPr>
        <w:t xml:space="preserve"> «</w:t>
      </w:r>
      <w:r w:rsidRPr="00981718">
        <w:rPr>
          <w:bCs/>
          <w:lang w:eastAsia="ru-RU"/>
        </w:rPr>
        <w:t>обезуглероживания</w:t>
      </w:r>
      <w:r w:rsidR="00981718"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 энергетических и транспортных систем и сокра</w:t>
      </w:r>
      <w:r w:rsidR="00981718">
        <w:rPr>
          <w:bCs/>
          <w:lang w:eastAsia="ru-RU"/>
        </w:rPr>
        <w:t>щени</w:t>
      </w:r>
      <w:r w:rsidR="00934269">
        <w:rPr>
          <w:bCs/>
          <w:lang w:eastAsia="ru-RU"/>
        </w:rPr>
        <w:t>я</w:t>
      </w:r>
      <w:r w:rsidR="00981718">
        <w:rPr>
          <w:bCs/>
          <w:lang w:eastAsia="ru-RU"/>
        </w:rPr>
        <w:t xml:space="preserve"> других вредных</w:t>
      </w:r>
      <w:r w:rsidRPr="00981718">
        <w:rPr>
          <w:bCs/>
          <w:lang w:eastAsia="ru-RU"/>
        </w:rPr>
        <w:t xml:space="preserve"> выбр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</w:t>
      </w:r>
      <w:r w:rsidR="00981718">
        <w:rPr>
          <w:bCs/>
          <w:lang w:eastAsia="ru-RU"/>
        </w:rPr>
        <w:t>ов,</w:t>
      </w:r>
      <w:r w:rsidRPr="00981718">
        <w:rPr>
          <w:bCs/>
          <w:lang w:eastAsia="ru-RU"/>
        </w:rPr>
        <w:t xml:space="preserve"> восстановить экосистемы</w:t>
      </w:r>
      <w:r w:rsidR="00981718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ослабить связь между использованием ресурсов, в том числе </w:t>
      </w:r>
      <w:r w:rsidR="00981718">
        <w:rPr>
          <w:bCs/>
          <w:lang w:eastAsia="ru-RU"/>
        </w:rPr>
        <w:t>уменьшить «материальные</w:t>
      </w:r>
      <w:r w:rsidRPr="00981718">
        <w:rPr>
          <w:bCs/>
          <w:lang w:eastAsia="ru-RU"/>
        </w:rPr>
        <w:t xml:space="preserve"> </w:t>
      </w:r>
      <w:r w:rsidR="00981718">
        <w:rPr>
          <w:bCs/>
          <w:lang w:eastAsia="ru-RU"/>
        </w:rPr>
        <w:t>следы</w:t>
      </w:r>
      <w:r w:rsidR="00934269">
        <w:rPr>
          <w:bCs/>
          <w:lang w:eastAsia="ru-RU"/>
        </w:rPr>
        <w:t>»</w:t>
      </w:r>
      <w:r w:rsidRPr="00981718">
        <w:rPr>
          <w:bCs/>
          <w:lang w:eastAsia="ru-RU"/>
        </w:rPr>
        <w:t>, и общей результативностью экономики</w:t>
      </w:r>
      <w:r w:rsidR="00981718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экологиз</w:t>
      </w:r>
      <w:r w:rsidR="00981718">
        <w:rPr>
          <w:bCs/>
          <w:lang w:eastAsia="ru-RU"/>
        </w:rPr>
        <w:t>ировать закупки</w:t>
      </w:r>
      <w:r w:rsidRPr="00981718">
        <w:rPr>
          <w:bCs/>
          <w:lang w:eastAsia="ru-RU"/>
        </w:rPr>
        <w:t xml:space="preserve"> в государственном и частном секто</w:t>
      </w:r>
      <w:r w:rsidR="00981718">
        <w:rPr>
          <w:bCs/>
          <w:lang w:eastAsia="ru-RU"/>
        </w:rPr>
        <w:t>рах,</w:t>
      </w:r>
      <w:r w:rsidRPr="00981718">
        <w:rPr>
          <w:bCs/>
          <w:lang w:eastAsia="ru-RU"/>
        </w:rPr>
        <w:t xml:space="preserve"> усил</w:t>
      </w:r>
      <w:r w:rsidR="00981718">
        <w:rPr>
          <w:bCs/>
          <w:lang w:eastAsia="ru-RU"/>
        </w:rPr>
        <w:t>ить</w:t>
      </w:r>
      <w:r w:rsidRPr="00981718">
        <w:rPr>
          <w:bCs/>
          <w:lang w:eastAsia="ru-RU"/>
        </w:rPr>
        <w:t xml:space="preserve"> эколо</w:t>
      </w:r>
      <w:r w:rsidR="00981718">
        <w:rPr>
          <w:bCs/>
          <w:lang w:eastAsia="ru-RU"/>
        </w:rPr>
        <w:t>гическую</w:t>
      </w:r>
      <w:r w:rsidRPr="00981718">
        <w:rPr>
          <w:bCs/>
          <w:lang w:eastAsia="ru-RU"/>
        </w:rPr>
        <w:t xml:space="preserve"> ответственност</w:t>
      </w:r>
      <w:r w:rsidR="00981718">
        <w:rPr>
          <w:bCs/>
          <w:lang w:eastAsia="ru-RU"/>
        </w:rPr>
        <w:t>ь</w:t>
      </w:r>
      <w:r w:rsidRPr="00981718">
        <w:rPr>
          <w:bCs/>
          <w:lang w:eastAsia="ru-RU"/>
        </w:rPr>
        <w:t xml:space="preserve"> в предпринимательской деятельности и стимулирова</w:t>
      </w:r>
      <w:r w:rsidR="00981718">
        <w:rPr>
          <w:bCs/>
          <w:lang w:eastAsia="ru-RU"/>
        </w:rPr>
        <w:t>ть изменения</w:t>
      </w:r>
      <w:r w:rsidRPr="00981718">
        <w:rPr>
          <w:bCs/>
          <w:lang w:eastAsia="ru-RU"/>
        </w:rPr>
        <w:t xml:space="preserve"> в образе жизни.</w:t>
      </w:r>
    </w:p>
    <w:p w:rsidR="002F7733" w:rsidRPr="00981718" w:rsidRDefault="00981718" w:rsidP="00981718">
      <w:pPr>
        <w:pStyle w:val="HChGR"/>
      </w:pPr>
      <w:r>
        <w:tab/>
      </w:r>
      <w:r w:rsidR="002F7733" w:rsidRPr="00981718">
        <w:t>II.</w:t>
      </w:r>
      <w:r w:rsidR="002F7733" w:rsidRPr="00981718">
        <w:tab/>
        <w:t>Основные выводы</w:t>
      </w:r>
    </w:p>
    <w:p w:rsidR="002F7733" w:rsidRPr="00981718" w:rsidRDefault="00C9237D" w:rsidP="00C9237D">
      <w:pPr>
        <w:pStyle w:val="H23GR"/>
      </w:pPr>
      <w:r>
        <w:tab/>
      </w:r>
      <w:r>
        <w:tab/>
      </w:r>
      <w:r w:rsidR="002F7733" w:rsidRPr="00981718">
        <w:t>Изменение климата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9.</w:t>
      </w:r>
      <w:r w:rsidRPr="00981718">
        <w:rPr>
          <w:bCs/>
          <w:lang w:eastAsia="ru-RU"/>
        </w:rPr>
        <w:tab/>
        <w:t>Изменение климата является одной из крупнейших угроз для здоровья человека и экосистем и достижения устойчивого развития. Оно также является катализатором большинства других экологических рисков. Расширение ма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штабов его воздействий проявляется в таянии льдов, подъеме уровня моря, ув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личении частоты наводнений и засух, деградации экосистем, утрате биоразн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образия и функций почв, а также в потерях в процессе производств</w:t>
      </w:r>
      <w:r w:rsidR="00934269">
        <w:rPr>
          <w:bCs/>
          <w:lang w:eastAsia="ru-RU"/>
        </w:rPr>
        <w:t>а</w:t>
      </w:r>
      <w:r w:rsidRPr="00981718">
        <w:rPr>
          <w:bCs/>
          <w:lang w:eastAsia="ru-RU"/>
        </w:rPr>
        <w:t xml:space="preserve"> продовол</w:t>
      </w:r>
      <w:r w:rsidRPr="00981718">
        <w:rPr>
          <w:bCs/>
          <w:lang w:eastAsia="ru-RU"/>
        </w:rPr>
        <w:t>ь</w:t>
      </w:r>
      <w:r w:rsidRPr="00981718">
        <w:rPr>
          <w:bCs/>
          <w:lang w:eastAsia="ru-RU"/>
        </w:rPr>
        <w:t>ствия, изменении переносчиков болезней и усугублении воздействия загрязн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ния на здоровье человека.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10.</w:t>
      </w:r>
      <w:r w:rsidRPr="00981718">
        <w:rPr>
          <w:bCs/>
          <w:lang w:eastAsia="ru-RU"/>
        </w:rPr>
        <w:tab/>
        <w:t xml:space="preserve">Хотя в Европейском союзе удалось добиться стабилизации или снижения выбросов парниковых газов, в субрегионе Юго-Восточной Европы </w:t>
      </w:r>
      <w:r>
        <w:rPr>
          <w:bCs/>
          <w:lang w:eastAsia="ru-RU"/>
        </w:rPr>
        <w:t>они увел</w:t>
      </w:r>
      <w:r>
        <w:rPr>
          <w:bCs/>
          <w:lang w:eastAsia="ru-RU"/>
        </w:rPr>
        <w:t>и</w:t>
      </w:r>
      <w:r>
        <w:rPr>
          <w:bCs/>
          <w:lang w:eastAsia="ru-RU"/>
        </w:rPr>
        <w:t>чиваются</w:t>
      </w:r>
      <w:r w:rsidRPr="00981718">
        <w:rPr>
          <w:bCs/>
          <w:lang w:eastAsia="ru-RU"/>
        </w:rPr>
        <w:t>. За исключением транспорта, производства холода и кондиционир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вания воздуха, выбросы сократились в большинстве секторов, главным образом за счет повышения эффективности. В рамках перехода к циркуляционной эк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номике дальнейшие действия по смягчению последствий должны быть орие</w:t>
      </w:r>
      <w:r w:rsidRPr="00981718">
        <w:rPr>
          <w:bCs/>
          <w:lang w:eastAsia="ru-RU"/>
        </w:rPr>
        <w:t>н</w:t>
      </w:r>
      <w:r w:rsidRPr="00981718">
        <w:rPr>
          <w:bCs/>
          <w:lang w:eastAsia="ru-RU"/>
        </w:rPr>
        <w:t>тированы на транспорт, сельское хозяйство, энергетику и сырье.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11.</w:t>
      </w:r>
      <w:r w:rsidRPr="00981718">
        <w:rPr>
          <w:bCs/>
          <w:lang w:eastAsia="ru-RU"/>
        </w:rPr>
        <w:tab/>
        <w:t xml:space="preserve">Для того чтобы не выйти за пределы повышения температуры на </w:t>
      </w:r>
      <w:r>
        <w:rPr>
          <w:bCs/>
          <w:lang w:eastAsia="ru-RU"/>
        </w:rPr>
        <w:br/>
      </w:r>
      <w:r w:rsidRPr="00981718">
        <w:rPr>
          <w:bCs/>
          <w:lang w:eastAsia="ru-RU"/>
        </w:rPr>
        <w:t>2</w:t>
      </w:r>
      <w:r>
        <w:rPr>
          <w:bCs/>
          <w:lang w:eastAsia="ru-RU"/>
        </w:rPr>
        <w:t xml:space="preserve"> °</w:t>
      </w:r>
      <w:r w:rsidRPr="00981718">
        <w:rPr>
          <w:bCs/>
          <w:lang w:eastAsia="ru-RU"/>
        </w:rPr>
        <w:t>C</w:t>
      </w:r>
      <w:r w:rsidR="00934269">
        <w:rPr>
          <w:bCs/>
          <w:lang w:eastAsia="ru-RU"/>
        </w:rPr>
        <w:t xml:space="preserve"> </w:t>
      </w:r>
      <w:r w:rsidRPr="00981718">
        <w:rPr>
          <w:bCs/>
          <w:lang w:eastAsia="ru-RU"/>
        </w:rPr>
        <w:t>–</w:t>
      </w:r>
      <w:r w:rsidR="00934269">
        <w:rPr>
          <w:bCs/>
          <w:lang w:eastAsia="ru-RU"/>
        </w:rPr>
        <w:t xml:space="preserve"> </w:t>
      </w:r>
      <w:r w:rsidRPr="00981718">
        <w:rPr>
          <w:bCs/>
          <w:lang w:eastAsia="ru-RU"/>
        </w:rPr>
        <w:t>1,5</w:t>
      </w:r>
      <w:r>
        <w:rPr>
          <w:bCs/>
          <w:lang w:eastAsia="ru-RU"/>
        </w:rPr>
        <w:t xml:space="preserve"> °</w:t>
      </w:r>
      <w:r w:rsidRPr="00981718">
        <w:rPr>
          <w:bCs/>
          <w:lang w:eastAsia="ru-RU"/>
        </w:rPr>
        <w:t>C и уже спрогнозированных воздействий, необходимо усилить пр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нимаемые правительствами на национальном и субнациональном уровнях меры по смягчению изменения климата и адаптации к нему, включая налаживание учета следов выбросов, а также создать коалиции заинтересованных сторон в этой области. Приоритеты в сфере адаптаци</w:t>
      </w:r>
      <w:r w:rsidR="00934269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включают в себя совершенств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вание управления водными ресурсами, особенно с учетом наводнений в пр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брежных районах</w:t>
      </w:r>
      <w:r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выращивание культур, стойких к повышенным температ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рам</w:t>
      </w:r>
      <w:r>
        <w:rPr>
          <w:bCs/>
          <w:lang w:eastAsia="ru-RU"/>
        </w:rPr>
        <w:t>, и </w:t>
      </w:r>
      <w:r w:rsidRPr="00981718">
        <w:rPr>
          <w:bCs/>
          <w:lang w:eastAsia="ru-RU"/>
        </w:rPr>
        <w:t xml:space="preserve">создание </w:t>
      </w:r>
      <w:r w:rsidR="00934269">
        <w:rPr>
          <w:bCs/>
          <w:lang w:eastAsia="ru-RU"/>
        </w:rPr>
        <w:t>«</w:t>
      </w:r>
      <w:r w:rsidRPr="00981718">
        <w:rPr>
          <w:bCs/>
          <w:lang w:eastAsia="ru-RU"/>
        </w:rPr>
        <w:t>зеленой</w:t>
      </w:r>
      <w:r w:rsidR="00934269"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 инфраструктуры для повышения резильентности к экстремальной погоде, особенно в городских районах.</w:t>
      </w:r>
    </w:p>
    <w:p w:rsidR="002F7733" w:rsidRPr="00981718" w:rsidRDefault="002F7733" w:rsidP="002F7733">
      <w:pPr>
        <w:pStyle w:val="H23GR"/>
      </w:pPr>
      <w:r>
        <w:tab/>
      </w:r>
      <w:r>
        <w:tab/>
      </w:r>
      <w:r w:rsidRPr="00981718">
        <w:t>Качество воздуха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12.</w:t>
      </w:r>
      <w:r w:rsidRPr="00981718">
        <w:rPr>
          <w:bCs/>
          <w:lang w:eastAsia="ru-RU"/>
        </w:rPr>
        <w:tab/>
        <w:t>Качество воздуха создает наибольшую угрозу для здоровья населения панъевропейского региона, при этом несоразмерно высокой является доля з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трагиваемых ею детей, престарелых и малоим</w:t>
      </w:r>
      <w:r>
        <w:rPr>
          <w:bCs/>
          <w:lang w:eastAsia="ru-RU"/>
        </w:rPr>
        <w:t>ущих. В 2012 году более 500 000 </w:t>
      </w:r>
      <w:r w:rsidRPr="00981718">
        <w:rPr>
          <w:bCs/>
          <w:lang w:eastAsia="ru-RU"/>
        </w:rPr>
        <w:t>преждевременных случаев смерти в регионе были обусловлены кач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ством наружного воздуха и 100 000 случаев </w:t>
      </w:r>
      <w:r>
        <w:rPr>
          <w:bCs/>
          <w:lang w:eastAsia="ru-RU"/>
        </w:rPr>
        <w:t>–</w:t>
      </w:r>
      <w:r w:rsidR="00934269">
        <w:rPr>
          <w:bCs/>
          <w:lang w:eastAsia="ru-RU"/>
        </w:rPr>
        <w:t xml:space="preserve"> воздуха помещений. Более 95% </w:t>
      </w:r>
      <w:r w:rsidRPr="00981718">
        <w:rPr>
          <w:bCs/>
          <w:lang w:eastAsia="ru-RU"/>
        </w:rPr>
        <w:t>городского населения подвергается воздействию загрязнения, превыша</w:t>
      </w:r>
      <w:r w:rsidRPr="00981718">
        <w:rPr>
          <w:bCs/>
          <w:lang w:eastAsia="ru-RU"/>
        </w:rPr>
        <w:t>ю</w:t>
      </w:r>
      <w:r w:rsidRPr="00981718">
        <w:rPr>
          <w:bCs/>
          <w:lang w:eastAsia="ru-RU"/>
        </w:rPr>
        <w:t>щего показатели, определенные руководящими принципами Всемирной орган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зации здравоохранения. Ущерб экосистемам по-прежнему причиняют чрезме</w:t>
      </w:r>
      <w:r w:rsidRPr="00981718">
        <w:rPr>
          <w:bCs/>
          <w:lang w:eastAsia="ru-RU"/>
        </w:rPr>
        <w:t>р</w:t>
      </w:r>
      <w:r w:rsidRPr="00981718">
        <w:rPr>
          <w:bCs/>
          <w:lang w:eastAsia="ru-RU"/>
        </w:rPr>
        <w:t>ные осаждения азота. Наиболее сильное влияние на качество воздуха в регионе ок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зывают модели образа жизни, потребления и транспорт</w:t>
      </w:r>
      <w:r>
        <w:rPr>
          <w:bCs/>
          <w:lang w:eastAsia="ru-RU"/>
        </w:rPr>
        <w:t>а</w:t>
      </w:r>
      <w:r w:rsidRPr="00981718">
        <w:rPr>
          <w:bCs/>
          <w:lang w:eastAsia="ru-RU"/>
        </w:rPr>
        <w:t>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lastRenderedPageBreak/>
        <w:t>13.</w:t>
      </w:r>
      <w:r w:rsidRPr="00981718">
        <w:rPr>
          <w:bCs/>
          <w:lang w:eastAsia="ru-RU"/>
        </w:rPr>
        <w:tab/>
        <w:t xml:space="preserve">За последние десятилетия во многих частях региона качество воздуха улучшилось благодаря принятию эффективных норм регулирования, которые позволили сократить выбросы загрязняющих веществ. Многие воздействующие на качество воздуха сектора также вносят </w:t>
      </w:r>
      <w:r>
        <w:rPr>
          <w:bCs/>
          <w:lang w:eastAsia="ru-RU"/>
        </w:rPr>
        <w:t xml:space="preserve">свой </w:t>
      </w:r>
      <w:r w:rsidRPr="00981718">
        <w:rPr>
          <w:bCs/>
          <w:lang w:eastAsia="ru-RU"/>
        </w:rPr>
        <w:t>вклад в выбросы парниковых г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зов. К числу основных загрязнителей, оказывающих неблагоприятное возде</w:t>
      </w:r>
      <w:r w:rsidRPr="00981718">
        <w:rPr>
          <w:bCs/>
          <w:lang w:eastAsia="ru-RU"/>
        </w:rPr>
        <w:t>й</w:t>
      </w:r>
      <w:r w:rsidRPr="00981718">
        <w:rPr>
          <w:bCs/>
          <w:lang w:eastAsia="ru-RU"/>
        </w:rPr>
        <w:t>ствие на качество наружного воздуха, относятся дисперсное вещество и озон.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14.</w:t>
      </w:r>
      <w:r w:rsidRPr="00981718">
        <w:rPr>
          <w:bCs/>
          <w:lang w:eastAsia="ru-RU"/>
        </w:rPr>
        <w:tab/>
        <w:t xml:space="preserve">Органы Конвенции о трансграничном загрязнении воздуха на большие расстояния и протоколов к ней добились успеха в обеспечении синтеза научных данных с мерами политики. Имеющиеся данные говорят в пользу продолжения </w:t>
      </w:r>
      <w:r>
        <w:rPr>
          <w:bCs/>
          <w:lang w:eastAsia="ru-RU"/>
        </w:rPr>
        <w:t>программных действий</w:t>
      </w:r>
      <w:r w:rsidRPr="00981718">
        <w:rPr>
          <w:bCs/>
          <w:lang w:eastAsia="ru-RU"/>
        </w:rPr>
        <w:t>, направленн</w:t>
      </w:r>
      <w:r>
        <w:rPr>
          <w:bCs/>
          <w:lang w:eastAsia="ru-RU"/>
        </w:rPr>
        <w:t>ых</w:t>
      </w:r>
      <w:r w:rsidRPr="00981718">
        <w:rPr>
          <w:bCs/>
          <w:lang w:eastAsia="ru-RU"/>
        </w:rPr>
        <w:t xml:space="preserve"> на интегрирование политики по обесп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чению качества воздуха и климатической политики. Кроме того, приоритетное внимание в политике следует уделять изменению моделей образа жизни и </w:t>
      </w:r>
      <w:r>
        <w:rPr>
          <w:bCs/>
          <w:lang w:eastAsia="ru-RU"/>
        </w:rPr>
        <w:t>м</w:t>
      </w:r>
      <w:r>
        <w:rPr>
          <w:bCs/>
          <w:lang w:eastAsia="ru-RU"/>
        </w:rPr>
        <w:t>е</w:t>
      </w:r>
      <w:r>
        <w:rPr>
          <w:bCs/>
          <w:lang w:eastAsia="ru-RU"/>
        </w:rPr>
        <w:t>рам по повышению</w:t>
      </w:r>
      <w:r w:rsidRPr="00981718">
        <w:rPr>
          <w:bCs/>
          <w:lang w:eastAsia="ru-RU"/>
        </w:rPr>
        <w:t xml:space="preserve"> эффективности, сокращению выбросов у их источника и вновь возникающим рискам, например озону и недавно выявленным после</w:t>
      </w:r>
      <w:r w:rsidRPr="00981718">
        <w:rPr>
          <w:bCs/>
          <w:lang w:eastAsia="ru-RU"/>
        </w:rPr>
        <w:t>д</w:t>
      </w:r>
      <w:r w:rsidRPr="00981718">
        <w:rPr>
          <w:bCs/>
          <w:lang w:eastAsia="ru-RU"/>
        </w:rPr>
        <w:t>ствиям для здоровья человека. Необходимо проводить исследования для во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полнения значительных пробелов в знаниях о загрязнении воздуха помещений.</w:t>
      </w:r>
    </w:p>
    <w:p w:rsidR="002F7733" w:rsidRPr="00981718" w:rsidRDefault="002F7733" w:rsidP="002F7733">
      <w:pPr>
        <w:pStyle w:val="H23GR"/>
      </w:pPr>
      <w:r>
        <w:tab/>
      </w:r>
      <w:r>
        <w:tab/>
      </w:r>
      <w:r w:rsidRPr="00981718">
        <w:t>Биоразнообразие и экосистемы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15.</w:t>
      </w:r>
      <w:r w:rsidRPr="00981718">
        <w:rPr>
          <w:bCs/>
          <w:lang w:eastAsia="ru-RU"/>
        </w:rPr>
        <w:tab/>
        <w:t>Утрата биоразнообразия и деградация экосистем продолжаются стрем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тельными темпами, несмотря на активизацию усилий по их сохранению и во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становлению. К числу основных факторов давления в регионе относятся ра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тущие изменения в землепользовании, особенно интенсификация сельского х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зяйства, урбанизаци</w:t>
      </w:r>
      <w:r>
        <w:rPr>
          <w:bCs/>
          <w:lang w:eastAsia="ru-RU"/>
        </w:rPr>
        <w:t>я</w:t>
      </w:r>
      <w:r w:rsidRPr="00981718">
        <w:rPr>
          <w:bCs/>
          <w:lang w:eastAsia="ru-RU"/>
        </w:rPr>
        <w:t xml:space="preserve"> и фрагментация </w:t>
      </w:r>
      <w:r>
        <w:rPr>
          <w:bCs/>
          <w:lang w:eastAsia="ru-RU"/>
        </w:rPr>
        <w:t>в результате развития</w:t>
      </w:r>
      <w:r w:rsidRPr="00981718">
        <w:rPr>
          <w:bCs/>
          <w:lang w:eastAsia="ru-RU"/>
        </w:rPr>
        <w:t xml:space="preserve"> транспортной и</w:t>
      </w:r>
      <w:r w:rsidRPr="00981718">
        <w:rPr>
          <w:bCs/>
          <w:lang w:eastAsia="ru-RU"/>
        </w:rPr>
        <w:t>н</w:t>
      </w:r>
      <w:r w:rsidRPr="00981718">
        <w:rPr>
          <w:bCs/>
          <w:lang w:eastAsia="ru-RU"/>
        </w:rPr>
        <w:t>фраструктур</w:t>
      </w:r>
      <w:r>
        <w:rPr>
          <w:bCs/>
          <w:lang w:eastAsia="ru-RU"/>
        </w:rPr>
        <w:t>ы</w:t>
      </w:r>
      <w:r w:rsidRPr="00981718">
        <w:rPr>
          <w:bCs/>
          <w:lang w:eastAsia="ru-RU"/>
        </w:rPr>
        <w:t>. В Западной и Центральной Европе сохранено лишь 38,4% пе</w:t>
      </w:r>
      <w:r w:rsidRPr="00981718">
        <w:rPr>
          <w:bCs/>
          <w:lang w:eastAsia="ru-RU"/>
        </w:rPr>
        <w:t>р</w:t>
      </w:r>
      <w:r w:rsidRPr="00981718">
        <w:rPr>
          <w:bCs/>
          <w:lang w:eastAsia="ru-RU"/>
        </w:rPr>
        <w:t>воначального в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дового богатства, а в Российской Федерации </w:t>
      </w:r>
      <w:r>
        <w:rPr>
          <w:bCs/>
          <w:lang w:eastAsia="ru-RU"/>
        </w:rPr>
        <w:t>–</w:t>
      </w:r>
      <w:r w:rsidRPr="00981718">
        <w:rPr>
          <w:bCs/>
          <w:lang w:eastAsia="ru-RU"/>
        </w:rPr>
        <w:t xml:space="preserve"> 77%.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16.</w:t>
      </w:r>
      <w:r w:rsidRPr="00981718">
        <w:rPr>
          <w:bCs/>
          <w:lang w:eastAsia="ru-RU"/>
        </w:rPr>
        <w:tab/>
        <w:t xml:space="preserve">Необходимо обеспечить полное осуществление проекта Европейского союза по созданию сети </w:t>
      </w:r>
      <w:r>
        <w:rPr>
          <w:bCs/>
          <w:lang w:eastAsia="ru-RU"/>
        </w:rPr>
        <w:t>«</w:t>
      </w:r>
      <w:r w:rsidRPr="00981718">
        <w:rPr>
          <w:bCs/>
          <w:lang w:eastAsia="ru-RU"/>
        </w:rPr>
        <w:t>Натура 2000</w:t>
      </w:r>
      <w:r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, дополняющей </w:t>
      </w:r>
      <w:r>
        <w:rPr>
          <w:bCs/>
          <w:lang w:eastAsia="ru-RU"/>
        </w:rPr>
        <w:t>«</w:t>
      </w:r>
      <w:r w:rsidRPr="00981718">
        <w:rPr>
          <w:bCs/>
          <w:lang w:eastAsia="ru-RU"/>
        </w:rPr>
        <w:t>Изумрудную сеть</w:t>
      </w:r>
      <w:r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 и Панъевропейскую экологическую сеть. Наряду с повышением синергизма с другими существующими инструментами экологической политики это позв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лило бы уменьшить давление путем обеспечения защиты самых разнообразных наземных и водных экосистем, местообитаний, видов и ландшафтов, имеющих общеевропейское значение.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17</w:t>
      </w:r>
      <w:r w:rsidR="00A34DE8">
        <w:rPr>
          <w:bCs/>
          <w:lang w:eastAsia="ru-RU"/>
        </w:rPr>
        <w:t>.</w:t>
      </w:r>
      <w:r w:rsidRPr="00981718">
        <w:rPr>
          <w:bCs/>
          <w:lang w:eastAsia="ru-RU"/>
        </w:rPr>
        <w:tab/>
        <w:t>Наряду с принятием новых нормативных актов по охране земель и почв интегрирование соображений, касающихся биоразнообразия и экосистем, во все аспекты территориально-пространственного планирования позволило бы активизировать усилия по их охране. Управление на основе экосистемных по</w:t>
      </w:r>
      <w:r w:rsidRPr="00981718">
        <w:rPr>
          <w:bCs/>
          <w:lang w:eastAsia="ru-RU"/>
        </w:rPr>
        <w:t>д</w:t>
      </w:r>
      <w:r w:rsidRPr="00981718">
        <w:rPr>
          <w:bCs/>
          <w:lang w:eastAsia="ru-RU"/>
        </w:rPr>
        <w:t>ходов позволяет применять затратоэффективные способы снижения давления на биоразнообразие, особенно со стороны производства продовольствия и ле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ного хозяйства, потребления и туризма.</w:t>
      </w:r>
    </w:p>
    <w:p w:rsidR="002F7733" w:rsidRPr="00981718" w:rsidRDefault="002F7733" w:rsidP="002F7733">
      <w:pPr>
        <w:pStyle w:val="H23GR"/>
      </w:pPr>
      <w:r>
        <w:tab/>
      </w:r>
      <w:r>
        <w:tab/>
      </w:r>
      <w:r w:rsidRPr="00981718">
        <w:t>Химические вещества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18.</w:t>
      </w:r>
      <w:r w:rsidRPr="00981718">
        <w:rPr>
          <w:bCs/>
          <w:lang w:eastAsia="ru-RU"/>
        </w:rPr>
        <w:tab/>
        <w:t>Воздействие химического загрязнения на здоровье человека и экосист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мы присутствует во всем регионе; особую озабоченность вызывают опасные химические вещества вследствие их токсичности, недостатков в управлении ими и недостатков трансграничного контроля за ними. К числу других приор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тетных проблем относятся содержащиеся в потребительских товарах эндокри</w:t>
      </w:r>
      <w:r w:rsidRPr="00981718">
        <w:rPr>
          <w:bCs/>
          <w:lang w:eastAsia="ru-RU"/>
        </w:rPr>
        <w:t>н</w:t>
      </w:r>
      <w:r w:rsidRPr="00981718">
        <w:rPr>
          <w:bCs/>
          <w:lang w:eastAsia="ru-RU"/>
        </w:rPr>
        <w:t>ные деструкторы, опасные вещества в электронной и электротехнической пр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дукции, экологически стойкие лекарственные препараты и наноматериалы.</w:t>
      </w:r>
    </w:p>
    <w:p w:rsidR="002F7733" w:rsidRPr="00981718" w:rsidRDefault="002F7733" w:rsidP="00A34DE8">
      <w:pPr>
        <w:pStyle w:val="SingleTxtGR"/>
        <w:pageBreakBefore/>
        <w:rPr>
          <w:bCs/>
          <w:lang w:eastAsia="ru-RU"/>
        </w:rPr>
      </w:pPr>
      <w:r w:rsidRPr="00981718">
        <w:rPr>
          <w:bCs/>
          <w:lang w:eastAsia="ru-RU"/>
        </w:rPr>
        <w:t>19.</w:t>
      </w:r>
      <w:r w:rsidRPr="00981718">
        <w:rPr>
          <w:bCs/>
          <w:lang w:eastAsia="ru-RU"/>
        </w:rPr>
        <w:tab/>
      </w:r>
      <w:r>
        <w:rPr>
          <w:bCs/>
          <w:lang w:eastAsia="ru-RU"/>
        </w:rPr>
        <w:t>Загрязнение ртутью в</w:t>
      </w:r>
      <w:r w:rsidRPr="00981718">
        <w:rPr>
          <w:bCs/>
          <w:lang w:eastAsia="ru-RU"/>
        </w:rPr>
        <w:t xml:space="preserve"> регионе </w:t>
      </w:r>
      <w:r>
        <w:rPr>
          <w:bCs/>
          <w:lang w:eastAsia="ru-RU"/>
        </w:rPr>
        <w:t xml:space="preserve">все еще является </w:t>
      </w:r>
      <w:r w:rsidRPr="00981718">
        <w:rPr>
          <w:bCs/>
          <w:lang w:eastAsia="ru-RU"/>
        </w:rPr>
        <w:t>значительн</w:t>
      </w:r>
      <w:r>
        <w:rPr>
          <w:bCs/>
          <w:lang w:eastAsia="ru-RU"/>
        </w:rPr>
        <w:t>ым</w:t>
      </w:r>
      <w:r w:rsidRPr="00981718">
        <w:rPr>
          <w:bCs/>
          <w:lang w:eastAsia="ru-RU"/>
        </w:rPr>
        <w:t xml:space="preserve">, </w:t>
      </w:r>
      <w:r>
        <w:rPr>
          <w:bCs/>
          <w:lang w:eastAsia="ru-RU"/>
        </w:rPr>
        <w:t>да еще предстоит решать проблемы, связанные с возникающими</w:t>
      </w:r>
      <w:r w:rsidRPr="00981718">
        <w:rPr>
          <w:bCs/>
          <w:lang w:eastAsia="ru-RU"/>
        </w:rPr>
        <w:t xml:space="preserve"> новы</w:t>
      </w:r>
      <w:r>
        <w:rPr>
          <w:bCs/>
          <w:lang w:eastAsia="ru-RU"/>
        </w:rPr>
        <w:t xml:space="preserve">ми вопросами, </w:t>
      </w:r>
      <w:r>
        <w:rPr>
          <w:bCs/>
          <w:lang w:eastAsia="ru-RU"/>
        </w:rPr>
        <w:lastRenderedPageBreak/>
        <w:t xml:space="preserve">как-то присутствие </w:t>
      </w:r>
      <w:r w:rsidR="00A34DE8">
        <w:rPr>
          <w:bCs/>
          <w:lang w:eastAsia="ru-RU"/>
        </w:rPr>
        <w:t xml:space="preserve">в </w:t>
      </w:r>
      <w:r w:rsidRPr="00981718">
        <w:rPr>
          <w:bCs/>
          <w:lang w:eastAsia="ru-RU"/>
        </w:rPr>
        <w:t>потребительских това</w:t>
      </w:r>
      <w:r>
        <w:rPr>
          <w:bCs/>
          <w:lang w:eastAsia="ru-RU"/>
        </w:rPr>
        <w:t>р</w:t>
      </w:r>
      <w:r w:rsidR="00A34DE8">
        <w:rPr>
          <w:bCs/>
          <w:lang w:eastAsia="ru-RU"/>
        </w:rPr>
        <w:t>ах</w:t>
      </w:r>
      <w:r w:rsidRPr="00981718">
        <w:rPr>
          <w:bCs/>
          <w:lang w:eastAsia="ru-RU"/>
        </w:rPr>
        <w:t xml:space="preserve"> некоторы</w:t>
      </w:r>
      <w:r>
        <w:rPr>
          <w:bCs/>
          <w:lang w:eastAsia="ru-RU"/>
        </w:rPr>
        <w:t>х</w:t>
      </w:r>
      <w:r w:rsidRPr="00981718">
        <w:rPr>
          <w:bCs/>
          <w:lang w:eastAsia="ru-RU"/>
        </w:rPr>
        <w:t xml:space="preserve"> токсич</w:t>
      </w:r>
      <w:r>
        <w:rPr>
          <w:bCs/>
          <w:lang w:eastAsia="ru-RU"/>
        </w:rPr>
        <w:t>ных</w:t>
      </w:r>
      <w:r w:rsidRPr="00981718">
        <w:rPr>
          <w:bCs/>
          <w:lang w:eastAsia="ru-RU"/>
        </w:rPr>
        <w:t xml:space="preserve"> химич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ски</w:t>
      </w:r>
      <w:r>
        <w:rPr>
          <w:bCs/>
          <w:lang w:eastAsia="ru-RU"/>
        </w:rPr>
        <w:t>х</w:t>
      </w:r>
      <w:r w:rsidRPr="00981718">
        <w:rPr>
          <w:bCs/>
          <w:lang w:eastAsia="ru-RU"/>
        </w:rPr>
        <w:t xml:space="preserve"> веще</w:t>
      </w:r>
      <w:r>
        <w:rPr>
          <w:bCs/>
          <w:lang w:eastAsia="ru-RU"/>
        </w:rPr>
        <w:t>ств</w:t>
      </w:r>
      <w:r w:rsidRPr="00981718">
        <w:rPr>
          <w:bCs/>
          <w:lang w:eastAsia="ru-RU"/>
        </w:rPr>
        <w:t xml:space="preserve">. Несмотря на </w:t>
      </w:r>
      <w:r w:rsidR="009C6F5F">
        <w:rPr>
          <w:bCs/>
          <w:lang w:eastAsia="ru-RU"/>
        </w:rPr>
        <w:t>сохранение</w:t>
      </w:r>
      <w:r w:rsidRPr="00981718">
        <w:rPr>
          <w:bCs/>
          <w:lang w:eastAsia="ru-RU"/>
        </w:rPr>
        <w:t xml:space="preserve"> «горячих точек», в регионе произошло снижение средних концентраций тяжелых металлов и стойких органических з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грязнителей в воздухе, осаждениях и почве. В отдельных частях Восточной Е</w:t>
      </w:r>
      <w:r w:rsidRPr="00981718">
        <w:rPr>
          <w:bCs/>
          <w:lang w:eastAsia="ru-RU"/>
        </w:rPr>
        <w:t>в</w:t>
      </w:r>
      <w:r w:rsidRPr="00981718">
        <w:rPr>
          <w:bCs/>
          <w:lang w:eastAsia="ru-RU"/>
        </w:rPr>
        <w:t>ропы, Кавказа и Центральной Азии имеются в наличии старые запасы пестиц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дов с истекшим сроком годности; кроме того, в них сохранилась зависимость от весьма ресурсоемкой тяжелой промышленн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сти и интенсивного использования химикатов в сельском хозя</w:t>
      </w:r>
      <w:r w:rsidRPr="00981718">
        <w:rPr>
          <w:bCs/>
          <w:lang w:eastAsia="ru-RU"/>
        </w:rPr>
        <w:t>й</w:t>
      </w:r>
      <w:r w:rsidRPr="00981718">
        <w:rPr>
          <w:bCs/>
          <w:lang w:eastAsia="ru-RU"/>
        </w:rPr>
        <w:t>стве.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20.</w:t>
      </w:r>
      <w:r w:rsidRPr="00981718">
        <w:rPr>
          <w:bCs/>
          <w:lang w:eastAsia="ru-RU"/>
        </w:rPr>
        <w:tab/>
        <w:t xml:space="preserve">Полное и согласованное осуществление трех глобальных конвенций по химическим веществам позволило бы усилить управленческий контроль </w:t>
      </w:r>
      <w:r w:rsidR="009C6F5F">
        <w:rPr>
          <w:bCs/>
          <w:lang w:eastAsia="ru-RU"/>
        </w:rPr>
        <w:t>над</w:t>
      </w:r>
      <w:r w:rsidRPr="00981718">
        <w:rPr>
          <w:bCs/>
          <w:lang w:eastAsia="ru-RU"/>
        </w:rPr>
        <w:t xml:space="preserve"> ними и сократить риски для здоровья ч</w:t>
      </w:r>
      <w:r w:rsidR="009C6F5F">
        <w:rPr>
          <w:bCs/>
          <w:lang w:eastAsia="ru-RU"/>
        </w:rPr>
        <w:t>еловека и экосистем. Положения «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гласованной на глобальном уровне системы классификации и маркировки х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мических веществ</w:t>
      </w:r>
      <w:r w:rsidR="009C6F5F">
        <w:rPr>
          <w:bCs/>
          <w:lang w:eastAsia="ru-RU"/>
        </w:rPr>
        <w:t>»</w:t>
      </w:r>
      <w:r w:rsidRPr="00981718">
        <w:rPr>
          <w:bCs/>
          <w:lang w:eastAsia="ru-RU"/>
        </w:rPr>
        <w:t xml:space="preserve"> пока не реализованы в полном объеме. Необходимо улу</w:t>
      </w:r>
      <w:r w:rsidRPr="00981718">
        <w:rPr>
          <w:bCs/>
          <w:lang w:eastAsia="ru-RU"/>
        </w:rPr>
        <w:t>ч</w:t>
      </w:r>
      <w:r w:rsidRPr="00981718">
        <w:rPr>
          <w:bCs/>
          <w:lang w:eastAsia="ru-RU"/>
        </w:rPr>
        <w:t>шить регламенты на продукты, относящ</w:t>
      </w:r>
      <w:r w:rsidR="009C6F5F">
        <w:rPr>
          <w:bCs/>
          <w:lang w:eastAsia="ru-RU"/>
        </w:rPr>
        <w:t>иеся к химическим веществам. На </w:t>
      </w:r>
      <w:r w:rsidRPr="00981718">
        <w:rPr>
          <w:bCs/>
          <w:lang w:eastAsia="ru-RU"/>
        </w:rPr>
        <w:t>уровне политики необходимо уделять больше внимания ранним сигналам, посылаемым наукой.</w:t>
      </w:r>
    </w:p>
    <w:p w:rsidR="002F7733" w:rsidRPr="00981718" w:rsidRDefault="009C6F5F" w:rsidP="009C6F5F">
      <w:pPr>
        <w:pStyle w:val="H23GR"/>
      </w:pPr>
      <w:r>
        <w:tab/>
      </w:r>
      <w:r>
        <w:tab/>
      </w:r>
      <w:r w:rsidR="002F7733" w:rsidRPr="00981718">
        <w:t>Отходы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21.</w:t>
      </w:r>
      <w:r w:rsidRPr="00981718">
        <w:rPr>
          <w:bCs/>
          <w:lang w:eastAsia="ru-RU"/>
        </w:rPr>
        <w:tab/>
        <w:t xml:space="preserve">Объемы отходов продолжают расти. В некоторых частях региона </w:t>
      </w:r>
      <w:r w:rsidR="009C6F5F">
        <w:rPr>
          <w:bCs/>
          <w:lang w:eastAsia="ru-RU"/>
        </w:rPr>
        <w:t>удал</w:t>
      </w:r>
      <w:r w:rsidR="009C6F5F">
        <w:rPr>
          <w:bCs/>
          <w:lang w:eastAsia="ru-RU"/>
        </w:rPr>
        <w:t>е</w:t>
      </w:r>
      <w:r w:rsidR="009C6F5F">
        <w:rPr>
          <w:bCs/>
          <w:lang w:eastAsia="ru-RU"/>
        </w:rPr>
        <w:t>ние</w:t>
      </w:r>
      <w:r w:rsidRPr="00981718">
        <w:rPr>
          <w:bCs/>
          <w:lang w:eastAsia="ru-RU"/>
        </w:rPr>
        <w:t xml:space="preserve"> отходов на мусорны</w:t>
      </w:r>
      <w:r w:rsidR="009C6F5F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 полигон</w:t>
      </w:r>
      <w:r w:rsidR="009C6F5F">
        <w:rPr>
          <w:bCs/>
          <w:lang w:eastAsia="ru-RU"/>
        </w:rPr>
        <w:t>ы</w:t>
      </w:r>
      <w:r w:rsidRPr="00981718">
        <w:rPr>
          <w:bCs/>
          <w:lang w:eastAsia="ru-RU"/>
        </w:rPr>
        <w:t xml:space="preserve"> создает серьезную экологическую пробл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му, несмотря на достигнутый во многих странах прогресс в области их утил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зации. Все большее беспокойство вызывает обработка отходов электротехнич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ского и электронного оборудования, при этом контроль за их трансграничной перевозкой, осуществляемый согласно Базельской конвенции о контроле за трансграничной перевозкой опасных отходов и их удалением, является недост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точным.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22.</w:t>
      </w:r>
      <w:r w:rsidRPr="00981718">
        <w:rPr>
          <w:bCs/>
          <w:lang w:eastAsia="ru-RU"/>
        </w:rPr>
        <w:tab/>
        <w:t>Ключевой задачей является сокращен</w:t>
      </w:r>
      <w:r w:rsidR="009C6F5F">
        <w:rPr>
          <w:bCs/>
          <w:lang w:eastAsia="ru-RU"/>
        </w:rPr>
        <w:t>ие пищевых отходов в регионе. В </w:t>
      </w:r>
      <w:r w:rsidRPr="00981718">
        <w:rPr>
          <w:bCs/>
          <w:lang w:eastAsia="ru-RU"/>
        </w:rPr>
        <w:t>настоящее время под выращивание сырья для поступающего в отходы прод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вольствия отведено около трети европейских сельскохозяйственных угодий. Образование пищевых отходов в Западной и Центральной Европе происходит, главным образом, на этапах распределения и потребления, в то время как в др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гих частях региона большинство потерь приходится на производственные пр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цессы. Серьезную проблему создают отходы пластмассы, учитывая ограниче</w:t>
      </w:r>
      <w:r w:rsidRPr="00981718">
        <w:rPr>
          <w:bCs/>
          <w:lang w:eastAsia="ru-RU"/>
        </w:rPr>
        <w:t>н</w:t>
      </w:r>
      <w:r w:rsidRPr="00981718">
        <w:rPr>
          <w:bCs/>
          <w:lang w:eastAsia="ru-RU"/>
        </w:rPr>
        <w:t>ные возможности для ее рециркуляции, отсутствие устойчивых заменителей для нее и растущую озабоченность по поводу морского мусора.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23.</w:t>
      </w:r>
      <w:r w:rsidRPr="00981718">
        <w:rPr>
          <w:bCs/>
          <w:lang w:eastAsia="ru-RU"/>
        </w:rPr>
        <w:tab/>
        <w:t xml:space="preserve">Иерархия управления отходами получила широкое признание в качестве руководящей основы для повышения экономической ценности используемых ресурсов и сокращения отходов. </w:t>
      </w:r>
      <w:r w:rsidR="009C6F5F">
        <w:rPr>
          <w:bCs/>
          <w:lang w:eastAsia="ru-RU"/>
        </w:rPr>
        <w:t>Замыкание циклов использования ресурсов</w:t>
      </w:r>
      <w:r w:rsidRPr="00981718">
        <w:rPr>
          <w:bCs/>
          <w:lang w:eastAsia="ru-RU"/>
        </w:rPr>
        <w:t xml:space="preserve"> п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тем поощрения принципов циркулярной экономики открывает дальнейшие во</w:t>
      </w:r>
      <w:r w:rsidRPr="00981718">
        <w:rPr>
          <w:bCs/>
          <w:lang w:eastAsia="ru-RU"/>
        </w:rPr>
        <w:t>з</w:t>
      </w:r>
      <w:r w:rsidRPr="00981718">
        <w:rPr>
          <w:bCs/>
          <w:lang w:eastAsia="ru-RU"/>
        </w:rPr>
        <w:t>можности для сведения отходов к минимуму и максимального использования ресурсов.</w:t>
      </w:r>
    </w:p>
    <w:p w:rsidR="002F7733" w:rsidRPr="00981718" w:rsidRDefault="009C6F5F" w:rsidP="009C6F5F">
      <w:pPr>
        <w:pStyle w:val="H23GR"/>
      </w:pPr>
      <w:r>
        <w:tab/>
      </w:r>
      <w:r>
        <w:tab/>
      </w:r>
      <w:r w:rsidR="002F7733" w:rsidRPr="00981718">
        <w:t>Пресная вода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24.</w:t>
      </w:r>
      <w:r w:rsidRPr="00981718">
        <w:rPr>
          <w:bCs/>
          <w:lang w:eastAsia="ru-RU"/>
        </w:rPr>
        <w:tab/>
        <w:t>Загрязнение пресной воды, главным образом сельскохозяйственными о</w:t>
      </w:r>
      <w:r w:rsidRPr="00981718">
        <w:rPr>
          <w:bCs/>
          <w:lang w:eastAsia="ru-RU"/>
        </w:rPr>
        <w:t>т</w:t>
      </w:r>
      <w:r w:rsidRPr="00981718">
        <w:rPr>
          <w:bCs/>
          <w:lang w:eastAsia="ru-RU"/>
        </w:rPr>
        <w:t>ходами, является основной причиной низкого качества не только поверхнос</w:t>
      </w:r>
      <w:r w:rsidRPr="00981718">
        <w:rPr>
          <w:bCs/>
          <w:lang w:eastAsia="ru-RU"/>
        </w:rPr>
        <w:t>т</w:t>
      </w:r>
      <w:r w:rsidRPr="00981718">
        <w:rPr>
          <w:bCs/>
          <w:lang w:eastAsia="ru-RU"/>
        </w:rPr>
        <w:t>ных и грунтовых вод, но и вод прибрежных районов и региональных морей. Между городским</w:t>
      </w:r>
      <w:r w:rsidR="009C6F5F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и сельским</w:t>
      </w:r>
      <w:r w:rsidR="009C6F5F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районами существуют большие различия в уровнях доступности </w:t>
      </w:r>
      <w:r w:rsidR="00A34DE8">
        <w:rPr>
          <w:bCs/>
          <w:lang w:eastAsia="ru-RU"/>
        </w:rPr>
        <w:t xml:space="preserve">к </w:t>
      </w:r>
      <w:r w:rsidRPr="00981718">
        <w:rPr>
          <w:bCs/>
          <w:lang w:eastAsia="ru-RU"/>
        </w:rPr>
        <w:t xml:space="preserve">безопасной питьевой </w:t>
      </w:r>
      <w:r w:rsidR="000015FC">
        <w:rPr>
          <w:bCs/>
          <w:lang w:eastAsia="ru-RU"/>
        </w:rPr>
        <w:t>воде и санитарии. Кроме того, в </w:t>
      </w:r>
      <w:r w:rsidRPr="00981718">
        <w:rPr>
          <w:bCs/>
          <w:lang w:eastAsia="ru-RU"/>
        </w:rPr>
        <w:t>пределах регио</w:t>
      </w:r>
      <w:r w:rsidR="009C6F5F">
        <w:rPr>
          <w:bCs/>
          <w:lang w:eastAsia="ru-RU"/>
        </w:rPr>
        <w:t xml:space="preserve">на существуют большие различия в плане </w:t>
      </w:r>
      <w:r w:rsidRPr="00981718">
        <w:rPr>
          <w:bCs/>
          <w:lang w:eastAsia="ru-RU"/>
        </w:rPr>
        <w:t>сбор</w:t>
      </w:r>
      <w:r w:rsidR="009C6F5F">
        <w:rPr>
          <w:bCs/>
          <w:lang w:eastAsia="ru-RU"/>
        </w:rPr>
        <w:t>а</w:t>
      </w:r>
      <w:r w:rsidRPr="00981718">
        <w:rPr>
          <w:bCs/>
          <w:lang w:eastAsia="ru-RU"/>
        </w:rPr>
        <w:t xml:space="preserve"> и очист</w:t>
      </w:r>
      <w:r w:rsidR="009C6F5F">
        <w:rPr>
          <w:bCs/>
          <w:lang w:eastAsia="ru-RU"/>
        </w:rPr>
        <w:t>ки</w:t>
      </w:r>
      <w:r w:rsidRPr="00981718">
        <w:rPr>
          <w:bCs/>
          <w:lang w:eastAsia="ru-RU"/>
        </w:rPr>
        <w:t xml:space="preserve"> сточных вод.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lastRenderedPageBreak/>
        <w:t>25.</w:t>
      </w:r>
      <w:r w:rsidRPr="00981718">
        <w:rPr>
          <w:bCs/>
          <w:lang w:eastAsia="ru-RU"/>
        </w:rPr>
        <w:tab/>
        <w:t>Орошение, чрезмерный водозабор и сильное загрязнение возвратных вод создают угрозу для запасов грунтовых вод, особенно в Центральной Азии. Х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мический состав воды </w:t>
      </w:r>
      <w:r w:rsidR="009C6F5F">
        <w:rPr>
          <w:bCs/>
          <w:lang w:eastAsia="ru-RU"/>
        </w:rPr>
        <w:t xml:space="preserve">в </w:t>
      </w:r>
      <w:r w:rsidRPr="00981718">
        <w:rPr>
          <w:bCs/>
          <w:lang w:eastAsia="ru-RU"/>
        </w:rPr>
        <w:t>Европейском союзе в целом улучшается, но в случае загрязнения из диффузных источников прогресс является медленным. В морях панъевропейского региона уже присутствуют микропластмассы и новые загря</w:t>
      </w:r>
      <w:r w:rsidRPr="00981718">
        <w:rPr>
          <w:bCs/>
          <w:lang w:eastAsia="ru-RU"/>
        </w:rPr>
        <w:t>з</w:t>
      </w:r>
      <w:r w:rsidR="009C6F5F">
        <w:rPr>
          <w:bCs/>
          <w:lang w:eastAsia="ru-RU"/>
        </w:rPr>
        <w:t>нители –</w:t>
      </w:r>
      <w:r w:rsidRPr="00981718">
        <w:rPr>
          <w:bCs/>
          <w:lang w:eastAsia="ru-RU"/>
        </w:rPr>
        <w:t xml:space="preserve"> </w:t>
      </w:r>
      <w:r w:rsidR="009C6F5F">
        <w:rPr>
          <w:bCs/>
          <w:lang w:eastAsia="ru-RU"/>
        </w:rPr>
        <w:t>н</w:t>
      </w:r>
      <w:r w:rsidRPr="00981718">
        <w:rPr>
          <w:bCs/>
          <w:lang w:eastAsia="ru-RU"/>
        </w:rPr>
        <w:t>апример</w:t>
      </w:r>
      <w:r w:rsidR="009C6F5F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бромированные антипирены, некоторые лекарственные препараты для животных и человека и предохраняющие корпуса судов от о</w:t>
      </w:r>
      <w:r w:rsidRPr="00981718">
        <w:rPr>
          <w:bCs/>
          <w:lang w:eastAsia="ru-RU"/>
        </w:rPr>
        <w:t>б</w:t>
      </w:r>
      <w:r w:rsidRPr="00981718">
        <w:rPr>
          <w:bCs/>
          <w:lang w:eastAsia="ru-RU"/>
        </w:rPr>
        <w:t xml:space="preserve">растания биоциды, </w:t>
      </w:r>
      <w:r w:rsidR="009C6F5F">
        <w:rPr>
          <w:bCs/>
          <w:lang w:eastAsia="ru-RU"/>
        </w:rPr>
        <w:t>–</w:t>
      </w:r>
      <w:r w:rsidRPr="00981718">
        <w:rPr>
          <w:bCs/>
          <w:lang w:eastAsia="ru-RU"/>
        </w:rPr>
        <w:t xml:space="preserve"> которые поступили туда через реки. В ряде трансграни</w:t>
      </w:r>
      <w:r w:rsidRPr="00981718">
        <w:rPr>
          <w:bCs/>
          <w:lang w:eastAsia="ru-RU"/>
        </w:rPr>
        <w:t>ч</w:t>
      </w:r>
      <w:r w:rsidRPr="00981718">
        <w:rPr>
          <w:bCs/>
          <w:lang w:eastAsia="ru-RU"/>
        </w:rPr>
        <w:t>ных речных бассейн</w:t>
      </w:r>
      <w:r w:rsidR="009C6F5F">
        <w:rPr>
          <w:bCs/>
          <w:lang w:eastAsia="ru-RU"/>
        </w:rPr>
        <w:t>ов</w:t>
      </w:r>
      <w:r w:rsidRPr="00981718">
        <w:rPr>
          <w:bCs/>
          <w:lang w:eastAsia="ru-RU"/>
        </w:rPr>
        <w:t xml:space="preserve"> обостряются проблемы с распределением воды.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26.</w:t>
      </w:r>
      <w:r w:rsidRPr="00981718">
        <w:rPr>
          <w:bCs/>
          <w:lang w:eastAsia="ru-RU"/>
        </w:rPr>
        <w:tab/>
        <w:t>Наиболее важными документами в этой связи являются Конвенция ЕЭК по охране и использованию трансграничных водотоков и международных озер и Рамочная директива Европейского союза по воде</w:t>
      </w:r>
      <w:r w:rsidR="009C6F5F">
        <w:rPr>
          <w:rStyle w:val="a6"/>
          <w:bCs/>
          <w:lang w:eastAsia="ru-RU"/>
        </w:rPr>
        <w:footnoteReference w:id="3"/>
      </w:r>
      <w:r w:rsidRPr="00981718">
        <w:rPr>
          <w:bCs/>
          <w:lang w:eastAsia="ru-RU"/>
        </w:rPr>
        <w:t>, которые дополняются дв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сторонними и многосторонними конвенциями по бассейнам трансграничных рек, озер и подземных вод, например по бассейну Дуная. Усиление координ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ции между политикой в области энергетики, сельского хозяйства, биоразноо</w:t>
      </w:r>
      <w:r w:rsidRPr="00981718">
        <w:rPr>
          <w:bCs/>
          <w:lang w:eastAsia="ru-RU"/>
        </w:rPr>
        <w:t>б</w:t>
      </w:r>
      <w:r w:rsidRPr="00981718">
        <w:rPr>
          <w:bCs/>
          <w:lang w:eastAsia="ru-RU"/>
        </w:rPr>
        <w:t>разия и водных ресурсов позволит добиться дальнейшего улучшения кач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ства и количества воды, а также оказать поддержку в достижении целей в области адаптации к изменению климата и повышения устойчивости экосистем.</w:t>
      </w:r>
    </w:p>
    <w:p w:rsidR="002F7733" w:rsidRPr="00981718" w:rsidRDefault="009C6F5F" w:rsidP="009C6F5F">
      <w:pPr>
        <w:pStyle w:val="H23GR"/>
      </w:pPr>
      <w:r>
        <w:tab/>
      </w:r>
      <w:r>
        <w:tab/>
      </w:r>
      <w:r w:rsidR="002F7733" w:rsidRPr="00981718">
        <w:t>Прибрежные, морские и океанские ресурсы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27.</w:t>
      </w:r>
      <w:r w:rsidRPr="00981718">
        <w:rPr>
          <w:bCs/>
          <w:lang w:eastAsia="ru-RU"/>
        </w:rPr>
        <w:tab/>
        <w:t>По ряду причин прибрежные, морские и океанские ресурсы подвергаются чрезмерной эксплуатации, которая имеет далеко идущие последствия. К числу основных угроз относятся урбанизация, сельское и рыбное хозяйство, тран</w:t>
      </w:r>
      <w:r w:rsidRPr="00981718">
        <w:rPr>
          <w:bCs/>
          <w:lang w:eastAsia="ru-RU"/>
        </w:rPr>
        <w:t>с</w:t>
      </w:r>
      <w:r w:rsidRPr="00981718">
        <w:rPr>
          <w:bCs/>
          <w:lang w:eastAsia="ru-RU"/>
        </w:rPr>
        <w:t>порт, промышленное развитие, химические продукты, сброс сточных вод и производство энергии. Усилия по снижению на</w:t>
      </w:r>
      <w:r w:rsidR="000015FC">
        <w:rPr>
          <w:bCs/>
          <w:lang w:eastAsia="ru-RU"/>
        </w:rPr>
        <w:t>грузок в результате загрязнения</w:t>
      </w:r>
      <w:r w:rsidRPr="00981718">
        <w:rPr>
          <w:bCs/>
          <w:lang w:eastAsia="ru-RU"/>
        </w:rPr>
        <w:t xml:space="preserve"> подрывают такие еще более масштабные системные вызовы, как изменение климата.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28.</w:t>
      </w:r>
      <w:r w:rsidRPr="00981718">
        <w:rPr>
          <w:bCs/>
          <w:lang w:eastAsia="ru-RU"/>
        </w:rPr>
        <w:tab/>
        <w:t>Утрата биоразнообразия и деградация местообитаний в морских экос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стемах продолжаются, повышая риск необратимой утраты резильентности эк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систем и экосистемных услуг. Кроме того, сохраняются высокие нагрузки по биогенным веществам. Усиливаются воздействия со стороны новых загрязнит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 xml:space="preserve">лей, включая </w:t>
      </w:r>
      <w:r w:rsidR="009C6F5F" w:rsidRPr="00981718">
        <w:rPr>
          <w:bCs/>
          <w:lang w:eastAsia="ru-RU"/>
        </w:rPr>
        <w:t>пластмасс</w:t>
      </w:r>
      <w:r w:rsidR="009C6F5F">
        <w:rPr>
          <w:bCs/>
          <w:lang w:eastAsia="ru-RU"/>
        </w:rPr>
        <w:t>овые</w:t>
      </w:r>
      <w:r w:rsidR="009C6F5F" w:rsidRPr="00981718">
        <w:rPr>
          <w:bCs/>
          <w:lang w:eastAsia="ru-RU"/>
        </w:rPr>
        <w:t xml:space="preserve"> </w:t>
      </w:r>
      <w:r w:rsidRPr="00981718">
        <w:rPr>
          <w:bCs/>
          <w:lang w:eastAsia="ru-RU"/>
        </w:rPr>
        <w:t xml:space="preserve">отходы </w:t>
      </w:r>
      <w:r w:rsidR="009C6F5F">
        <w:rPr>
          <w:bCs/>
          <w:lang w:eastAsia="ru-RU"/>
        </w:rPr>
        <w:t>и морской</w:t>
      </w:r>
      <w:r w:rsidRPr="00981718">
        <w:rPr>
          <w:bCs/>
          <w:lang w:eastAsia="ru-RU"/>
        </w:rPr>
        <w:t xml:space="preserve"> мусор. Происходит усиление последствий изменения климата, которые включают в себя подкисление, под</w:t>
      </w:r>
      <w:r w:rsidRPr="00981718">
        <w:rPr>
          <w:bCs/>
          <w:lang w:eastAsia="ru-RU"/>
        </w:rPr>
        <w:t>ъ</w:t>
      </w:r>
      <w:r w:rsidRPr="00981718">
        <w:rPr>
          <w:bCs/>
          <w:lang w:eastAsia="ru-RU"/>
        </w:rPr>
        <w:t>ем уровня моря и смену видов-</w:t>
      </w:r>
      <w:r w:rsidR="009C6F5F">
        <w:rPr>
          <w:bCs/>
          <w:lang w:eastAsia="ru-RU"/>
        </w:rPr>
        <w:t>переносчиков</w:t>
      </w:r>
      <w:r w:rsidRPr="00981718">
        <w:rPr>
          <w:bCs/>
          <w:lang w:eastAsia="ru-RU"/>
        </w:rPr>
        <w:t xml:space="preserve"> заболеваний вследствие потепл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ния воды.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29.</w:t>
      </w:r>
      <w:r w:rsidRPr="00981718">
        <w:rPr>
          <w:bCs/>
          <w:lang w:eastAsia="ru-RU"/>
        </w:rPr>
        <w:tab/>
        <w:t>Множество социально-экономических и экологических взаимосвязей, угроз и негативных последствий диктуют необходимость более комплексно</w:t>
      </w:r>
      <w:r w:rsidR="009C6F5F">
        <w:rPr>
          <w:bCs/>
          <w:lang w:eastAsia="ru-RU"/>
        </w:rPr>
        <w:t>го подхода</w:t>
      </w:r>
      <w:r w:rsidRPr="00981718">
        <w:rPr>
          <w:bCs/>
          <w:lang w:eastAsia="ru-RU"/>
        </w:rPr>
        <w:t xml:space="preserve"> к принятию мер реагирования на национальном, наднациональном, межрегиональном и глобальном уровнях и налаживания транснационального сотрудничества. Управление на основе экосистемных подходов позволяет пр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менять перспективные и затратоэффективные способы борьбы с кумулятивн</w:t>
      </w:r>
      <w:r w:rsidRPr="00981718">
        <w:rPr>
          <w:bCs/>
          <w:lang w:eastAsia="ru-RU"/>
        </w:rPr>
        <w:t>ы</w:t>
      </w:r>
      <w:r w:rsidRPr="00981718">
        <w:rPr>
          <w:bCs/>
          <w:lang w:eastAsia="ru-RU"/>
        </w:rPr>
        <w:t>ми негативными последствиями антропогенной деятельности.</w:t>
      </w:r>
    </w:p>
    <w:p w:rsidR="002F7733" w:rsidRPr="00981718" w:rsidRDefault="009C6F5F" w:rsidP="009C6F5F">
      <w:pPr>
        <w:pStyle w:val="H23GR"/>
      </w:pPr>
      <w:r>
        <w:tab/>
      </w:r>
      <w:r>
        <w:tab/>
      </w:r>
      <w:r w:rsidR="002F7733" w:rsidRPr="00981718">
        <w:t>Земельные ресурсы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30.</w:t>
      </w:r>
      <w:r w:rsidRPr="00981718">
        <w:rPr>
          <w:bCs/>
          <w:lang w:eastAsia="ru-RU"/>
        </w:rPr>
        <w:tab/>
        <w:t>Изменения в землепользовании приводят к ухудшению физико-химических свойств почв, вызывая тем самым загрязнение воды и воздуха. Почвы также находятся под угрозой вследствие изменения климата, эрозии, з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lastRenderedPageBreak/>
        <w:t>грязнения, засоления, наводнений и оползней, которые в свою очередь угрож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 xml:space="preserve">ют безопасности </w:t>
      </w:r>
      <w:r w:rsidR="009C6F5F">
        <w:rPr>
          <w:bCs/>
          <w:lang w:eastAsia="ru-RU"/>
        </w:rPr>
        <w:t xml:space="preserve">производства </w:t>
      </w:r>
      <w:r w:rsidRPr="00981718">
        <w:rPr>
          <w:bCs/>
          <w:lang w:eastAsia="ru-RU"/>
        </w:rPr>
        <w:t>продовольственного сырья и продуктов питания. Разрастание городов приводит к потере пахотных земель, природных местооб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таний и утрате биоразнообразия.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31.</w:t>
      </w:r>
      <w:r w:rsidRPr="00981718">
        <w:rPr>
          <w:bCs/>
          <w:lang w:eastAsia="ru-RU"/>
        </w:rPr>
        <w:tab/>
        <w:t xml:space="preserve">Утрата зеленых зон в городах усугубляет последствия изменения климата и является причиной ухудшения физического и психического здоровья, а также умственного развития детей. Экстернализация спроса на земельные ресурсы в панъевропейском регионе означает, что для удовлетворения конечного спроса в странах региона на каждый используемый в регионе гектар земли приходятся четыре гектара, используемые </w:t>
      </w:r>
      <w:r w:rsidR="009C6F5F">
        <w:rPr>
          <w:bCs/>
          <w:lang w:eastAsia="ru-RU"/>
        </w:rPr>
        <w:t>где-то еще</w:t>
      </w:r>
      <w:r w:rsidRPr="00981718">
        <w:rPr>
          <w:bCs/>
          <w:lang w:eastAsia="ru-RU"/>
        </w:rPr>
        <w:t>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32.</w:t>
      </w:r>
      <w:r w:rsidRPr="00981718">
        <w:rPr>
          <w:bCs/>
          <w:lang w:eastAsia="ru-RU"/>
        </w:rPr>
        <w:tab/>
        <w:t>Законодательство в этой области оценивается как недостаточное во всем панъевропейском регионе. Необходимо, чтобы политика в области устойчивого управления земельными ресурсами оказывала противодействие широкому кр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гу угроз и воздействий. Поощрение такой практики, как</w:t>
      </w:r>
      <w:r w:rsidR="000015FC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например</w:t>
      </w:r>
      <w:r w:rsidR="000015FC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органич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ское земледелие, агроэкология и комплексное управление плодородием почв</w:t>
      </w:r>
      <w:r w:rsidR="000015FC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окажет поддержку системам производства зерновых культур. Восстановление зеленых зон и оборудование «зеленых» крыш и «живых стен» помогло бы смя</w:t>
      </w:r>
      <w:r w:rsidRPr="00981718">
        <w:rPr>
          <w:bCs/>
          <w:lang w:eastAsia="ru-RU"/>
        </w:rPr>
        <w:t>г</w:t>
      </w:r>
      <w:r w:rsidRPr="00981718">
        <w:rPr>
          <w:bCs/>
          <w:lang w:eastAsia="ru-RU"/>
        </w:rPr>
        <w:t>чению последствий изменения климата в городах.</w:t>
      </w:r>
    </w:p>
    <w:p w:rsidR="002F7733" w:rsidRPr="00981718" w:rsidRDefault="009C6F5F" w:rsidP="009C6F5F">
      <w:pPr>
        <w:pStyle w:val="HChGR"/>
      </w:pPr>
      <w:r>
        <w:tab/>
      </w:r>
      <w:r w:rsidR="002F7733" w:rsidRPr="00981718">
        <w:t>III.</w:t>
      </w:r>
      <w:r w:rsidR="002F7733" w:rsidRPr="00981718">
        <w:tab/>
      </w:r>
      <w:r>
        <w:t>Руководство</w:t>
      </w:r>
      <w:r w:rsidR="002F7733" w:rsidRPr="00981718">
        <w:t>, знания и перспективы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33.</w:t>
      </w:r>
      <w:r w:rsidRPr="00981718">
        <w:rPr>
          <w:bCs/>
          <w:lang w:eastAsia="ru-RU"/>
        </w:rPr>
        <w:tab/>
        <w:t xml:space="preserve">Сформированная за последние три десятилетия панъевропейская система </w:t>
      </w:r>
      <w:r w:rsidR="009C6F5F">
        <w:rPr>
          <w:bCs/>
          <w:lang w:eastAsia="ru-RU"/>
        </w:rPr>
        <w:t>экологического руководства свидетельствует о существенных</w:t>
      </w:r>
      <w:r w:rsidRPr="00981718">
        <w:rPr>
          <w:bCs/>
          <w:lang w:eastAsia="ru-RU"/>
        </w:rPr>
        <w:t xml:space="preserve"> различия</w:t>
      </w:r>
      <w:r w:rsidR="009C6F5F">
        <w:rPr>
          <w:bCs/>
          <w:lang w:eastAsia="ru-RU"/>
        </w:rPr>
        <w:t>х</w:t>
      </w:r>
      <w:r w:rsidRPr="00981718">
        <w:rPr>
          <w:bCs/>
          <w:lang w:eastAsia="ru-RU"/>
        </w:rPr>
        <w:t xml:space="preserve"> между странами, а также пробел</w:t>
      </w:r>
      <w:r w:rsidR="009C6F5F">
        <w:rPr>
          <w:bCs/>
          <w:lang w:eastAsia="ru-RU"/>
        </w:rPr>
        <w:t>ах</w:t>
      </w:r>
      <w:r w:rsidRPr="00981718">
        <w:rPr>
          <w:bCs/>
          <w:lang w:eastAsia="ru-RU"/>
        </w:rPr>
        <w:t xml:space="preserve"> и неиспользован</w:t>
      </w:r>
      <w:r w:rsidR="009C6F5F">
        <w:rPr>
          <w:bCs/>
          <w:lang w:eastAsia="ru-RU"/>
        </w:rPr>
        <w:t>ных</w:t>
      </w:r>
      <w:r w:rsidRPr="00981718">
        <w:rPr>
          <w:bCs/>
          <w:lang w:eastAsia="ru-RU"/>
        </w:rPr>
        <w:t xml:space="preserve"> возможност</w:t>
      </w:r>
      <w:r w:rsidR="009C6F5F">
        <w:rPr>
          <w:bCs/>
          <w:lang w:eastAsia="ru-RU"/>
        </w:rPr>
        <w:t>ях</w:t>
      </w:r>
      <w:r w:rsidRPr="00981718">
        <w:rPr>
          <w:bCs/>
          <w:lang w:eastAsia="ru-RU"/>
        </w:rPr>
        <w:t xml:space="preserve"> для обеспеч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ния синергизма между политикой и приоритетными областями. Расширение с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трудничества имеет важное значение для решения многочисленных системных, транснациональных и трансграничных проблем и глобальных задач, которые, как ожидается, будут оказывать влияние на регион в предстоящие д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сятилетия.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34.</w:t>
      </w:r>
      <w:r w:rsidRPr="00981718">
        <w:rPr>
          <w:bCs/>
          <w:lang w:eastAsia="ru-RU"/>
        </w:rPr>
        <w:tab/>
        <w:t xml:space="preserve">В </w:t>
      </w:r>
      <w:r w:rsidR="009C6F5F">
        <w:rPr>
          <w:bCs/>
          <w:lang w:eastAsia="ru-RU"/>
        </w:rPr>
        <w:t>последующие</w:t>
      </w:r>
      <w:r w:rsidRPr="00981718">
        <w:rPr>
          <w:bCs/>
          <w:lang w:eastAsia="ru-RU"/>
        </w:rPr>
        <w:t xml:space="preserve"> годы дальнейший экологический прогресс может быть достигнут путем бо</w:t>
      </w:r>
      <w:r w:rsidR="009C6F5F">
        <w:rPr>
          <w:bCs/>
          <w:lang w:eastAsia="ru-RU"/>
        </w:rPr>
        <w:t xml:space="preserve">лее эффективного осуществления </w:t>
      </w:r>
      <w:r w:rsidRPr="00981718">
        <w:rPr>
          <w:bCs/>
          <w:lang w:eastAsia="ru-RU"/>
        </w:rPr>
        <w:t xml:space="preserve">уже принятых </w:t>
      </w:r>
      <w:r w:rsidR="009C6F5F">
        <w:rPr>
          <w:bCs/>
          <w:lang w:eastAsia="ru-RU"/>
        </w:rPr>
        <w:t>стратегий</w:t>
      </w:r>
      <w:r w:rsidRPr="00981718">
        <w:rPr>
          <w:bCs/>
          <w:lang w:eastAsia="ru-RU"/>
        </w:rPr>
        <w:t xml:space="preserve">. В более длительной перспективе ожидается, что </w:t>
      </w:r>
      <w:r w:rsidR="009C6F5F">
        <w:rPr>
          <w:bCs/>
          <w:lang w:eastAsia="ru-RU"/>
        </w:rPr>
        <w:t>глобальные мегатренды</w:t>
      </w:r>
      <w:r w:rsidRPr="00981718">
        <w:rPr>
          <w:bCs/>
          <w:lang w:eastAsia="ru-RU"/>
        </w:rPr>
        <w:t xml:space="preserve"> в с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четании с сохранением неустойчивых систем производства и потребления пр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ведут к </w:t>
      </w:r>
      <w:r w:rsidR="00B81535">
        <w:rPr>
          <w:bCs/>
          <w:lang w:eastAsia="ru-RU"/>
        </w:rPr>
        <w:t>углублению</w:t>
      </w:r>
      <w:r w:rsidRPr="00981718">
        <w:rPr>
          <w:bCs/>
          <w:lang w:eastAsia="ru-RU"/>
        </w:rPr>
        <w:t xml:space="preserve"> давления на окружающую среду и его возде</w:t>
      </w:r>
      <w:r w:rsidRPr="00981718">
        <w:rPr>
          <w:bCs/>
          <w:lang w:eastAsia="ru-RU"/>
        </w:rPr>
        <w:t>й</w:t>
      </w:r>
      <w:r w:rsidRPr="00981718">
        <w:rPr>
          <w:bCs/>
          <w:lang w:eastAsia="ru-RU"/>
        </w:rPr>
        <w:t>ствий.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35.</w:t>
      </w:r>
      <w:r w:rsidRPr="00981718">
        <w:rPr>
          <w:bCs/>
          <w:lang w:eastAsia="ru-RU"/>
        </w:rPr>
        <w:tab/>
        <w:t xml:space="preserve">Глобальные </w:t>
      </w:r>
      <w:r w:rsidR="00B81535">
        <w:rPr>
          <w:bCs/>
          <w:lang w:eastAsia="ru-RU"/>
        </w:rPr>
        <w:t>мегатренды</w:t>
      </w:r>
      <w:r w:rsidRPr="00981718">
        <w:rPr>
          <w:bCs/>
          <w:lang w:eastAsia="ru-RU"/>
        </w:rPr>
        <w:t>, которые, как ожидается, повлияют на долг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срочные экологические перспективы</w:t>
      </w:r>
      <w:r w:rsidR="000015FC">
        <w:rPr>
          <w:bCs/>
          <w:lang w:eastAsia="ru-RU"/>
        </w:rPr>
        <w:t>,</w:t>
      </w:r>
      <w:r w:rsidRPr="00981718">
        <w:rPr>
          <w:bCs/>
          <w:lang w:eastAsia="ru-RU"/>
        </w:rPr>
        <w:t xml:space="preserve"> включают в себя: </w:t>
      </w:r>
      <w:r w:rsidR="00B81535">
        <w:rPr>
          <w:bCs/>
          <w:lang w:eastAsia="ru-RU"/>
        </w:rPr>
        <w:t>расходящиеся</w:t>
      </w:r>
      <w:r w:rsidRPr="00981718">
        <w:rPr>
          <w:bCs/>
          <w:lang w:eastAsia="ru-RU"/>
        </w:rPr>
        <w:t xml:space="preserve"> демогр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фиче</w:t>
      </w:r>
      <w:r w:rsidR="00B81535">
        <w:rPr>
          <w:bCs/>
          <w:lang w:eastAsia="ru-RU"/>
        </w:rPr>
        <w:t>ские</w:t>
      </w:r>
      <w:r w:rsidRPr="00981718">
        <w:rPr>
          <w:bCs/>
          <w:lang w:eastAsia="ru-RU"/>
        </w:rPr>
        <w:t xml:space="preserve"> тен</w:t>
      </w:r>
      <w:r w:rsidR="00B81535">
        <w:rPr>
          <w:bCs/>
          <w:lang w:eastAsia="ru-RU"/>
        </w:rPr>
        <w:t>денции и тенденции</w:t>
      </w:r>
      <w:r w:rsidRPr="00981718">
        <w:rPr>
          <w:bCs/>
          <w:lang w:eastAsia="ru-RU"/>
        </w:rPr>
        <w:t xml:space="preserve"> в области миграции; растущую урбанизацию; более глобальную конкуренци</w:t>
      </w:r>
      <w:r w:rsidR="000015FC">
        <w:rPr>
          <w:bCs/>
          <w:lang w:eastAsia="ru-RU"/>
        </w:rPr>
        <w:t>ю</w:t>
      </w:r>
      <w:r w:rsidRPr="00981718">
        <w:rPr>
          <w:bCs/>
          <w:lang w:eastAsia="ru-RU"/>
        </w:rPr>
        <w:t xml:space="preserve"> за ресурсы; переход ко все более многополя</w:t>
      </w:r>
      <w:r w:rsidRPr="00981718">
        <w:rPr>
          <w:bCs/>
          <w:lang w:eastAsia="ru-RU"/>
        </w:rPr>
        <w:t>р</w:t>
      </w:r>
      <w:r w:rsidRPr="00981718">
        <w:rPr>
          <w:bCs/>
          <w:lang w:eastAsia="ru-RU"/>
        </w:rPr>
        <w:t xml:space="preserve">ному миру; и изменение климата. Некоторые из этих тенденций открывают возможности для инноваций; другие </w:t>
      </w:r>
      <w:r w:rsidR="00B81535">
        <w:rPr>
          <w:bCs/>
          <w:lang w:eastAsia="ru-RU"/>
        </w:rPr>
        <w:t xml:space="preserve">же повышают </w:t>
      </w:r>
      <w:r w:rsidRPr="00981718">
        <w:rPr>
          <w:bCs/>
          <w:lang w:eastAsia="ru-RU"/>
        </w:rPr>
        <w:t>риск</w:t>
      </w:r>
      <w:r w:rsidR="00B81535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дефицита ресурсов и конфликтов.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36.</w:t>
      </w:r>
      <w:r w:rsidRPr="00981718">
        <w:rPr>
          <w:bCs/>
          <w:lang w:eastAsia="ru-RU"/>
        </w:rPr>
        <w:tab/>
        <w:t>Прогнозы по панъевропейскому региону указывают на необходимость сокращения потребления материальных ресурсов в Западной Европе в два раза и его стабилизации в других районах. Другие прогнозы по региону указывают на увеличение дефицита воды в Южной Европе и Центральной Азии, знач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тельные потери в области биоразнообразия и экосистемных услуг в регионе, острые климатические воздействия на прибрежные и сельскохозяйственные с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стемы и усиление воздействи</w:t>
      </w:r>
      <w:r w:rsidR="000015FC">
        <w:rPr>
          <w:bCs/>
          <w:lang w:eastAsia="ru-RU"/>
        </w:rPr>
        <w:t>я</w:t>
      </w:r>
      <w:r w:rsidRPr="00981718">
        <w:rPr>
          <w:bCs/>
          <w:lang w:eastAsia="ru-RU"/>
        </w:rPr>
        <w:t xml:space="preserve"> на здоровье человека загрязнения воздуха и х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мических веществ. Бо</w:t>
      </w:r>
      <w:r w:rsidR="00B81535">
        <w:rPr>
          <w:bCs/>
          <w:lang w:eastAsia="ru-RU"/>
        </w:rPr>
        <w:t>́</w:t>
      </w:r>
      <w:r w:rsidRPr="00981718">
        <w:rPr>
          <w:bCs/>
          <w:lang w:eastAsia="ru-RU"/>
        </w:rPr>
        <w:t>льшая согласованность политики в этих тематических о</w:t>
      </w:r>
      <w:r w:rsidRPr="00981718">
        <w:rPr>
          <w:bCs/>
          <w:lang w:eastAsia="ru-RU"/>
        </w:rPr>
        <w:t>б</w:t>
      </w:r>
      <w:r w:rsidRPr="00981718">
        <w:rPr>
          <w:bCs/>
          <w:lang w:eastAsia="ru-RU"/>
        </w:rPr>
        <w:t>ластях позволила бы прогнозировать в целом более благоприятные долгосро</w:t>
      </w:r>
      <w:r w:rsidRPr="00981718">
        <w:rPr>
          <w:bCs/>
          <w:lang w:eastAsia="ru-RU"/>
        </w:rPr>
        <w:t>ч</w:t>
      </w:r>
      <w:r w:rsidRPr="00981718">
        <w:rPr>
          <w:bCs/>
          <w:lang w:eastAsia="ru-RU"/>
        </w:rPr>
        <w:t>ные перспективы.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lastRenderedPageBreak/>
        <w:t>37.</w:t>
      </w:r>
      <w:r w:rsidRPr="00981718">
        <w:rPr>
          <w:bCs/>
          <w:lang w:eastAsia="ru-RU"/>
        </w:rPr>
        <w:tab/>
        <w:t>Деградация окружающей среды также усугубила социальные проблемы и привела к усилению несправедливости и неравенства в социально-экономической области. Достигнутые улучшения стали возможны</w:t>
      </w:r>
      <w:r w:rsidR="00B81535">
        <w:rPr>
          <w:bCs/>
          <w:lang w:eastAsia="ru-RU"/>
        </w:rPr>
        <w:t>ми</w:t>
      </w:r>
      <w:r w:rsidRPr="00981718">
        <w:rPr>
          <w:bCs/>
          <w:lang w:eastAsia="ru-RU"/>
        </w:rPr>
        <w:t xml:space="preserve"> благодаря правовым рамкам участия общественности в процессе принятия решений. С</w:t>
      </w:r>
      <w:r w:rsidRPr="00981718">
        <w:rPr>
          <w:bCs/>
          <w:lang w:eastAsia="ru-RU"/>
        </w:rPr>
        <w:t>у</w:t>
      </w:r>
      <w:r w:rsidRPr="00981718">
        <w:rPr>
          <w:bCs/>
          <w:lang w:eastAsia="ru-RU"/>
        </w:rPr>
        <w:t>ществует безотлагательная потребность в их укреплении, которая обусловлена темпами и масштабами текущей и ожидаемой в ближайшие десятилетия дал</w:t>
      </w:r>
      <w:r w:rsidRPr="00981718">
        <w:rPr>
          <w:bCs/>
          <w:lang w:eastAsia="ru-RU"/>
        </w:rPr>
        <w:t>ь</w:t>
      </w:r>
      <w:r w:rsidRPr="00981718">
        <w:rPr>
          <w:bCs/>
          <w:lang w:eastAsia="ru-RU"/>
        </w:rPr>
        <w:t>нейшей деградации.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38.</w:t>
      </w:r>
      <w:r w:rsidRPr="00981718">
        <w:rPr>
          <w:bCs/>
          <w:lang w:eastAsia="ru-RU"/>
        </w:rPr>
        <w:tab/>
        <w:t xml:space="preserve">Успешные модели экологического </w:t>
      </w:r>
      <w:r w:rsidR="00B81535">
        <w:rPr>
          <w:bCs/>
          <w:lang w:eastAsia="ru-RU"/>
        </w:rPr>
        <w:t>руководства</w:t>
      </w:r>
      <w:r w:rsidRPr="00981718">
        <w:rPr>
          <w:bCs/>
          <w:lang w:eastAsia="ru-RU"/>
        </w:rPr>
        <w:t xml:space="preserve"> должны </w:t>
      </w:r>
      <w:r w:rsidR="00B81535">
        <w:rPr>
          <w:bCs/>
          <w:lang w:eastAsia="ru-RU"/>
        </w:rPr>
        <w:t>основываться на</w:t>
      </w:r>
      <w:r w:rsidRPr="00981718">
        <w:rPr>
          <w:bCs/>
          <w:lang w:eastAsia="ru-RU"/>
        </w:rPr>
        <w:t xml:space="preserve"> продуманной политик</w:t>
      </w:r>
      <w:r w:rsidR="00B81535">
        <w:rPr>
          <w:bCs/>
          <w:lang w:eastAsia="ru-RU"/>
        </w:rPr>
        <w:t>е</w:t>
      </w:r>
      <w:r w:rsidRPr="00981718">
        <w:rPr>
          <w:bCs/>
          <w:lang w:eastAsia="ru-RU"/>
        </w:rPr>
        <w:t>, мер</w:t>
      </w:r>
      <w:r w:rsidR="00B81535">
        <w:rPr>
          <w:bCs/>
          <w:lang w:eastAsia="ru-RU"/>
        </w:rPr>
        <w:t>ах</w:t>
      </w:r>
      <w:r w:rsidRPr="00981718">
        <w:rPr>
          <w:bCs/>
          <w:lang w:eastAsia="ru-RU"/>
        </w:rPr>
        <w:t xml:space="preserve"> по осуществлению и обеспечению соблюдения</w:t>
      </w:r>
      <w:r w:rsidR="00B81535">
        <w:rPr>
          <w:bCs/>
          <w:lang w:eastAsia="ru-RU"/>
        </w:rPr>
        <w:t xml:space="preserve"> и чутко улавливать поступающие от науки и общества ранние</w:t>
      </w:r>
      <w:r w:rsidRPr="00981718">
        <w:rPr>
          <w:bCs/>
          <w:lang w:eastAsia="ru-RU"/>
        </w:rPr>
        <w:t xml:space="preserve"> сигна</w:t>
      </w:r>
      <w:r w:rsidR="00B81535">
        <w:rPr>
          <w:bCs/>
          <w:lang w:eastAsia="ru-RU"/>
        </w:rPr>
        <w:t>лы, а также</w:t>
      </w:r>
      <w:r w:rsidRPr="00981718">
        <w:rPr>
          <w:bCs/>
          <w:lang w:eastAsia="ru-RU"/>
        </w:rPr>
        <w:t xml:space="preserve"> обеспечивать достаточный потенциал для надзора и инвестици</w:t>
      </w:r>
      <w:r w:rsidR="00B81535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в системы зн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ний, например, платформы для работы с данными, показателями, проведения оценки политики и обмена информацией. Необходимы дополнительные инв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стиции в системы экологического учета для обеспечения покрытия внешних издержек и процессы прогнозирования с целью определения будущих потенц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альных рисков, во</w:t>
      </w:r>
      <w:r w:rsidRPr="00981718">
        <w:rPr>
          <w:bCs/>
          <w:lang w:eastAsia="ru-RU"/>
        </w:rPr>
        <w:t>з</w:t>
      </w:r>
      <w:r w:rsidRPr="00981718">
        <w:rPr>
          <w:bCs/>
          <w:lang w:eastAsia="ru-RU"/>
        </w:rPr>
        <w:t>можностей и конфликтов.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39.</w:t>
      </w:r>
      <w:r w:rsidRPr="00981718">
        <w:rPr>
          <w:bCs/>
          <w:lang w:eastAsia="ru-RU"/>
        </w:rPr>
        <w:tab/>
        <w:t>Более широкое применение «принципа предосторожности» может сн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зить риски в тех частях мира, в которых в настоящее время нарушаются пор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говые и предельные значения, а достижение конечных целей становится все б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лее неопределенным. Для достижения прогресса в условиях все большей н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определенности требуется создание коалиций между государственными учр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ждениями, предприятиями и гражданским обществом, которые позволяли бы согласовать пути устранения различных социальных рисков. Ускорению пр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цесса перехода к модели устойчивого развития в городских районах будет сп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собствовать координация между уровнями национальной и местной политики по вертикали.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40.</w:t>
      </w:r>
      <w:r w:rsidRPr="00981718">
        <w:rPr>
          <w:bCs/>
          <w:lang w:eastAsia="ru-RU"/>
        </w:rPr>
        <w:tab/>
        <w:t xml:space="preserve">Цели устойчивого развития следует рассматривать как стратегическую возможность для </w:t>
      </w:r>
      <w:r w:rsidR="00B81535">
        <w:rPr>
          <w:bCs/>
          <w:lang w:eastAsia="ru-RU"/>
        </w:rPr>
        <w:t xml:space="preserve">внесения </w:t>
      </w:r>
      <w:r w:rsidRPr="00981718">
        <w:rPr>
          <w:bCs/>
          <w:lang w:eastAsia="ru-RU"/>
        </w:rPr>
        <w:t>экологической полити</w:t>
      </w:r>
      <w:r w:rsidR="00B81535">
        <w:rPr>
          <w:bCs/>
          <w:lang w:eastAsia="ru-RU"/>
        </w:rPr>
        <w:t>кой своего</w:t>
      </w:r>
      <w:r w:rsidRPr="00981718">
        <w:rPr>
          <w:bCs/>
          <w:lang w:eastAsia="ru-RU"/>
        </w:rPr>
        <w:t xml:space="preserve"> вклад</w:t>
      </w:r>
      <w:r w:rsidR="00B81535">
        <w:rPr>
          <w:bCs/>
          <w:lang w:eastAsia="ru-RU"/>
        </w:rPr>
        <w:t>а</w:t>
      </w:r>
      <w:r w:rsidRPr="00981718">
        <w:rPr>
          <w:bCs/>
          <w:lang w:eastAsia="ru-RU"/>
        </w:rPr>
        <w:t xml:space="preserve"> в процессы качественных преобразований, а также как механизм поддержки, способству</w:t>
      </w:r>
      <w:r w:rsidRPr="00981718">
        <w:rPr>
          <w:bCs/>
          <w:lang w:eastAsia="ru-RU"/>
        </w:rPr>
        <w:t>ю</w:t>
      </w:r>
      <w:r w:rsidRPr="00981718">
        <w:rPr>
          <w:bCs/>
          <w:lang w:eastAsia="ru-RU"/>
        </w:rPr>
        <w:t xml:space="preserve">щий укреплению потенциала в области адаптации и обеспечения устойчивости общества на всех уровнях, а не как фактор издержек и препятствий </w:t>
      </w:r>
      <w:r w:rsidR="00B81535">
        <w:rPr>
          <w:bCs/>
          <w:lang w:eastAsia="ru-RU"/>
        </w:rPr>
        <w:t>для</w:t>
      </w:r>
      <w:r w:rsidRPr="00981718">
        <w:rPr>
          <w:bCs/>
          <w:lang w:eastAsia="ru-RU"/>
        </w:rPr>
        <w:t xml:space="preserve"> разв</w:t>
      </w:r>
      <w:r w:rsidRPr="00981718">
        <w:rPr>
          <w:bCs/>
          <w:lang w:eastAsia="ru-RU"/>
        </w:rPr>
        <w:t>и</w:t>
      </w:r>
      <w:r w:rsidRPr="00981718">
        <w:rPr>
          <w:bCs/>
          <w:lang w:eastAsia="ru-RU"/>
        </w:rPr>
        <w:t>тия и конкурентоспособности. Для практической реализаци</w:t>
      </w:r>
      <w:r w:rsidR="000015FC">
        <w:rPr>
          <w:bCs/>
          <w:lang w:eastAsia="ru-RU"/>
        </w:rPr>
        <w:t>и</w:t>
      </w:r>
      <w:r w:rsidRPr="00981718">
        <w:rPr>
          <w:bCs/>
          <w:lang w:eastAsia="ru-RU"/>
        </w:rPr>
        <w:t xml:space="preserve"> целей устойчивого развития потребуется принятие амбициозных количественных целевых показ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телей и индикаторов, с тем чтобы должным образом отслеживать прогресс на пути к устойчивости и обеспечивать сближение общего для региона видения и амбиций, определяемых в рамках планетарных гр</w:t>
      </w:r>
      <w:r w:rsidRPr="00981718">
        <w:rPr>
          <w:bCs/>
          <w:lang w:eastAsia="ru-RU"/>
        </w:rPr>
        <w:t>а</w:t>
      </w:r>
      <w:r w:rsidRPr="00981718">
        <w:rPr>
          <w:bCs/>
          <w:lang w:eastAsia="ru-RU"/>
        </w:rPr>
        <w:t>ниц.</w:t>
      </w:r>
    </w:p>
    <w:p w:rsidR="002F7733" w:rsidRPr="00981718" w:rsidRDefault="002F7733" w:rsidP="00981718">
      <w:pPr>
        <w:pStyle w:val="SingleTxtGR"/>
        <w:rPr>
          <w:bCs/>
          <w:lang w:eastAsia="ru-RU"/>
        </w:rPr>
      </w:pPr>
      <w:r w:rsidRPr="00981718">
        <w:rPr>
          <w:bCs/>
          <w:lang w:eastAsia="ru-RU"/>
        </w:rPr>
        <w:t>41.</w:t>
      </w:r>
      <w:r w:rsidRPr="00981718">
        <w:rPr>
          <w:bCs/>
          <w:lang w:eastAsia="ru-RU"/>
        </w:rPr>
        <w:tab/>
        <w:t xml:space="preserve">Нет сомнения в том, что для обеспечения </w:t>
      </w:r>
      <w:r w:rsidR="0010595F">
        <w:rPr>
          <w:bCs/>
          <w:lang w:eastAsia="ru-RU"/>
        </w:rPr>
        <w:t>благополучия</w:t>
      </w:r>
      <w:r w:rsidRPr="00981718">
        <w:rPr>
          <w:bCs/>
          <w:lang w:eastAsia="ru-RU"/>
        </w:rPr>
        <w:t xml:space="preserve"> планеты и здор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вья людей необходимо в неотложном порядке приступить к преобразованию с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временных систем производства и потребления, вносящих наибольший вклад в деградацию окружающей среды и неравенство с точки зрения здоровья и благ</w:t>
      </w:r>
      <w:r w:rsidRPr="00981718">
        <w:rPr>
          <w:bCs/>
          <w:lang w:eastAsia="ru-RU"/>
        </w:rPr>
        <w:t>о</w:t>
      </w:r>
      <w:r w:rsidRPr="00981718">
        <w:rPr>
          <w:bCs/>
          <w:lang w:eastAsia="ru-RU"/>
        </w:rPr>
        <w:t>получия ч</w:t>
      </w:r>
      <w:r w:rsidRPr="00981718">
        <w:rPr>
          <w:bCs/>
          <w:lang w:eastAsia="ru-RU"/>
        </w:rPr>
        <w:t>е</w:t>
      </w:r>
      <w:r w:rsidRPr="00981718">
        <w:rPr>
          <w:bCs/>
          <w:lang w:eastAsia="ru-RU"/>
        </w:rPr>
        <w:t>ловека.</w:t>
      </w:r>
    </w:p>
    <w:p w:rsidR="002F7733" w:rsidRPr="0010595F" w:rsidRDefault="0010595F" w:rsidP="0010595F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2F7733" w:rsidRPr="0010595F" w:rsidSect="009B22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33" w:rsidRDefault="002F7733" w:rsidP="00B471C5">
      <w:r>
        <w:separator/>
      </w:r>
    </w:p>
  </w:endnote>
  <w:endnote w:type="continuationSeparator" w:id="0">
    <w:p w:rsidR="002F7733" w:rsidRDefault="002F773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Pr="0067680F" w:rsidRDefault="002F7733" w:rsidP="00A57166">
    <w:pPr>
      <w:pStyle w:val="a7"/>
      <w:rPr>
        <w:b/>
        <w:sz w:val="18"/>
        <w:szCs w:val="18"/>
      </w:rPr>
    </w:pPr>
    <w:sdt>
      <w:sdtPr>
        <w:id w:val="-148060776"/>
        <w:docPartObj>
          <w:docPartGallery w:val="Page Numbers (Bottom of Page)"/>
          <w:docPartUnique/>
        </w:docPartObj>
      </w:sdtPr>
      <w:sdtEndPr>
        <w:rPr>
          <w:b/>
          <w:sz w:val="18"/>
          <w:szCs w:val="18"/>
        </w:rPr>
      </w:sdtEndPr>
      <w:sdtContent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ED37D9" w:rsidRPr="00ED37D9">
          <w:rPr>
            <w:b/>
            <w:noProof/>
            <w:sz w:val="18"/>
            <w:szCs w:val="18"/>
            <w:lang w:val="ru-RU"/>
          </w:rPr>
          <w:t>8</w:t>
        </w:r>
        <w:r w:rsidRPr="0067680F">
          <w:rPr>
            <w:b/>
            <w:sz w:val="18"/>
            <w:szCs w:val="18"/>
          </w:rPr>
          <w:fldChar w:fldCharType="end"/>
        </w:r>
        <w:r>
          <w:rPr>
            <w:lang w:val="ru-RU"/>
          </w:rPr>
          <w:tab/>
          <w:t>GE.16-</w:t>
        </w:r>
        <w:r>
          <w:rPr>
            <w:lang w:val="en-US"/>
          </w:rPr>
          <w:t>07060</w:t>
        </w:r>
      </w:sdtContent>
    </w:sdt>
  </w:p>
  <w:p w:rsidR="002F7733" w:rsidRDefault="002F7733">
    <w:pPr>
      <w:pStyle w:val="a7"/>
      <w:rPr>
        <w:lang w:val="ru-RU"/>
      </w:rPr>
    </w:pPr>
    <w:r>
      <w:rPr>
        <w:b/>
        <w:sz w:val="18"/>
        <w:szCs w:val="18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Pr="0067680F" w:rsidRDefault="002F7733" w:rsidP="00A57166">
    <w:pPr>
      <w:pStyle w:val="a7"/>
      <w:rPr>
        <w:b/>
        <w:sz w:val="18"/>
        <w:szCs w:val="18"/>
      </w:rPr>
    </w:pPr>
    <w:sdt>
      <w:sdtPr>
        <w:id w:val="-1109277783"/>
        <w:docPartObj>
          <w:docPartGallery w:val="Page Numbers (Bottom of Page)"/>
          <w:docPartUnique/>
        </w:docPartObj>
      </w:sdtPr>
      <w:sdtEndPr>
        <w:rPr>
          <w:b/>
          <w:sz w:val="18"/>
          <w:szCs w:val="18"/>
        </w:rPr>
      </w:sdtEndPr>
      <w:sdtContent>
        <w:r w:rsidR="00934269">
          <w:rPr>
            <w:lang w:val="ru-RU"/>
          </w:rPr>
          <w:t>GE.16-</w:t>
        </w:r>
        <w:r w:rsidR="00934269">
          <w:rPr>
            <w:lang w:val="en-US"/>
          </w:rPr>
          <w:t>07060</w:t>
        </w:r>
        <w:r w:rsidR="00934269">
          <w:rPr>
            <w:b/>
            <w:sz w:val="18"/>
            <w:szCs w:val="18"/>
            <w:lang w:val="ru-RU"/>
          </w:rPr>
          <w:tab/>
        </w:r>
        <w:r w:rsidRPr="0067680F">
          <w:rPr>
            <w:b/>
            <w:sz w:val="18"/>
            <w:szCs w:val="18"/>
          </w:rPr>
          <w:fldChar w:fldCharType="begin"/>
        </w:r>
        <w:r w:rsidRPr="0067680F">
          <w:rPr>
            <w:b/>
            <w:sz w:val="18"/>
            <w:szCs w:val="18"/>
          </w:rPr>
          <w:instrText>PAGE   \* MERGEFORMAT</w:instrText>
        </w:r>
        <w:r w:rsidRPr="0067680F">
          <w:rPr>
            <w:b/>
            <w:sz w:val="18"/>
            <w:szCs w:val="18"/>
          </w:rPr>
          <w:fldChar w:fldCharType="separate"/>
        </w:r>
        <w:r w:rsidR="00ED37D9" w:rsidRPr="00ED37D9">
          <w:rPr>
            <w:b/>
            <w:noProof/>
            <w:sz w:val="18"/>
            <w:szCs w:val="18"/>
            <w:lang w:val="ru-RU"/>
          </w:rPr>
          <w:t>9</w:t>
        </w:r>
        <w:r w:rsidRPr="0067680F">
          <w:rPr>
            <w:b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F7733" w:rsidRPr="009B2237" w:rsidTr="002F773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7733" w:rsidRPr="009B2237" w:rsidRDefault="002F7733" w:rsidP="009B2237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9B2237">
            <w:rPr>
              <w:rFonts w:eastAsia="Times New Roman" w:cs="Times New Roman"/>
              <w:szCs w:val="20"/>
              <w:lang w:val="en-US"/>
            </w:rPr>
            <w:t>GE.16-07060  (R)  200516  230516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F7733" w:rsidRPr="009B2237" w:rsidRDefault="002F7733" w:rsidP="009B2237">
          <w:pPr>
            <w:jc w:val="right"/>
            <w:rPr>
              <w:rFonts w:eastAsia="Times New Roman" w:cs="Times New Roman"/>
              <w:szCs w:val="20"/>
            </w:rPr>
          </w:pPr>
          <w:r w:rsidRPr="009B2237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1F6B2648" wp14:editId="6CA860AF">
                <wp:extent cx="2655481" cy="277586"/>
                <wp:effectExtent l="0" t="0" r="0" b="8255"/>
                <wp:docPr id="19" name="Рисунок 19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F7733" w:rsidRPr="009B2237" w:rsidRDefault="002F7733" w:rsidP="009B2237">
          <w:pPr>
            <w:jc w:val="right"/>
            <w:rPr>
              <w:rFonts w:eastAsia="Times New Roman" w:cs="Times New Roman"/>
              <w:szCs w:val="20"/>
            </w:rPr>
          </w:pPr>
          <w:r w:rsidRPr="009B2237"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 wp14:anchorId="12921330" wp14:editId="08F6C46D">
                <wp:extent cx="579120" cy="579120"/>
                <wp:effectExtent l="0" t="0" r="0" b="0"/>
                <wp:docPr id="20" name="Рисунок 20" descr="http://undocs.org/m2/QRCode.ashx?DS=ECE/BATUMI.CONF/2016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733" w:rsidRPr="009B2237" w:rsidTr="002F773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7733" w:rsidRPr="009B2237" w:rsidRDefault="002F7733" w:rsidP="009B2237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B2237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F7733" w:rsidRPr="009B2237" w:rsidRDefault="002F7733" w:rsidP="009B2237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F7733" w:rsidRPr="009B2237" w:rsidRDefault="002F7733" w:rsidP="009B2237">
          <w:pPr>
            <w:rPr>
              <w:rFonts w:eastAsia="Times New Roman" w:cs="Times New Roman"/>
              <w:szCs w:val="20"/>
            </w:rPr>
          </w:pPr>
        </w:p>
      </w:tc>
    </w:tr>
  </w:tbl>
  <w:p w:rsidR="002F7733" w:rsidRPr="009B2237" w:rsidRDefault="002F7733" w:rsidP="009B2237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33" w:rsidRPr="009141DC" w:rsidRDefault="002F773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F7733" w:rsidRPr="00D1261C" w:rsidRDefault="002F773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F7733" w:rsidRPr="00B538EB" w:rsidRDefault="002F7733">
      <w:pPr>
        <w:pStyle w:val="aa"/>
        <w:rPr>
          <w:lang w:val="ru-RU"/>
        </w:rPr>
      </w:pPr>
      <w:r>
        <w:tab/>
      </w:r>
      <w:r w:rsidRPr="007B1A6B">
        <w:rPr>
          <w:rStyle w:val="a6"/>
          <w:sz w:val="20"/>
          <w:vertAlign w:val="baseline"/>
          <w:lang w:val="ru-RU"/>
        </w:rPr>
        <w:t>*</w:t>
      </w:r>
      <w:r w:rsidRPr="00B538EB">
        <w:rPr>
          <w:lang w:val="ru-RU"/>
        </w:rPr>
        <w:tab/>
        <w:t>В контексте настоящего документа термин «панъевропейский» относится к региону ЕЭК</w:t>
      </w:r>
      <w:r w:rsidR="00934269">
        <w:rPr>
          <w:lang w:val="ru-RU"/>
        </w:rPr>
        <w:t>,</w:t>
      </w:r>
      <w:r w:rsidRPr="00B538EB">
        <w:rPr>
          <w:lang w:val="ru-RU"/>
        </w:rPr>
        <w:t xml:space="preserve"> за исключением Канады и Соединенных Штатов Америки.</w:t>
      </w:r>
    </w:p>
  </w:footnote>
  <w:footnote w:id="2">
    <w:p w:rsidR="002F7733" w:rsidRPr="00B538EB" w:rsidRDefault="002F7733">
      <w:pPr>
        <w:pStyle w:val="aa"/>
        <w:rPr>
          <w:lang w:val="ru-RU"/>
        </w:rPr>
      </w:pPr>
      <w:r w:rsidRPr="00934269">
        <w:rPr>
          <w:lang w:val="ru-RU"/>
        </w:rPr>
        <w:tab/>
      </w:r>
      <w:r w:rsidRPr="007B1A6B">
        <w:rPr>
          <w:rStyle w:val="a6"/>
          <w:sz w:val="20"/>
          <w:vertAlign w:val="baseline"/>
          <w:lang w:val="ru-RU"/>
        </w:rPr>
        <w:t>**</w:t>
      </w:r>
      <w:r w:rsidRPr="00B538EB">
        <w:rPr>
          <w:lang w:val="ru-RU"/>
        </w:rPr>
        <w:tab/>
        <w:t>Настоящий документ представляется в указанны</w:t>
      </w:r>
      <w:r>
        <w:rPr>
          <w:lang w:val="ru-RU"/>
        </w:rPr>
        <w:t>й</w:t>
      </w:r>
      <w:r w:rsidRPr="00B538EB">
        <w:rPr>
          <w:lang w:val="ru-RU"/>
        </w:rPr>
        <w:t xml:space="preserve"> выше </w:t>
      </w:r>
      <w:r>
        <w:rPr>
          <w:lang w:val="ru-RU"/>
        </w:rPr>
        <w:t>день</w:t>
      </w:r>
      <w:r w:rsidRPr="00B538EB">
        <w:rPr>
          <w:lang w:val="ru-RU"/>
        </w:rPr>
        <w:t xml:space="preserve"> в качестве итогового документа совещания Межправительственной консультативной групп</w:t>
      </w:r>
      <w:r>
        <w:rPr>
          <w:lang w:val="ru-RU"/>
        </w:rPr>
        <w:t>ы</w:t>
      </w:r>
      <w:r w:rsidRPr="00B538EB">
        <w:rPr>
          <w:lang w:val="ru-RU"/>
        </w:rPr>
        <w:t xml:space="preserve"> заинтересованных сторон высокого уровня по шестой Глобальной экологической перспективе, которое состоялось 30 марта </w:t>
      </w:r>
      <w:r>
        <w:rPr>
          <w:lang w:val="ru-RU"/>
        </w:rPr>
        <w:t>–</w:t>
      </w:r>
      <w:r w:rsidRPr="00B538EB">
        <w:rPr>
          <w:lang w:val="ru-RU"/>
        </w:rPr>
        <w:t xml:space="preserve"> 1 апреля 2016 года.</w:t>
      </w:r>
    </w:p>
  </w:footnote>
  <w:footnote w:id="3">
    <w:p w:rsidR="009C6F5F" w:rsidRPr="009C6F5F" w:rsidRDefault="009C6F5F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9C6F5F">
        <w:rPr>
          <w:lang w:val="ru-RU"/>
        </w:rPr>
        <w:tab/>
      </w:r>
      <w:r>
        <w:rPr>
          <w:lang w:val="ru-RU"/>
        </w:rPr>
        <w:t>Директива 2000/60/</w:t>
      </w:r>
      <w:r>
        <w:t>EC</w:t>
      </w:r>
      <w:r>
        <w:rPr>
          <w:lang w:val="ru-RU"/>
        </w:rPr>
        <w:t xml:space="preserve"> Европейского парламента и Совета от 23 октября 2000 года, устанавливающая рамки для действий Сообщества в области водной политики.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Default="002F7733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Pr="007E0FD2" w:rsidRDefault="002F7733" w:rsidP="009B2237">
    <w:pPr>
      <w:pStyle w:val="a3"/>
      <w:pBdr>
        <w:bottom w:val="single" w:sz="4" w:space="1" w:color="auto"/>
      </w:pBdr>
      <w:rPr>
        <w:lang w:val="en-US"/>
      </w:rPr>
    </w:pPr>
    <w:r w:rsidRPr="009B2237">
      <w:rPr>
        <w:lang w:val="en-US"/>
      </w:rPr>
      <w:t>ECE/BATUMI.CONF/2016/9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Default="002F7733" w:rsidP="009B2237">
    <w:pPr>
      <w:pStyle w:val="a3"/>
      <w:pBdr>
        <w:bottom w:val="single" w:sz="4" w:space="1" w:color="auto"/>
      </w:pBdr>
      <w:jc w:val="right"/>
    </w:pPr>
    <w:r w:rsidRPr="00A57166">
      <w:rPr>
        <w:lang w:val="en-US"/>
      </w:rPr>
      <w:t>ECE/BATUMI.CONF/2016/9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3" w:rsidRDefault="002F7733" w:rsidP="0026190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4"/>
  </w:num>
  <w:num w:numId="5">
    <w:abstractNumId w:val="19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7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015FC"/>
    <w:rsid w:val="00011175"/>
    <w:rsid w:val="0001204D"/>
    <w:rsid w:val="000450D1"/>
    <w:rsid w:val="00055DE4"/>
    <w:rsid w:val="00067736"/>
    <w:rsid w:val="0008221A"/>
    <w:rsid w:val="000B7E20"/>
    <w:rsid w:val="000C6D8A"/>
    <w:rsid w:val="000F2A4F"/>
    <w:rsid w:val="000F429C"/>
    <w:rsid w:val="00104B35"/>
    <w:rsid w:val="0010550C"/>
    <w:rsid w:val="0010595F"/>
    <w:rsid w:val="001320A7"/>
    <w:rsid w:val="00153487"/>
    <w:rsid w:val="001F20F1"/>
    <w:rsid w:val="001F6EA9"/>
    <w:rsid w:val="00203F84"/>
    <w:rsid w:val="002041D4"/>
    <w:rsid w:val="00213BA6"/>
    <w:rsid w:val="0021755C"/>
    <w:rsid w:val="002606D1"/>
    <w:rsid w:val="00261901"/>
    <w:rsid w:val="00263458"/>
    <w:rsid w:val="00275188"/>
    <w:rsid w:val="00282D44"/>
    <w:rsid w:val="0028687D"/>
    <w:rsid w:val="002B091C"/>
    <w:rsid w:val="002B3D40"/>
    <w:rsid w:val="002C3A3A"/>
    <w:rsid w:val="002D0CCB"/>
    <w:rsid w:val="002E687B"/>
    <w:rsid w:val="002F7733"/>
    <w:rsid w:val="00316428"/>
    <w:rsid w:val="003404FF"/>
    <w:rsid w:val="00345C79"/>
    <w:rsid w:val="00355BD6"/>
    <w:rsid w:val="00366A39"/>
    <w:rsid w:val="003705BE"/>
    <w:rsid w:val="00395F8A"/>
    <w:rsid w:val="003B69DD"/>
    <w:rsid w:val="003C59AC"/>
    <w:rsid w:val="003C59D5"/>
    <w:rsid w:val="003E049B"/>
    <w:rsid w:val="003F7389"/>
    <w:rsid w:val="004325DF"/>
    <w:rsid w:val="004326BF"/>
    <w:rsid w:val="00436190"/>
    <w:rsid w:val="004536C6"/>
    <w:rsid w:val="0048005C"/>
    <w:rsid w:val="004A161D"/>
    <w:rsid w:val="004B4B1D"/>
    <w:rsid w:val="004C2F1A"/>
    <w:rsid w:val="004E242B"/>
    <w:rsid w:val="004F2A3E"/>
    <w:rsid w:val="005239A8"/>
    <w:rsid w:val="005442D5"/>
    <w:rsid w:val="00544379"/>
    <w:rsid w:val="00552B64"/>
    <w:rsid w:val="00552EBC"/>
    <w:rsid w:val="005551FF"/>
    <w:rsid w:val="00566944"/>
    <w:rsid w:val="00580315"/>
    <w:rsid w:val="005B6A7F"/>
    <w:rsid w:val="005D56BF"/>
    <w:rsid w:val="0060682F"/>
    <w:rsid w:val="0062027E"/>
    <w:rsid w:val="00630D64"/>
    <w:rsid w:val="00665D8D"/>
    <w:rsid w:val="0067680F"/>
    <w:rsid w:val="006A7A3B"/>
    <w:rsid w:val="006B6B57"/>
    <w:rsid w:val="006E0AEE"/>
    <w:rsid w:val="006E58BB"/>
    <w:rsid w:val="006F0937"/>
    <w:rsid w:val="006F1973"/>
    <w:rsid w:val="00705394"/>
    <w:rsid w:val="00743F62"/>
    <w:rsid w:val="00760D3A"/>
    <w:rsid w:val="00770D0A"/>
    <w:rsid w:val="00773BA8"/>
    <w:rsid w:val="007A1F42"/>
    <w:rsid w:val="007A34EA"/>
    <w:rsid w:val="007B1A6B"/>
    <w:rsid w:val="007D1243"/>
    <w:rsid w:val="007D70B7"/>
    <w:rsid w:val="007D76DD"/>
    <w:rsid w:val="007E0FD2"/>
    <w:rsid w:val="007E4738"/>
    <w:rsid w:val="007F2394"/>
    <w:rsid w:val="007F251D"/>
    <w:rsid w:val="00812167"/>
    <w:rsid w:val="00853B46"/>
    <w:rsid w:val="008717E8"/>
    <w:rsid w:val="0088757E"/>
    <w:rsid w:val="008D01AE"/>
    <w:rsid w:val="008E0423"/>
    <w:rsid w:val="008F02D7"/>
    <w:rsid w:val="008F57B3"/>
    <w:rsid w:val="009027C4"/>
    <w:rsid w:val="009141DC"/>
    <w:rsid w:val="009174A1"/>
    <w:rsid w:val="00925A7B"/>
    <w:rsid w:val="00934269"/>
    <w:rsid w:val="009342DF"/>
    <w:rsid w:val="009551B3"/>
    <w:rsid w:val="00981718"/>
    <w:rsid w:val="0098674D"/>
    <w:rsid w:val="00997ACA"/>
    <w:rsid w:val="009B0B4E"/>
    <w:rsid w:val="009B2237"/>
    <w:rsid w:val="009B6893"/>
    <w:rsid w:val="009C5E4E"/>
    <w:rsid w:val="009C6F5F"/>
    <w:rsid w:val="00A03FB7"/>
    <w:rsid w:val="00A044CC"/>
    <w:rsid w:val="00A0503E"/>
    <w:rsid w:val="00A24131"/>
    <w:rsid w:val="00A321E1"/>
    <w:rsid w:val="00A34DE8"/>
    <w:rsid w:val="00A57166"/>
    <w:rsid w:val="00A75A11"/>
    <w:rsid w:val="00A80F3B"/>
    <w:rsid w:val="00A90109"/>
    <w:rsid w:val="00A945AE"/>
    <w:rsid w:val="00AD7EAD"/>
    <w:rsid w:val="00AF1C67"/>
    <w:rsid w:val="00AF459D"/>
    <w:rsid w:val="00B005B9"/>
    <w:rsid w:val="00B1750F"/>
    <w:rsid w:val="00B2328D"/>
    <w:rsid w:val="00B23FA9"/>
    <w:rsid w:val="00B35A32"/>
    <w:rsid w:val="00B4176C"/>
    <w:rsid w:val="00B432C6"/>
    <w:rsid w:val="00B471C5"/>
    <w:rsid w:val="00B538EB"/>
    <w:rsid w:val="00B616A9"/>
    <w:rsid w:val="00B61C5C"/>
    <w:rsid w:val="00B6474A"/>
    <w:rsid w:val="00B65E8A"/>
    <w:rsid w:val="00B81535"/>
    <w:rsid w:val="00B96AE4"/>
    <w:rsid w:val="00BA6592"/>
    <w:rsid w:val="00BB6292"/>
    <w:rsid w:val="00BE1742"/>
    <w:rsid w:val="00BE27B1"/>
    <w:rsid w:val="00BE3C42"/>
    <w:rsid w:val="00C31AE1"/>
    <w:rsid w:val="00C54026"/>
    <w:rsid w:val="00C6618D"/>
    <w:rsid w:val="00C67EAF"/>
    <w:rsid w:val="00C71A4F"/>
    <w:rsid w:val="00C9237D"/>
    <w:rsid w:val="00CC428E"/>
    <w:rsid w:val="00CE130A"/>
    <w:rsid w:val="00CF06D0"/>
    <w:rsid w:val="00CF2CF8"/>
    <w:rsid w:val="00CF5594"/>
    <w:rsid w:val="00D1261C"/>
    <w:rsid w:val="00D26030"/>
    <w:rsid w:val="00D54699"/>
    <w:rsid w:val="00D63AF7"/>
    <w:rsid w:val="00D64E78"/>
    <w:rsid w:val="00D75DCE"/>
    <w:rsid w:val="00DA5622"/>
    <w:rsid w:val="00DC46A3"/>
    <w:rsid w:val="00DD35AC"/>
    <w:rsid w:val="00DD479F"/>
    <w:rsid w:val="00DE4327"/>
    <w:rsid w:val="00DF1CCC"/>
    <w:rsid w:val="00DF7769"/>
    <w:rsid w:val="00E12FEE"/>
    <w:rsid w:val="00E15E48"/>
    <w:rsid w:val="00E264FB"/>
    <w:rsid w:val="00E35510"/>
    <w:rsid w:val="00E53800"/>
    <w:rsid w:val="00E73730"/>
    <w:rsid w:val="00E84A9F"/>
    <w:rsid w:val="00EA4BD2"/>
    <w:rsid w:val="00EB0723"/>
    <w:rsid w:val="00EB2957"/>
    <w:rsid w:val="00ED37D9"/>
    <w:rsid w:val="00EE6F37"/>
    <w:rsid w:val="00F1599F"/>
    <w:rsid w:val="00F31EF2"/>
    <w:rsid w:val="00F375F1"/>
    <w:rsid w:val="00F611D8"/>
    <w:rsid w:val="00F8591D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05BE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">
    <w:name w:val="heading 3"/>
    <w:basedOn w:val="a"/>
    <w:next w:val="a"/>
    <w:link w:val="30"/>
    <w:qFormat/>
    <w:rsid w:val="003705BE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4">
    <w:name w:val="heading 4"/>
    <w:basedOn w:val="a"/>
    <w:next w:val="a"/>
    <w:link w:val="40"/>
    <w:qFormat/>
    <w:rsid w:val="003705BE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5">
    <w:name w:val="heading 5"/>
    <w:basedOn w:val="a"/>
    <w:next w:val="a"/>
    <w:link w:val="50"/>
    <w:qFormat/>
    <w:rsid w:val="003705BE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6">
    <w:name w:val="heading 6"/>
    <w:basedOn w:val="a"/>
    <w:next w:val="a"/>
    <w:link w:val="60"/>
    <w:qFormat/>
    <w:rsid w:val="003705BE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7">
    <w:name w:val="heading 7"/>
    <w:basedOn w:val="a"/>
    <w:next w:val="a"/>
    <w:link w:val="70"/>
    <w:qFormat/>
    <w:rsid w:val="003705BE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8">
    <w:name w:val="heading 8"/>
    <w:basedOn w:val="a"/>
    <w:next w:val="a"/>
    <w:link w:val="80"/>
    <w:qFormat/>
    <w:rsid w:val="003705BE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9">
    <w:name w:val="heading 9"/>
    <w:basedOn w:val="a"/>
    <w:next w:val="a"/>
    <w:link w:val="90"/>
    <w:qFormat/>
    <w:rsid w:val="003705BE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,Header1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,6_G Знак,Header1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a"/>
    <w:next w:val="a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a1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a"/>
    <w:link w:val="SingleTxtGChar"/>
    <w:rsid w:val="003705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3705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a"/>
    <w:next w:val="a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a"/>
    <w:next w:val="a"/>
    <w:rsid w:val="003705B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a"/>
    <w:next w:val="a"/>
    <w:rsid w:val="003705B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a"/>
    <w:rsid w:val="003705B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3705B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a"/>
    <w:next w:val="a"/>
    <w:link w:val="H1GChar"/>
    <w:rsid w:val="003705B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3705B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link w:val="H23GChar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3705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2">
    <w:name w:val="Схема документа Знак"/>
    <w:basedOn w:val="a0"/>
    <w:link w:val="af3"/>
    <w:semiHidden/>
    <w:rsid w:val="003705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3">
    <w:name w:val="Document Map"/>
    <w:basedOn w:val="a"/>
    <w:link w:val="af2"/>
    <w:semiHidden/>
    <w:rsid w:val="003705BE"/>
    <w:pPr>
      <w:shd w:val="clear" w:color="auto" w:fill="000080"/>
      <w:suppressAutoHyphens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5"/>
    <w:semiHidden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text"/>
    <w:basedOn w:val="a"/>
    <w:link w:val="af4"/>
    <w:semiHidden/>
    <w:rsid w:val="003705BE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6">
    <w:name w:val="Тема примечания Знак"/>
    <w:basedOn w:val="af4"/>
    <w:link w:val="af7"/>
    <w:semiHidden/>
    <w:rsid w:val="00370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7">
    <w:name w:val="annotation subject"/>
    <w:basedOn w:val="af5"/>
    <w:next w:val="af5"/>
    <w:link w:val="af6"/>
    <w:semiHidden/>
    <w:rsid w:val="00370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05BE"/>
    <w:pPr>
      <w:suppressAutoHyphens/>
      <w:spacing w:line="240" w:lineRule="auto"/>
      <w:outlineLvl w:val="1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3">
    <w:name w:val="heading 3"/>
    <w:basedOn w:val="a"/>
    <w:next w:val="a"/>
    <w:link w:val="30"/>
    <w:qFormat/>
    <w:rsid w:val="003705BE"/>
    <w:pPr>
      <w:suppressAutoHyphens/>
      <w:spacing w:line="240" w:lineRule="auto"/>
      <w:outlineLvl w:val="2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4">
    <w:name w:val="heading 4"/>
    <w:basedOn w:val="a"/>
    <w:next w:val="a"/>
    <w:link w:val="40"/>
    <w:qFormat/>
    <w:rsid w:val="003705BE"/>
    <w:pPr>
      <w:suppressAutoHyphens/>
      <w:spacing w:line="240" w:lineRule="auto"/>
      <w:outlineLvl w:val="3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5">
    <w:name w:val="heading 5"/>
    <w:basedOn w:val="a"/>
    <w:next w:val="a"/>
    <w:link w:val="50"/>
    <w:qFormat/>
    <w:rsid w:val="003705BE"/>
    <w:pPr>
      <w:suppressAutoHyphens/>
      <w:spacing w:line="240" w:lineRule="auto"/>
      <w:outlineLvl w:val="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6">
    <w:name w:val="heading 6"/>
    <w:basedOn w:val="a"/>
    <w:next w:val="a"/>
    <w:link w:val="60"/>
    <w:qFormat/>
    <w:rsid w:val="003705BE"/>
    <w:pPr>
      <w:suppressAutoHyphens/>
      <w:spacing w:line="240" w:lineRule="auto"/>
      <w:outlineLvl w:val="5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7">
    <w:name w:val="heading 7"/>
    <w:basedOn w:val="a"/>
    <w:next w:val="a"/>
    <w:link w:val="70"/>
    <w:qFormat/>
    <w:rsid w:val="003705BE"/>
    <w:pPr>
      <w:suppressAutoHyphens/>
      <w:spacing w:line="240" w:lineRule="auto"/>
      <w:outlineLvl w:val="6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8">
    <w:name w:val="heading 8"/>
    <w:basedOn w:val="a"/>
    <w:next w:val="a"/>
    <w:link w:val="80"/>
    <w:qFormat/>
    <w:rsid w:val="003705BE"/>
    <w:pPr>
      <w:suppressAutoHyphens/>
      <w:spacing w:line="240" w:lineRule="auto"/>
      <w:outlineLvl w:val="7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styleId="9">
    <w:name w:val="heading 9"/>
    <w:basedOn w:val="a"/>
    <w:next w:val="a"/>
    <w:link w:val="90"/>
    <w:qFormat/>
    <w:rsid w:val="003705BE"/>
    <w:pPr>
      <w:suppressAutoHyphens/>
      <w:spacing w:line="240" w:lineRule="auto"/>
      <w:outlineLvl w:val="8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,Header1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,6_G Знак,Header1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  <w:style w:type="paragraph" w:customStyle="1" w:styleId="H56">
    <w:name w:val="_ H_5/6"/>
    <w:basedOn w:val="a"/>
    <w:next w:val="a"/>
    <w:qFormat/>
    <w:rsid w:val="007E4738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cs="Times New Roman"/>
    </w:rPr>
  </w:style>
  <w:style w:type="table" w:customStyle="1" w:styleId="TabNum1">
    <w:name w:val="_TabNum1"/>
    <w:basedOn w:val="a1"/>
    <w:rsid w:val="009027C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a"/>
    <w:link w:val="SingleTxtGChar"/>
    <w:rsid w:val="003705B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3705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MG">
    <w:name w:val="__S_M_G"/>
    <w:basedOn w:val="a"/>
    <w:next w:val="a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a"/>
    <w:next w:val="a"/>
    <w:rsid w:val="003705B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a"/>
    <w:next w:val="a"/>
    <w:rsid w:val="003705B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3705B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a"/>
    <w:rsid w:val="003705BE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3705B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a"/>
    <w:next w:val="a"/>
    <w:link w:val="H1GChar"/>
    <w:rsid w:val="003705B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3705B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link w:val="H23GChar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3705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3705B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2">
    <w:name w:val="Схема документа Знак"/>
    <w:basedOn w:val="a0"/>
    <w:link w:val="af3"/>
    <w:semiHidden/>
    <w:rsid w:val="003705B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3">
    <w:name w:val="Document Map"/>
    <w:basedOn w:val="a"/>
    <w:link w:val="af2"/>
    <w:semiHidden/>
    <w:rsid w:val="003705BE"/>
    <w:pPr>
      <w:shd w:val="clear" w:color="auto" w:fill="000080"/>
      <w:suppressAutoHyphens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af4">
    <w:name w:val="Текст примечания Знак"/>
    <w:basedOn w:val="a0"/>
    <w:link w:val="af5"/>
    <w:semiHidden/>
    <w:rsid w:val="003705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text"/>
    <w:basedOn w:val="a"/>
    <w:link w:val="af4"/>
    <w:semiHidden/>
    <w:rsid w:val="003705BE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6">
    <w:name w:val="Тема примечания Знак"/>
    <w:basedOn w:val="af4"/>
    <w:link w:val="af7"/>
    <w:semiHidden/>
    <w:rsid w:val="00370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7">
    <w:name w:val="annotation subject"/>
    <w:basedOn w:val="af5"/>
    <w:next w:val="af5"/>
    <w:link w:val="af6"/>
    <w:semiHidden/>
    <w:rsid w:val="0037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47E6-A7F4-4C56-B836-96232E9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2854</Words>
  <Characters>20709</Characters>
  <Application>Microsoft Office Word</Application>
  <DocSecurity>0</DocSecurity>
  <Lines>388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Petelina Anna</cp:lastModifiedBy>
  <cp:revision>3</cp:revision>
  <cp:lastPrinted>2016-05-23T10:48:00Z</cp:lastPrinted>
  <dcterms:created xsi:type="dcterms:W3CDTF">2016-05-23T10:48:00Z</dcterms:created>
  <dcterms:modified xsi:type="dcterms:W3CDTF">2016-05-23T10:52:00Z</dcterms:modified>
</cp:coreProperties>
</file>